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t>Conformiteitsverklaring</w:t>
      </w:r>
      <w:r>
        <w:tab/>
      </w:r>
    </w:p>
    <w:p w14:paraId="5A6C9F4D" w14:textId="77777777" w:rsidR="001F545D" w:rsidRPr="003608D0" w:rsidRDefault="001F545D" w:rsidP="003608D0">
      <w:pPr>
        <w:pStyle w:val="TOCHeading"/>
        <w:ind w:left="720"/>
        <w:rPr>
          <w:rFonts w:ascii="Cambria" w:hAnsi="Cambria" w:cs="Arial"/>
        </w:rPr>
      </w:pPr>
      <w:r>
        <w:rPr>
          <w:rFonts w:ascii="Cambria" w:hAnsi="Cambria"/>
        </w:rPr>
        <w:t>Inhoud</w:t>
      </w:r>
    </w:p>
    <w:p w14:paraId="01FCE4F1" w14:textId="17B5EFEC" w:rsidR="000519FC" w:rsidRDefault="001F545D">
      <w:pPr>
        <w:pStyle w:val="TOC1"/>
        <w:rPr>
          <w:rFonts w:asciiTheme="minorHAnsi" w:eastAsiaTheme="minorEastAsia" w:hAnsiTheme="minorHAnsi" w:cstheme="minorBidi"/>
          <w:noProof/>
          <w:kern w:val="2"/>
          <w:lang w:val="en-US"/>
          <w14:ligatures w14:val="standardContextual"/>
        </w:rPr>
      </w:pPr>
      <w:r w:rsidRPr="001A2EB6">
        <w:fldChar w:fldCharType="begin"/>
      </w:r>
      <w:r w:rsidRPr="001A2EB6">
        <w:instrText xml:space="preserve"> TOC \o "1-3" \h \z \u </w:instrText>
      </w:r>
      <w:r w:rsidRPr="001A2EB6">
        <w:fldChar w:fldCharType="separate"/>
      </w:r>
      <w:hyperlink w:anchor="_Toc147510623" w:history="1">
        <w:r w:rsidR="000519FC" w:rsidRPr="009B460D">
          <w:rPr>
            <w:rStyle w:val="Hyperlink"/>
            <w:noProof/>
          </w:rPr>
          <w:t>Veiligheidsinformatie</w:t>
        </w:r>
        <w:r w:rsidR="000519FC">
          <w:rPr>
            <w:noProof/>
            <w:webHidden/>
          </w:rPr>
          <w:tab/>
        </w:r>
        <w:r w:rsidR="000519FC">
          <w:rPr>
            <w:noProof/>
            <w:webHidden/>
          </w:rPr>
          <w:fldChar w:fldCharType="begin"/>
        </w:r>
        <w:r w:rsidR="000519FC">
          <w:rPr>
            <w:noProof/>
            <w:webHidden/>
          </w:rPr>
          <w:instrText xml:space="preserve"> PAGEREF _Toc147510623 \h </w:instrText>
        </w:r>
        <w:r w:rsidR="000519FC">
          <w:rPr>
            <w:noProof/>
            <w:webHidden/>
          </w:rPr>
        </w:r>
        <w:r w:rsidR="000519FC">
          <w:rPr>
            <w:noProof/>
            <w:webHidden/>
          </w:rPr>
          <w:fldChar w:fldCharType="separate"/>
        </w:r>
        <w:r w:rsidR="000519FC">
          <w:rPr>
            <w:noProof/>
            <w:webHidden/>
          </w:rPr>
          <w:t>3</w:t>
        </w:r>
        <w:r w:rsidR="000519FC">
          <w:rPr>
            <w:noProof/>
            <w:webHidden/>
          </w:rPr>
          <w:fldChar w:fldCharType="end"/>
        </w:r>
      </w:hyperlink>
    </w:p>
    <w:p w14:paraId="5DE79AD6" w14:textId="24B17AFF" w:rsidR="000519FC" w:rsidRDefault="00000000">
      <w:pPr>
        <w:pStyle w:val="TOC3"/>
        <w:rPr>
          <w:rFonts w:asciiTheme="minorHAnsi" w:eastAsiaTheme="minorEastAsia" w:hAnsiTheme="minorHAnsi" w:cstheme="minorBidi"/>
          <w:noProof/>
          <w:kern w:val="2"/>
          <w:lang w:val="en-US"/>
          <w14:ligatures w14:val="standardContextual"/>
        </w:rPr>
      </w:pPr>
      <w:hyperlink w:anchor="_Toc147510624" w:history="1">
        <w:r w:rsidR="000519FC" w:rsidRPr="009B460D">
          <w:rPr>
            <w:rStyle w:val="Hyperlink"/>
            <w:noProof/>
          </w:rPr>
          <w:t>Veilig omgaan met en gebruik van batterijen</w:t>
        </w:r>
        <w:r w:rsidR="000519FC">
          <w:rPr>
            <w:noProof/>
            <w:webHidden/>
          </w:rPr>
          <w:tab/>
        </w:r>
        <w:r w:rsidR="000519FC">
          <w:rPr>
            <w:noProof/>
            <w:webHidden/>
          </w:rPr>
          <w:fldChar w:fldCharType="begin"/>
        </w:r>
        <w:r w:rsidR="000519FC">
          <w:rPr>
            <w:noProof/>
            <w:webHidden/>
          </w:rPr>
          <w:instrText xml:space="preserve"> PAGEREF _Toc147510624 \h </w:instrText>
        </w:r>
        <w:r w:rsidR="000519FC">
          <w:rPr>
            <w:noProof/>
            <w:webHidden/>
          </w:rPr>
        </w:r>
        <w:r w:rsidR="000519FC">
          <w:rPr>
            <w:noProof/>
            <w:webHidden/>
          </w:rPr>
          <w:fldChar w:fldCharType="separate"/>
        </w:r>
        <w:r w:rsidR="000519FC">
          <w:rPr>
            <w:noProof/>
            <w:webHidden/>
          </w:rPr>
          <w:t>3</w:t>
        </w:r>
        <w:r w:rsidR="000519FC">
          <w:rPr>
            <w:noProof/>
            <w:webHidden/>
          </w:rPr>
          <w:fldChar w:fldCharType="end"/>
        </w:r>
      </w:hyperlink>
    </w:p>
    <w:p w14:paraId="192BE0CF" w14:textId="21B47434" w:rsidR="000519FC" w:rsidRDefault="00000000">
      <w:pPr>
        <w:pStyle w:val="TOC2"/>
        <w:rPr>
          <w:rFonts w:asciiTheme="minorHAnsi" w:eastAsiaTheme="minorEastAsia" w:hAnsiTheme="minorHAnsi" w:cstheme="minorBidi"/>
          <w:noProof/>
          <w:kern w:val="2"/>
          <w:lang w:val="en-US"/>
          <w14:ligatures w14:val="standardContextual"/>
        </w:rPr>
      </w:pPr>
      <w:hyperlink w:anchor="_Toc147510625" w:history="1">
        <w:r w:rsidR="000519FC" w:rsidRPr="009B460D">
          <w:rPr>
            <w:rStyle w:val="Hyperlink"/>
            <w:noProof/>
          </w:rPr>
          <w:t>Markeringslocatie</w:t>
        </w:r>
        <w:r w:rsidR="000519FC">
          <w:rPr>
            <w:noProof/>
            <w:webHidden/>
          </w:rPr>
          <w:tab/>
        </w:r>
        <w:r w:rsidR="000519FC">
          <w:rPr>
            <w:noProof/>
            <w:webHidden/>
          </w:rPr>
          <w:fldChar w:fldCharType="begin"/>
        </w:r>
        <w:r w:rsidR="000519FC">
          <w:rPr>
            <w:noProof/>
            <w:webHidden/>
          </w:rPr>
          <w:instrText xml:space="preserve"> PAGEREF _Toc147510625 \h </w:instrText>
        </w:r>
        <w:r w:rsidR="000519FC">
          <w:rPr>
            <w:noProof/>
            <w:webHidden/>
          </w:rPr>
        </w:r>
        <w:r w:rsidR="000519FC">
          <w:rPr>
            <w:noProof/>
            <w:webHidden/>
          </w:rPr>
          <w:fldChar w:fldCharType="separate"/>
        </w:r>
        <w:r w:rsidR="000519FC">
          <w:rPr>
            <w:noProof/>
            <w:webHidden/>
          </w:rPr>
          <w:t>3</w:t>
        </w:r>
        <w:r w:rsidR="000519FC">
          <w:rPr>
            <w:noProof/>
            <w:webHidden/>
          </w:rPr>
          <w:fldChar w:fldCharType="end"/>
        </w:r>
      </w:hyperlink>
    </w:p>
    <w:p w14:paraId="435C203E" w14:textId="2C6B3B62" w:rsidR="000519FC" w:rsidRDefault="00000000">
      <w:pPr>
        <w:pStyle w:val="TOC2"/>
        <w:rPr>
          <w:rFonts w:asciiTheme="minorHAnsi" w:eastAsiaTheme="minorEastAsia" w:hAnsiTheme="minorHAnsi" w:cstheme="minorBidi"/>
          <w:noProof/>
          <w:kern w:val="2"/>
          <w:lang w:val="en-US"/>
          <w14:ligatures w14:val="standardContextual"/>
        </w:rPr>
      </w:pPr>
      <w:hyperlink w:anchor="_Toc147510626" w:history="1">
        <w:r w:rsidR="000519FC" w:rsidRPr="009B460D">
          <w:rPr>
            <w:rStyle w:val="Hyperlink"/>
            <w:noProof/>
          </w:rPr>
          <w:t>Gebruik op locaties waar kinderen waarschijnlijk niet aanwezig zijn</w:t>
        </w:r>
        <w:r w:rsidR="000519FC">
          <w:rPr>
            <w:noProof/>
            <w:webHidden/>
          </w:rPr>
          <w:tab/>
        </w:r>
        <w:r w:rsidR="000519FC">
          <w:rPr>
            <w:noProof/>
            <w:webHidden/>
          </w:rPr>
          <w:fldChar w:fldCharType="begin"/>
        </w:r>
        <w:r w:rsidR="000519FC">
          <w:rPr>
            <w:noProof/>
            <w:webHidden/>
          </w:rPr>
          <w:instrText xml:space="preserve"> PAGEREF _Toc147510626 \h </w:instrText>
        </w:r>
        <w:r w:rsidR="000519FC">
          <w:rPr>
            <w:noProof/>
            <w:webHidden/>
          </w:rPr>
        </w:r>
        <w:r w:rsidR="000519FC">
          <w:rPr>
            <w:noProof/>
            <w:webHidden/>
          </w:rPr>
          <w:fldChar w:fldCharType="separate"/>
        </w:r>
        <w:r w:rsidR="000519FC">
          <w:rPr>
            <w:noProof/>
            <w:webHidden/>
          </w:rPr>
          <w:t>3</w:t>
        </w:r>
        <w:r w:rsidR="000519FC">
          <w:rPr>
            <w:noProof/>
            <w:webHidden/>
          </w:rPr>
          <w:fldChar w:fldCharType="end"/>
        </w:r>
      </w:hyperlink>
    </w:p>
    <w:p w14:paraId="404DC975" w14:textId="6914CCFA" w:rsidR="000519FC" w:rsidRDefault="00000000">
      <w:pPr>
        <w:pStyle w:val="TOC2"/>
        <w:rPr>
          <w:rFonts w:asciiTheme="minorHAnsi" w:eastAsiaTheme="minorEastAsia" w:hAnsiTheme="minorHAnsi" w:cstheme="minorBidi"/>
          <w:noProof/>
          <w:kern w:val="2"/>
          <w:lang w:val="en-US"/>
          <w14:ligatures w14:val="standardContextual"/>
        </w:rPr>
      </w:pPr>
      <w:hyperlink w:anchor="_Toc147510627" w:history="1">
        <w:r w:rsidR="000519FC" w:rsidRPr="009B460D">
          <w:rPr>
            <w:rStyle w:val="Hyperlink"/>
            <w:noProof/>
          </w:rPr>
          <w:t>Kennisgevingen omtrent beperkte toegang</w:t>
        </w:r>
        <w:r w:rsidR="000519FC">
          <w:rPr>
            <w:noProof/>
            <w:webHidden/>
          </w:rPr>
          <w:tab/>
        </w:r>
        <w:r w:rsidR="000519FC">
          <w:rPr>
            <w:noProof/>
            <w:webHidden/>
          </w:rPr>
          <w:fldChar w:fldCharType="begin"/>
        </w:r>
        <w:r w:rsidR="000519FC">
          <w:rPr>
            <w:noProof/>
            <w:webHidden/>
          </w:rPr>
          <w:instrText xml:space="preserve"> PAGEREF _Toc147510627 \h </w:instrText>
        </w:r>
        <w:r w:rsidR="000519FC">
          <w:rPr>
            <w:noProof/>
            <w:webHidden/>
          </w:rPr>
        </w:r>
        <w:r w:rsidR="000519FC">
          <w:rPr>
            <w:noProof/>
            <w:webHidden/>
          </w:rPr>
          <w:fldChar w:fldCharType="separate"/>
        </w:r>
        <w:r w:rsidR="000519FC">
          <w:rPr>
            <w:noProof/>
            <w:webHidden/>
          </w:rPr>
          <w:t>3</w:t>
        </w:r>
        <w:r w:rsidR="000519FC">
          <w:rPr>
            <w:noProof/>
            <w:webHidden/>
          </w:rPr>
          <w:fldChar w:fldCharType="end"/>
        </w:r>
      </w:hyperlink>
    </w:p>
    <w:p w14:paraId="03366CAB" w14:textId="56EBA97B" w:rsidR="000519FC" w:rsidRDefault="00000000">
      <w:pPr>
        <w:pStyle w:val="TOC2"/>
        <w:rPr>
          <w:rFonts w:asciiTheme="minorHAnsi" w:eastAsiaTheme="minorEastAsia" w:hAnsiTheme="minorHAnsi" w:cstheme="minorBidi"/>
          <w:noProof/>
          <w:kern w:val="2"/>
          <w:lang w:val="en-US"/>
          <w14:ligatures w14:val="standardContextual"/>
        </w:rPr>
      </w:pPr>
      <w:hyperlink w:anchor="_Toc147510628" w:history="1">
        <w:r w:rsidR="000519FC" w:rsidRPr="009B460D">
          <w:rPr>
            <w:rStyle w:val="Hyperlink"/>
            <w:noProof/>
          </w:rPr>
          <w:t>Kennisgeving voor coaxkabel-tv en internetverbinding (op bepaalde modellen)</w:t>
        </w:r>
        <w:r w:rsidR="000519FC">
          <w:rPr>
            <w:noProof/>
            <w:webHidden/>
          </w:rPr>
          <w:tab/>
        </w:r>
        <w:r w:rsidR="000519FC">
          <w:rPr>
            <w:noProof/>
            <w:webHidden/>
          </w:rPr>
          <w:fldChar w:fldCharType="begin"/>
        </w:r>
        <w:r w:rsidR="000519FC">
          <w:rPr>
            <w:noProof/>
            <w:webHidden/>
          </w:rPr>
          <w:instrText xml:space="preserve"> PAGEREF _Toc147510628 \h </w:instrText>
        </w:r>
        <w:r w:rsidR="000519FC">
          <w:rPr>
            <w:noProof/>
            <w:webHidden/>
          </w:rPr>
        </w:r>
        <w:r w:rsidR="000519FC">
          <w:rPr>
            <w:noProof/>
            <w:webHidden/>
          </w:rPr>
          <w:fldChar w:fldCharType="separate"/>
        </w:r>
        <w:r w:rsidR="000519FC">
          <w:rPr>
            <w:noProof/>
            <w:webHidden/>
          </w:rPr>
          <w:t>3</w:t>
        </w:r>
        <w:r w:rsidR="000519FC">
          <w:rPr>
            <w:noProof/>
            <w:webHidden/>
          </w:rPr>
          <w:fldChar w:fldCharType="end"/>
        </w:r>
      </w:hyperlink>
    </w:p>
    <w:p w14:paraId="59F38375" w14:textId="19142E94" w:rsidR="000519FC" w:rsidRDefault="00000000">
      <w:pPr>
        <w:pStyle w:val="TOC1"/>
        <w:rPr>
          <w:rFonts w:asciiTheme="minorHAnsi" w:eastAsiaTheme="minorEastAsia" w:hAnsiTheme="minorHAnsi" w:cstheme="minorBidi"/>
          <w:noProof/>
          <w:kern w:val="2"/>
          <w:lang w:val="en-US"/>
          <w14:ligatures w14:val="standardContextual"/>
        </w:rPr>
      </w:pPr>
      <w:hyperlink w:anchor="_Toc147510629" w:history="1">
        <w:r w:rsidR="000519FC" w:rsidRPr="009B460D">
          <w:rPr>
            <w:rStyle w:val="Hyperlink"/>
            <w:noProof/>
          </w:rPr>
          <w:t>Informatie over de naleving van wettelijke voorschriften</w:t>
        </w:r>
        <w:r w:rsidR="000519FC">
          <w:rPr>
            <w:noProof/>
            <w:webHidden/>
          </w:rPr>
          <w:tab/>
        </w:r>
        <w:r w:rsidR="000519FC">
          <w:rPr>
            <w:noProof/>
            <w:webHidden/>
          </w:rPr>
          <w:fldChar w:fldCharType="begin"/>
        </w:r>
        <w:r w:rsidR="000519FC">
          <w:rPr>
            <w:noProof/>
            <w:webHidden/>
          </w:rPr>
          <w:instrText xml:space="preserve"> PAGEREF _Toc147510629 \h </w:instrText>
        </w:r>
        <w:r w:rsidR="000519FC">
          <w:rPr>
            <w:noProof/>
            <w:webHidden/>
          </w:rPr>
        </w:r>
        <w:r w:rsidR="000519FC">
          <w:rPr>
            <w:noProof/>
            <w:webHidden/>
          </w:rPr>
          <w:fldChar w:fldCharType="separate"/>
        </w:r>
        <w:r w:rsidR="000519FC">
          <w:rPr>
            <w:noProof/>
            <w:webHidden/>
          </w:rPr>
          <w:t>4</w:t>
        </w:r>
        <w:r w:rsidR="000519FC">
          <w:rPr>
            <w:noProof/>
            <w:webHidden/>
          </w:rPr>
          <w:fldChar w:fldCharType="end"/>
        </w:r>
      </w:hyperlink>
    </w:p>
    <w:p w14:paraId="6E070734" w14:textId="3B4D78EF" w:rsidR="000519FC" w:rsidRDefault="00000000">
      <w:pPr>
        <w:pStyle w:val="TOC2"/>
        <w:rPr>
          <w:rFonts w:asciiTheme="minorHAnsi" w:eastAsiaTheme="minorEastAsia" w:hAnsiTheme="minorHAnsi" w:cstheme="minorBidi"/>
          <w:noProof/>
          <w:kern w:val="2"/>
          <w:lang w:val="en-US"/>
          <w14:ligatures w14:val="standardContextual"/>
        </w:rPr>
      </w:pPr>
      <w:hyperlink w:anchor="_Toc147510630" w:history="1">
        <w:r w:rsidR="000519FC" w:rsidRPr="009B460D">
          <w:rPr>
            <w:rStyle w:val="Hyperlink"/>
            <w:noProof/>
          </w:rPr>
          <w:t>Apparatuur die is gecertificeerd voor gebruik buiten</w:t>
        </w:r>
        <w:r w:rsidR="000519FC">
          <w:rPr>
            <w:noProof/>
            <w:webHidden/>
          </w:rPr>
          <w:tab/>
        </w:r>
        <w:r w:rsidR="000519FC">
          <w:rPr>
            <w:noProof/>
            <w:webHidden/>
          </w:rPr>
          <w:fldChar w:fldCharType="begin"/>
        </w:r>
        <w:r w:rsidR="000519FC">
          <w:rPr>
            <w:noProof/>
            <w:webHidden/>
          </w:rPr>
          <w:instrText xml:space="preserve"> PAGEREF _Toc147510630 \h </w:instrText>
        </w:r>
        <w:r w:rsidR="000519FC">
          <w:rPr>
            <w:noProof/>
            <w:webHidden/>
          </w:rPr>
        </w:r>
        <w:r w:rsidR="000519FC">
          <w:rPr>
            <w:noProof/>
            <w:webHidden/>
          </w:rPr>
          <w:fldChar w:fldCharType="separate"/>
        </w:r>
        <w:r w:rsidR="000519FC">
          <w:rPr>
            <w:noProof/>
            <w:webHidden/>
          </w:rPr>
          <w:t>4</w:t>
        </w:r>
        <w:r w:rsidR="000519FC">
          <w:rPr>
            <w:noProof/>
            <w:webHidden/>
          </w:rPr>
          <w:fldChar w:fldCharType="end"/>
        </w:r>
      </w:hyperlink>
    </w:p>
    <w:p w14:paraId="1EAC55B8" w14:textId="11B3812C" w:rsidR="000519FC" w:rsidRDefault="00000000">
      <w:pPr>
        <w:pStyle w:val="TOC2"/>
        <w:rPr>
          <w:rFonts w:asciiTheme="minorHAnsi" w:eastAsiaTheme="minorEastAsia" w:hAnsiTheme="minorHAnsi" w:cstheme="minorBidi"/>
          <w:noProof/>
          <w:kern w:val="2"/>
          <w:lang w:val="en-US"/>
          <w14:ligatures w14:val="standardContextual"/>
        </w:rPr>
      </w:pPr>
      <w:hyperlink w:anchor="_Toc147510631" w:history="1">
        <w:r w:rsidR="000519FC" w:rsidRPr="009B460D">
          <w:rPr>
            <w:rStyle w:val="Hyperlink"/>
            <w:noProof/>
          </w:rPr>
          <w:t>Apparatuur met externe antennes</w:t>
        </w:r>
        <w:r w:rsidR="000519FC">
          <w:rPr>
            <w:noProof/>
            <w:webHidden/>
          </w:rPr>
          <w:tab/>
        </w:r>
        <w:r w:rsidR="000519FC">
          <w:rPr>
            <w:noProof/>
            <w:webHidden/>
          </w:rPr>
          <w:fldChar w:fldCharType="begin"/>
        </w:r>
        <w:r w:rsidR="000519FC">
          <w:rPr>
            <w:noProof/>
            <w:webHidden/>
          </w:rPr>
          <w:instrText xml:space="preserve"> PAGEREF _Toc147510631 \h </w:instrText>
        </w:r>
        <w:r w:rsidR="000519FC">
          <w:rPr>
            <w:noProof/>
            <w:webHidden/>
          </w:rPr>
        </w:r>
        <w:r w:rsidR="000519FC">
          <w:rPr>
            <w:noProof/>
            <w:webHidden/>
          </w:rPr>
          <w:fldChar w:fldCharType="separate"/>
        </w:r>
        <w:r w:rsidR="000519FC">
          <w:rPr>
            <w:noProof/>
            <w:webHidden/>
          </w:rPr>
          <w:t>4</w:t>
        </w:r>
        <w:r w:rsidR="000519FC">
          <w:rPr>
            <w:noProof/>
            <w:webHidden/>
          </w:rPr>
          <w:fldChar w:fldCharType="end"/>
        </w:r>
      </w:hyperlink>
    </w:p>
    <w:p w14:paraId="54614930" w14:textId="2E3B0468" w:rsidR="000519FC" w:rsidRDefault="00000000">
      <w:pPr>
        <w:pStyle w:val="TOC1"/>
        <w:rPr>
          <w:rFonts w:asciiTheme="minorHAnsi" w:eastAsiaTheme="minorEastAsia" w:hAnsiTheme="minorHAnsi" w:cstheme="minorBidi"/>
          <w:noProof/>
          <w:kern w:val="2"/>
          <w:lang w:val="en-US"/>
          <w14:ligatures w14:val="standardContextual"/>
        </w:rPr>
      </w:pPr>
      <w:hyperlink w:anchor="_Toc147510632" w:history="1">
        <w:r w:rsidR="000519FC" w:rsidRPr="009B460D">
          <w:rPr>
            <w:rStyle w:val="Hyperlink"/>
            <w:noProof/>
          </w:rPr>
          <w:t>Wettelijke vereisten voor gebruik in Europa (GB, VK en EU)</w:t>
        </w:r>
        <w:r w:rsidR="000519FC">
          <w:rPr>
            <w:noProof/>
            <w:webHidden/>
          </w:rPr>
          <w:tab/>
        </w:r>
        <w:r w:rsidR="000519FC">
          <w:rPr>
            <w:noProof/>
            <w:webHidden/>
          </w:rPr>
          <w:fldChar w:fldCharType="begin"/>
        </w:r>
        <w:r w:rsidR="000519FC">
          <w:rPr>
            <w:noProof/>
            <w:webHidden/>
          </w:rPr>
          <w:instrText xml:space="preserve"> PAGEREF _Toc147510632 \h </w:instrText>
        </w:r>
        <w:r w:rsidR="000519FC">
          <w:rPr>
            <w:noProof/>
            <w:webHidden/>
          </w:rPr>
        </w:r>
        <w:r w:rsidR="000519FC">
          <w:rPr>
            <w:noProof/>
            <w:webHidden/>
          </w:rPr>
          <w:fldChar w:fldCharType="separate"/>
        </w:r>
        <w:r w:rsidR="000519FC">
          <w:rPr>
            <w:noProof/>
            <w:webHidden/>
          </w:rPr>
          <w:t>7</w:t>
        </w:r>
        <w:r w:rsidR="000519FC">
          <w:rPr>
            <w:noProof/>
            <w:webHidden/>
          </w:rPr>
          <w:fldChar w:fldCharType="end"/>
        </w:r>
      </w:hyperlink>
    </w:p>
    <w:p w14:paraId="33418C02" w14:textId="03864CF0" w:rsidR="000519FC" w:rsidRDefault="00000000">
      <w:pPr>
        <w:pStyle w:val="TOC2"/>
        <w:rPr>
          <w:rFonts w:asciiTheme="minorHAnsi" w:eastAsiaTheme="minorEastAsia" w:hAnsiTheme="minorHAnsi" w:cstheme="minorBidi"/>
          <w:noProof/>
          <w:kern w:val="2"/>
          <w:lang w:val="en-US"/>
          <w14:ligatures w14:val="standardContextual"/>
        </w:rPr>
      </w:pPr>
      <w:hyperlink w:anchor="_Toc147510633" w:history="1">
        <w:r w:rsidR="000519FC" w:rsidRPr="009B460D">
          <w:rPr>
            <w:rStyle w:val="Hyperlink"/>
            <w:noProof/>
          </w:rPr>
          <w:t>Naleving van Richtlijn 2014/53/EU betreffende radioapparatuur (RED)</w:t>
        </w:r>
        <w:r w:rsidR="000519FC">
          <w:rPr>
            <w:noProof/>
            <w:webHidden/>
          </w:rPr>
          <w:tab/>
        </w:r>
        <w:r w:rsidR="000519FC">
          <w:rPr>
            <w:noProof/>
            <w:webHidden/>
          </w:rPr>
          <w:fldChar w:fldCharType="begin"/>
        </w:r>
        <w:r w:rsidR="000519FC">
          <w:rPr>
            <w:noProof/>
            <w:webHidden/>
          </w:rPr>
          <w:instrText xml:space="preserve"> PAGEREF _Toc147510633 \h </w:instrText>
        </w:r>
        <w:r w:rsidR="000519FC">
          <w:rPr>
            <w:noProof/>
            <w:webHidden/>
          </w:rPr>
        </w:r>
        <w:r w:rsidR="000519FC">
          <w:rPr>
            <w:noProof/>
            <w:webHidden/>
          </w:rPr>
          <w:fldChar w:fldCharType="separate"/>
        </w:r>
        <w:r w:rsidR="000519FC">
          <w:rPr>
            <w:noProof/>
            <w:webHidden/>
          </w:rPr>
          <w:t>7</w:t>
        </w:r>
        <w:r w:rsidR="000519FC">
          <w:rPr>
            <w:noProof/>
            <w:webHidden/>
          </w:rPr>
          <w:fldChar w:fldCharType="end"/>
        </w:r>
      </w:hyperlink>
    </w:p>
    <w:p w14:paraId="74A4ECD5" w14:textId="2981A768" w:rsidR="000519FC" w:rsidRDefault="00000000">
      <w:pPr>
        <w:pStyle w:val="TOC3"/>
        <w:rPr>
          <w:rFonts w:asciiTheme="minorHAnsi" w:eastAsiaTheme="minorEastAsia" w:hAnsiTheme="minorHAnsi" w:cstheme="minorBidi"/>
          <w:noProof/>
          <w:kern w:val="2"/>
          <w:lang w:val="en-US"/>
          <w14:ligatures w14:val="standardContextual"/>
        </w:rPr>
      </w:pPr>
      <w:hyperlink w:anchor="_Toc147510634" w:history="1">
        <w:r w:rsidR="000519FC" w:rsidRPr="009B460D">
          <w:rPr>
            <w:rStyle w:val="Hyperlink"/>
            <w:noProof/>
          </w:rPr>
          <w:t>Richtlijnen voor blootstelling aan radiofrequenties</w:t>
        </w:r>
        <w:r w:rsidR="000519FC">
          <w:rPr>
            <w:noProof/>
            <w:webHidden/>
          </w:rPr>
          <w:tab/>
        </w:r>
        <w:r w:rsidR="000519FC">
          <w:rPr>
            <w:noProof/>
            <w:webHidden/>
          </w:rPr>
          <w:fldChar w:fldCharType="begin"/>
        </w:r>
        <w:r w:rsidR="000519FC">
          <w:rPr>
            <w:noProof/>
            <w:webHidden/>
          </w:rPr>
          <w:instrText xml:space="preserve"> PAGEREF _Toc147510634 \h </w:instrText>
        </w:r>
        <w:r w:rsidR="000519FC">
          <w:rPr>
            <w:noProof/>
            <w:webHidden/>
          </w:rPr>
        </w:r>
        <w:r w:rsidR="000519FC">
          <w:rPr>
            <w:noProof/>
            <w:webHidden/>
          </w:rPr>
          <w:fldChar w:fldCharType="separate"/>
        </w:r>
        <w:r w:rsidR="000519FC">
          <w:rPr>
            <w:noProof/>
            <w:webHidden/>
          </w:rPr>
          <w:t>7</w:t>
        </w:r>
        <w:r w:rsidR="000519FC">
          <w:rPr>
            <w:noProof/>
            <w:webHidden/>
          </w:rPr>
          <w:fldChar w:fldCharType="end"/>
        </w:r>
      </w:hyperlink>
    </w:p>
    <w:p w14:paraId="761EABD9" w14:textId="3812BB09" w:rsidR="000519FC" w:rsidRDefault="00000000">
      <w:pPr>
        <w:pStyle w:val="TOC2"/>
        <w:rPr>
          <w:rFonts w:asciiTheme="minorHAnsi" w:eastAsiaTheme="minorEastAsia" w:hAnsiTheme="minorHAnsi" w:cstheme="minorBidi"/>
          <w:noProof/>
          <w:kern w:val="2"/>
          <w:lang w:val="en-US"/>
          <w14:ligatures w14:val="standardContextual"/>
        </w:rPr>
      </w:pPr>
      <w:hyperlink w:anchor="_Toc147510635" w:history="1">
        <w:r w:rsidR="000519FC" w:rsidRPr="009B460D">
          <w:rPr>
            <w:rStyle w:val="Hyperlink"/>
            <w:noProof/>
          </w:rPr>
          <w:t>Specifieke voorzorgsmaatregelen voor EMC</w:t>
        </w:r>
        <w:r w:rsidR="000519FC">
          <w:rPr>
            <w:noProof/>
            <w:webHidden/>
          </w:rPr>
          <w:tab/>
        </w:r>
        <w:r w:rsidR="000519FC">
          <w:rPr>
            <w:noProof/>
            <w:webHidden/>
          </w:rPr>
          <w:fldChar w:fldCharType="begin"/>
        </w:r>
        <w:r w:rsidR="000519FC">
          <w:rPr>
            <w:noProof/>
            <w:webHidden/>
          </w:rPr>
          <w:instrText xml:space="preserve"> PAGEREF _Toc147510635 \h </w:instrText>
        </w:r>
        <w:r w:rsidR="000519FC">
          <w:rPr>
            <w:noProof/>
            <w:webHidden/>
          </w:rPr>
        </w:r>
        <w:r w:rsidR="000519FC">
          <w:rPr>
            <w:noProof/>
            <w:webHidden/>
          </w:rPr>
          <w:fldChar w:fldCharType="separate"/>
        </w:r>
        <w:r w:rsidR="000519FC">
          <w:rPr>
            <w:noProof/>
            <w:webHidden/>
          </w:rPr>
          <w:t>9</w:t>
        </w:r>
        <w:r w:rsidR="000519FC">
          <w:rPr>
            <w:noProof/>
            <w:webHidden/>
          </w:rPr>
          <w:fldChar w:fldCharType="end"/>
        </w:r>
      </w:hyperlink>
    </w:p>
    <w:p w14:paraId="11B3A96F" w14:textId="034A6869" w:rsidR="000519FC" w:rsidRDefault="00000000">
      <w:pPr>
        <w:pStyle w:val="TOC1"/>
        <w:rPr>
          <w:rFonts w:asciiTheme="minorHAnsi" w:eastAsiaTheme="minorEastAsia" w:hAnsiTheme="minorHAnsi" w:cstheme="minorBidi"/>
          <w:noProof/>
          <w:kern w:val="2"/>
          <w:lang w:val="en-US"/>
          <w14:ligatures w14:val="standardContextual"/>
        </w:rPr>
      </w:pPr>
      <w:hyperlink w:anchor="_Toc147510636" w:history="1">
        <w:r w:rsidR="000519FC" w:rsidRPr="009B460D">
          <w:rPr>
            <w:rStyle w:val="Hyperlink"/>
            <w:noProof/>
          </w:rPr>
          <w:t>FCC-vereisten voor gebruik in de Verenigde Staten</w:t>
        </w:r>
        <w:r w:rsidR="000519FC">
          <w:rPr>
            <w:noProof/>
            <w:webHidden/>
          </w:rPr>
          <w:tab/>
        </w:r>
        <w:r w:rsidR="000519FC">
          <w:rPr>
            <w:noProof/>
            <w:webHidden/>
          </w:rPr>
          <w:fldChar w:fldCharType="begin"/>
        </w:r>
        <w:r w:rsidR="000519FC">
          <w:rPr>
            <w:noProof/>
            <w:webHidden/>
          </w:rPr>
          <w:instrText xml:space="preserve"> PAGEREF _Toc147510636 \h </w:instrText>
        </w:r>
        <w:r w:rsidR="000519FC">
          <w:rPr>
            <w:noProof/>
            <w:webHidden/>
          </w:rPr>
        </w:r>
        <w:r w:rsidR="000519FC">
          <w:rPr>
            <w:noProof/>
            <w:webHidden/>
          </w:rPr>
          <w:fldChar w:fldCharType="separate"/>
        </w:r>
        <w:r w:rsidR="000519FC">
          <w:rPr>
            <w:noProof/>
            <w:webHidden/>
          </w:rPr>
          <w:t>9</w:t>
        </w:r>
        <w:r w:rsidR="000519FC">
          <w:rPr>
            <w:noProof/>
            <w:webHidden/>
          </w:rPr>
          <w:fldChar w:fldCharType="end"/>
        </w:r>
      </w:hyperlink>
    </w:p>
    <w:p w14:paraId="3477B5B5" w14:textId="38679B69" w:rsidR="000519FC" w:rsidRDefault="00000000">
      <w:pPr>
        <w:pStyle w:val="TOC2"/>
        <w:rPr>
          <w:rFonts w:asciiTheme="minorHAnsi" w:eastAsiaTheme="minorEastAsia" w:hAnsiTheme="minorHAnsi" w:cstheme="minorBidi"/>
          <w:noProof/>
          <w:kern w:val="2"/>
          <w:lang w:val="en-US"/>
          <w14:ligatures w14:val="standardContextual"/>
        </w:rPr>
      </w:pPr>
      <w:hyperlink w:anchor="_Toc147510637" w:history="1">
        <w:r w:rsidR="000519FC" w:rsidRPr="009B460D">
          <w:rPr>
            <w:rStyle w:val="Hyperlink"/>
            <w:noProof/>
          </w:rPr>
          <w:t>FCC-conformiteitsverklaring</w:t>
        </w:r>
        <w:r w:rsidR="000519FC">
          <w:rPr>
            <w:noProof/>
            <w:webHidden/>
          </w:rPr>
          <w:tab/>
        </w:r>
        <w:r w:rsidR="000519FC">
          <w:rPr>
            <w:noProof/>
            <w:webHidden/>
          </w:rPr>
          <w:fldChar w:fldCharType="begin"/>
        </w:r>
        <w:r w:rsidR="000519FC">
          <w:rPr>
            <w:noProof/>
            <w:webHidden/>
          </w:rPr>
          <w:instrText xml:space="preserve"> PAGEREF _Toc147510637 \h </w:instrText>
        </w:r>
        <w:r w:rsidR="000519FC">
          <w:rPr>
            <w:noProof/>
            <w:webHidden/>
          </w:rPr>
        </w:r>
        <w:r w:rsidR="000519FC">
          <w:rPr>
            <w:noProof/>
            <w:webHidden/>
          </w:rPr>
          <w:fldChar w:fldCharType="separate"/>
        </w:r>
        <w:r w:rsidR="000519FC">
          <w:rPr>
            <w:noProof/>
            <w:webHidden/>
          </w:rPr>
          <w:t>9</w:t>
        </w:r>
        <w:r w:rsidR="000519FC">
          <w:rPr>
            <w:noProof/>
            <w:webHidden/>
          </w:rPr>
          <w:fldChar w:fldCharType="end"/>
        </w:r>
      </w:hyperlink>
    </w:p>
    <w:p w14:paraId="6F82A4F0" w14:textId="70EEFC81" w:rsidR="000519FC" w:rsidRDefault="00000000">
      <w:pPr>
        <w:pStyle w:val="TOC2"/>
        <w:rPr>
          <w:rFonts w:asciiTheme="minorHAnsi" w:eastAsiaTheme="minorEastAsia" w:hAnsiTheme="minorHAnsi" w:cstheme="minorBidi"/>
          <w:noProof/>
          <w:kern w:val="2"/>
          <w:lang w:val="en-US"/>
          <w14:ligatures w14:val="standardContextual"/>
        </w:rPr>
      </w:pPr>
      <w:hyperlink w:anchor="_Toc147510638" w:history="1">
        <w:r w:rsidR="000519FC" w:rsidRPr="009B460D">
          <w:rPr>
            <w:rStyle w:val="Hyperlink"/>
            <w:noProof/>
          </w:rPr>
          <w:t>FCC-informatie voor de gebruiker</w:t>
        </w:r>
        <w:r w:rsidR="000519FC">
          <w:rPr>
            <w:noProof/>
            <w:webHidden/>
          </w:rPr>
          <w:tab/>
        </w:r>
        <w:r w:rsidR="000519FC">
          <w:rPr>
            <w:noProof/>
            <w:webHidden/>
          </w:rPr>
          <w:fldChar w:fldCharType="begin"/>
        </w:r>
        <w:r w:rsidR="000519FC">
          <w:rPr>
            <w:noProof/>
            <w:webHidden/>
          </w:rPr>
          <w:instrText xml:space="preserve"> PAGEREF _Toc147510638 \h </w:instrText>
        </w:r>
        <w:r w:rsidR="000519FC">
          <w:rPr>
            <w:noProof/>
            <w:webHidden/>
          </w:rPr>
        </w:r>
        <w:r w:rsidR="000519FC">
          <w:rPr>
            <w:noProof/>
            <w:webHidden/>
          </w:rPr>
          <w:fldChar w:fldCharType="separate"/>
        </w:r>
        <w:r w:rsidR="000519FC">
          <w:rPr>
            <w:noProof/>
            <w:webHidden/>
          </w:rPr>
          <w:t>10</w:t>
        </w:r>
        <w:r w:rsidR="000519FC">
          <w:rPr>
            <w:noProof/>
            <w:webHidden/>
          </w:rPr>
          <w:fldChar w:fldCharType="end"/>
        </w:r>
      </w:hyperlink>
    </w:p>
    <w:p w14:paraId="01FE7045" w14:textId="3CC562AF" w:rsidR="000519FC" w:rsidRDefault="00000000">
      <w:pPr>
        <w:pStyle w:val="TOC2"/>
        <w:rPr>
          <w:rFonts w:asciiTheme="minorHAnsi" w:eastAsiaTheme="minorEastAsia" w:hAnsiTheme="minorHAnsi" w:cstheme="minorBidi"/>
          <w:noProof/>
          <w:kern w:val="2"/>
          <w:lang w:val="en-US"/>
          <w14:ligatures w14:val="standardContextual"/>
        </w:rPr>
      </w:pPr>
      <w:hyperlink w:anchor="_Toc147510639" w:history="1">
        <w:r w:rsidR="000519FC" w:rsidRPr="009B460D">
          <w:rPr>
            <w:rStyle w:val="Hyperlink"/>
            <w:noProof/>
          </w:rPr>
          <w:t>Waarschuwingen en instructies van de FCC over radiofrequenties</w:t>
        </w:r>
        <w:r w:rsidR="000519FC">
          <w:rPr>
            <w:noProof/>
            <w:webHidden/>
          </w:rPr>
          <w:tab/>
        </w:r>
        <w:r w:rsidR="000519FC">
          <w:rPr>
            <w:noProof/>
            <w:webHidden/>
          </w:rPr>
          <w:fldChar w:fldCharType="begin"/>
        </w:r>
        <w:r w:rsidR="000519FC">
          <w:rPr>
            <w:noProof/>
            <w:webHidden/>
          </w:rPr>
          <w:instrText xml:space="preserve"> PAGEREF _Toc147510639 \h </w:instrText>
        </w:r>
        <w:r w:rsidR="000519FC">
          <w:rPr>
            <w:noProof/>
            <w:webHidden/>
          </w:rPr>
        </w:r>
        <w:r w:rsidR="000519FC">
          <w:rPr>
            <w:noProof/>
            <w:webHidden/>
          </w:rPr>
          <w:fldChar w:fldCharType="separate"/>
        </w:r>
        <w:r w:rsidR="000519FC">
          <w:rPr>
            <w:noProof/>
            <w:webHidden/>
          </w:rPr>
          <w:t>10</w:t>
        </w:r>
        <w:r w:rsidR="000519FC">
          <w:rPr>
            <w:noProof/>
            <w:webHidden/>
          </w:rPr>
          <w:fldChar w:fldCharType="end"/>
        </w:r>
      </w:hyperlink>
    </w:p>
    <w:p w14:paraId="1925BBE5" w14:textId="5D4897BF" w:rsidR="000519FC" w:rsidRDefault="00000000">
      <w:pPr>
        <w:pStyle w:val="TOC3"/>
        <w:rPr>
          <w:rFonts w:asciiTheme="minorHAnsi" w:eastAsiaTheme="minorEastAsia" w:hAnsiTheme="minorHAnsi" w:cstheme="minorBidi"/>
          <w:noProof/>
          <w:kern w:val="2"/>
          <w:lang w:val="en-US"/>
          <w14:ligatures w14:val="standardContextual"/>
        </w:rPr>
      </w:pPr>
      <w:hyperlink w:anchor="_Toc147510640" w:history="1">
        <w:r w:rsidR="000519FC" w:rsidRPr="009B460D">
          <w:rPr>
            <w:rStyle w:val="Hyperlink"/>
            <w:noProof/>
          </w:rPr>
          <w:t>Gebruik van landcodeselectie (WLAN-apparaten)</w:t>
        </w:r>
        <w:r w:rsidR="000519FC">
          <w:rPr>
            <w:noProof/>
            <w:webHidden/>
          </w:rPr>
          <w:tab/>
        </w:r>
        <w:r w:rsidR="000519FC">
          <w:rPr>
            <w:noProof/>
            <w:webHidden/>
          </w:rPr>
          <w:fldChar w:fldCharType="begin"/>
        </w:r>
        <w:r w:rsidR="000519FC">
          <w:rPr>
            <w:noProof/>
            <w:webHidden/>
          </w:rPr>
          <w:instrText xml:space="preserve"> PAGEREF _Toc147510640 \h </w:instrText>
        </w:r>
        <w:r w:rsidR="000519FC">
          <w:rPr>
            <w:noProof/>
            <w:webHidden/>
          </w:rPr>
        </w:r>
        <w:r w:rsidR="000519FC">
          <w:rPr>
            <w:noProof/>
            <w:webHidden/>
          </w:rPr>
          <w:fldChar w:fldCharType="separate"/>
        </w:r>
        <w:r w:rsidR="000519FC">
          <w:rPr>
            <w:noProof/>
            <w:webHidden/>
          </w:rPr>
          <w:t>10</w:t>
        </w:r>
        <w:r w:rsidR="000519FC">
          <w:rPr>
            <w:noProof/>
            <w:webHidden/>
          </w:rPr>
          <w:fldChar w:fldCharType="end"/>
        </w:r>
      </w:hyperlink>
    </w:p>
    <w:p w14:paraId="57A5F5D7" w14:textId="6F14DEA6" w:rsidR="000519FC" w:rsidRDefault="00000000">
      <w:pPr>
        <w:pStyle w:val="TOC3"/>
        <w:rPr>
          <w:rFonts w:asciiTheme="minorHAnsi" w:eastAsiaTheme="minorEastAsia" w:hAnsiTheme="minorHAnsi" w:cstheme="minorBidi"/>
          <w:noProof/>
          <w:kern w:val="2"/>
          <w:lang w:val="en-US"/>
          <w14:ligatures w14:val="standardContextual"/>
        </w:rPr>
      </w:pPr>
      <w:hyperlink w:anchor="_Toc147510641" w:history="1">
        <w:r w:rsidR="000519FC" w:rsidRPr="009B460D">
          <w:rPr>
            <w:rStyle w:val="Hyperlink"/>
            <w:noProof/>
          </w:rPr>
          <w:t>5,9 en 6 GHz WiFi-apparaten</w:t>
        </w:r>
        <w:r w:rsidR="000519FC">
          <w:rPr>
            <w:noProof/>
            <w:webHidden/>
          </w:rPr>
          <w:tab/>
        </w:r>
        <w:r w:rsidR="000519FC">
          <w:rPr>
            <w:noProof/>
            <w:webHidden/>
          </w:rPr>
          <w:fldChar w:fldCharType="begin"/>
        </w:r>
        <w:r w:rsidR="000519FC">
          <w:rPr>
            <w:noProof/>
            <w:webHidden/>
          </w:rPr>
          <w:instrText xml:space="preserve"> PAGEREF _Toc147510641 \h </w:instrText>
        </w:r>
        <w:r w:rsidR="000519FC">
          <w:rPr>
            <w:noProof/>
            <w:webHidden/>
          </w:rPr>
        </w:r>
        <w:r w:rsidR="000519FC">
          <w:rPr>
            <w:noProof/>
            <w:webHidden/>
          </w:rPr>
          <w:fldChar w:fldCharType="separate"/>
        </w:r>
        <w:r w:rsidR="000519FC">
          <w:rPr>
            <w:noProof/>
            <w:webHidden/>
          </w:rPr>
          <w:t>10</w:t>
        </w:r>
        <w:r w:rsidR="000519FC">
          <w:rPr>
            <w:noProof/>
            <w:webHidden/>
          </w:rPr>
          <w:fldChar w:fldCharType="end"/>
        </w:r>
      </w:hyperlink>
    </w:p>
    <w:p w14:paraId="14D52C0C" w14:textId="3559F4EE" w:rsidR="000519FC" w:rsidRDefault="00000000">
      <w:pPr>
        <w:pStyle w:val="TOC2"/>
        <w:rPr>
          <w:rFonts w:asciiTheme="minorHAnsi" w:eastAsiaTheme="minorEastAsia" w:hAnsiTheme="minorHAnsi" w:cstheme="minorBidi"/>
          <w:noProof/>
          <w:kern w:val="2"/>
          <w:lang w:val="en-US"/>
          <w14:ligatures w14:val="standardContextual"/>
        </w:rPr>
      </w:pPr>
      <w:hyperlink w:anchor="_Toc147510642" w:history="1">
        <w:r w:rsidR="000519FC" w:rsidRPr="009B460D">
          <w:rPr>
            <w:rStyle w:val="Hyperlink"/>
            <w:noProof/>
          </w:rPr>
          <w:t>FCC-verklaringen over blootstelling aan RF-straling en SAR</w:t>
        </w:r>
        <w:r w:rsidR="000519FC">
          <w:rPr>
            <w:noProof/>
            <w:webHidden/>
          </w:rPr>
          <w:tab/>
        </w:r>
        <w:r w:rsidR="000519FC">
          <w:rPr>
            <w:noProof/>
            <w:webHidden/>
          </w:rPr>
          <w:fldChar w:fldCharType="begin"/>
        </w:r>
        <w:r w:rsidR="000519FC">
          <w:rPr>
            <w:noProof/>
            <w:webHidden/>
          </w:rPr>
          <w:instrText xml:space="preserve"> PAGEREF _Toc147510642 \h </w:instrText>
        </w:r>
        <w:r w:rsidR="000519FC">
          <w:rPr>
            <w:noProof/>
            <w:webHidden/>
          </w:rPr>
        </w:r>
        <w:r w:rsidR="000519FC">
          <w:rPr>
            <w:noProof/>
            <w:webHidden/>
          </w:rPr>
          <w:fldChar w:fldCharType="separate"/>
        </w:r>
        <w:r w:rsidR="000519FC">
          <w:rPr>
            <w:noProof/>
            <w:webHidden/>
          </w:rPr>
          <w:t>10</w:t>
        </w:r>
        <w:r w:rsidR="000519FC">
          <w:rPr>
            <w:noProof/>
            <w:webHidden/>
          </w:rPr>
          <w:fldChar w:fldCharType="end"/>
        </w:r>
      </w:hyperlink>
    </w:p>
    <w:p w14:paraId="51079443" w14:textId="58113FEA" w:rsidR="000519FC" w:rsidRDefault="00000000">
      <w:pPr>
        <w:pStyle w:val="TOC3"/>
        <w:rPr>
          <w:rFonts w:asciiTheme="minorHAnsi" w:eastAsiaTheme="minorEastAsia" w:hAnsiTheme="minorHAnsi" w:cstheme="minorBidi"/>
          <w:noProof/>
          <w:kern w:val="2"/>
          <w:lang w:val="en-US"/>
          <w14:ligatures w14:val="standardContextual"/>
        </w:rPr>
      </w:pPr>
      <w:hyperlink w:anchor="_Toc147510643" w:history="1">
        <w:r w:rsidR="000519FC" w:rsidRPr="009B460D">
          <w:rPr>
            <w:rStyle w:val="Hyperlink"/>
            <w:noProof/>
          </w:rPr>
          <w:t>De informatie in dit gedeelte is van toepassing op producten die gegevens verzenden of draadloos communiceren SAR-verklaring</w:t>
        </w:r>
        <w:r w:rsidR="000519FC">
          <w:rPr>
            <w:noProof/>
            <w:webHidden/>
          </w:rPr>
          <w:tab/>
        </w:r>
        <w:r w:rsidR="000519FC">
          <w:rPr>
            <w:noProof/>
            <w:webHidden/>
          </w:rPr>
          <w:fldChar w:fldCharType="begin"/>
        </w:r>
        <w:r w:rsidR="000519FC">
          <w:rPr>
            <w:noProof/>
            <w:webHidden/>
          </w:rPr>
          <w:instrText xml:space="preserve"> PAGEREF _Toc147510643 \h </w:instrText>
        </w:r>
        <w:r w:rsidR="000519FC">
          <w:rPr>
            <w:noProof/>
            <w:webHidden/>
          </w:rPr>
        </w:r>
        <w:r w:rsidR="000519FC">
          <w:rPr>
            <w:noProof/>
            <w:webHidden/>
          </w:rPr>
          <w:fldChar w:fldCharType="separate"/>
        </w:r>
        <w:r w:rsidR="000519FC">
          <w:rPr>
            <w:noProof/>
            <w:webHidden/>
          </w:rPr>
          <w:t>10</w:t>
        </w:r>
        <w:r w:rsidR="000519FC">
          <w:rPr>
            <w:noProof/>
            <w:webHidden/>
          </w:rPr>
          <w:fldChar w:fldCharType="end"/>
        </w:r>
      </w:hyperlink>
    </w:p>
    <w:p w14:paraId="2ACFA841" w14:textId="0654A830" w:rsidR="000519FC" w:rsidRDefault="00000000">
      <w:pPr>
        <w:pStyle w:val="TOC3"/>
        <w:rPr>
          <w:rFonts w:asciiTheme="minorHAnsi" w:eastAsiaTheme="minorEastAsia" w:hAnsiTheme="minorHAnsi" w:cstheme="minorBidi"/>
          <w:noProof/>
          <w:kern w:val="2"/>
          <w:lang w:val="en-US"/>
          <w14:ligatures w14:val="standardContextual"/>
        </w:rPr>
      </w:pPr>
      <w:hyperlink w:anchor="_Toc147510644" w:history="1">
        <w:r w:rsidR="000519FC" w:rsidRPr="009B460D">
          <w:rPr>
            <w:rStyle w:val="Hyperlink"/>
            <w:noProof/>
          </w:rPr>
          <w:t>Verklaring over maximaal toelaatbare blootstelling (MPE)</w:t>
        </w:r>
        <w:r w:rsidR="000519FC">
          <w:rPr>
            <w:noProof/>
            <w:webHidden/>
          </w:rPr>
          <w:tab/>
        </w:r>
        <w:r w:rsidR="000519FC">
          <w:rPr>
            <w:noProof/>
            <w:webHidden/>
          </w:rPr>
          <w:fldChar w:fldCharType="begin"/>
        </w:r>
        <w:r w:rsidR="000519FC">
          <w:rPr>
            <w:noProof/>
            <w:webHidden/>
          </w:rPr>
          <w:instrText xml:space="preserve"> PAGEREF _Toc147510644 \h </w:instrText>
        </w:r>
        <w:r w:rsidR="000519FC">
          <w:rPr>
            <w:noProof/>
            <w:webHidden/>
          </w:rPr>
        </w:r>
        <w:r w:rsidR="000519FC">
          <w:rPr>
            <w:noProof/>
            <w:webHidden/>
          </w:rPr>
          <w:fldChar w:fldCharType="separate"/>
        </w:r>
        <w:r w:rsidR="000519FC">
          <w:rPr>
            <w:noProof/>
            <w:webHidden/>
          </w:rPr>
          <w:t>12</w:t>
        </w:r>
        <w:r w:rsidR="000519FC">
          <w:rPr>
            <w:noProof/>
            <w:webHidden/>
          </w:rPr>
          <w:fldChar w:fldCharType="end"/>
        </w:r>
      </w:hyperlink>
    </w:p>
    <w:p w14:paraId="7B769E40" w14:textId="75D6084E" w:rsidR="000519FC" w:rsidRDefault="00000000">
      <w:pPr>
        <w:pStyle w:val="TOC2"/>
        <w:rPr>
          <w:rFonts w:asciiTheme="minorHAnsi" w:eastAsiaTheme="minorEastAsia" w:hAnsiTheme="minorHAnsi" w:cstheme="minorBidi"/>
          <w:noProof/>
          <w:kern w:val="2"/>
          <w:lang w:val="en-US"/>
          <w14:ligatures w14:val="standardContextual"/>
        </w:rPr>
      </w:pPr>
      <w:hyperlink w:anchor="_Toc147510645" w:history="1">
        <w:r w:rsidR="000519FC" w:rsidRPr="009B460D">
          <w:rPr>
            <w:rStyle w:val="Hyperlink"/>
            <w:noProof/>
          </w:rPr>
          <w:t>Specifieke voorzorgsmaatregelen voor EMC</w:t>
        </w:r>
        <w:r w:rsidR="000519FC">
          <w:rPr>
            <w:noProof/>
            <w:webHidden/>
          </w:rPr>
          <w:tab/>
        </w:r>
        <w:r w:rsidR="000519FC">
          <w:rPr>
            <w:noProof/>
            <w:webHidden/>
          </w:rPr>
          <w:fldChar w:fldCharType="begin"/>
        </w:r>
        <w:r w:rsidR="000519FC">
          <w:rPr>
            <w:noProof/>
            <w:webHidden/>
          </w:rPr>
          <w:instrText xml:space="preserve"> PAGEREF _Toc147510645 \h </w:instrText>
        </w:r>
        <w:r w:rsidR="000519FC">
          <w:rPr>
            <w:noProof/>
            <w:webHidden/>
          </w:rPr>
        </w:r>
        <w:r w:rsidR="000519FC">
          <w:rPr>
            <w:noProof/>
            <w:webHidden/>
          </w:rPr>
          <w:fldChar w:fldCharType="separate"/>
        </w:r>
        <w:r w:rsidR="000519FC">
          <w:rPr>
            <w:noProof/>
            <w:webHidden/>
          </w:rPr>
          <w:t>12</w:t>
        </w:r>
        <w:r w:rsidR="000519FC">
          <w:rPr>
            <w:noProof/>
            <w:webHidden/>
          </w:rPr>
          <w:fldChar w:fldCharType="end"/>
        </w:r>
      </w:hyperlink>
    </w:p>
    <w:p w14:paraId="10A1F8E3" w14:textId="2FC91963" w:rsidR="000519FC" w:rsidRDefault="00000000">
      <w:pPr>
        <w:pStyle w:val="TOC3"/>
        <w:rPr>
          <w:rFonts w:asciiTheme="minorHAnsi" w:eastAsiaTheme="minorEastAsia" w:hAnsiTheme="minorHAnsi" w:cstheme="minorBidi"/>
          <w:noProof/>
          <w:kern w:val="2"/>
          <w:lang w:val="en-US"/>
          <w14:ligatures w14:val="standardContextual"/>
        </w:rPr>
      </w:pPr>
      <w:hyperlink w:anchor="_Toc147510646" w:history="1">
        <w:r w:rsidR="000519FC" w:rsidRPr="009B460D">
          <w:rPr>
            <w:rStyle w:val="Hyperlink"/>
            <w:noProof/>
          </w:rPr>
          <w:t>Klasse B-producten</w:t>
        </w:r>
        <w:r w:rsidR="000519FC">
          <w:rPr>
            <w:noProof/>
            <w:webHidden/>
          </w:rPr>
          <w:tab/>
        </w:r>
        <w:r w:rsidR="000519FC">
          <w:rPr>
            <w:noProof/>
            <w:webHidden/>
          </w:rPr>
          <w:fldChar w:fldCharType="begin"/>
        </w:r>
        <w:r w:rsidR="000519FC">
          <w:rPr>
            <w:noProof/>
            <w:webHidden/>
          </w:rPr>
          <w:instrText xml:space="preserve"> PAGEREF _Toc147510646 \h </w:instrText>
        </w:r>
        <w:r w:rsidR="000519FC">
          <w:rPr>
            <w:noProof/>
            <w:webHidden/>
          </w:rPr>
        </w:r>
        <w:r w:rsidR="000519FC">
          <w:rPr>
            <w:noProof/>
            <w:webHidden/>
          </w:rPr>
          <w:fldChar w:fldCharType="separate"/>
        </w:r>
        <w:r w:rsidR="000519FC">
          <w:rPr>
            <w:noProof/>
            <w:webHidden/>
          </w:rPr>
          <w:t>12</w:t>
        </w:r>
        <w:r w:rsidR="000519FC">
          <w:rPr>
            <w:noProof/>
            <w:webHidden/>
          </w:rPr>
          <w:fldChar w:fldCharType="end"/>
        </w:r>
      </w:hyperlink>
    </w:p>
    <w:p w14:paraId="30D5C4DA" w14:textId="738F13B4" w:rsidR="000519FC" w:rsidRDefault="00000000">
      <w:pPr>
        <w:pStyle w:val="TOC3"/>
        <w:rPr>
          <w:rFonts w:asciiTheme="minorHAnsi" w:eastAsiaTheme="minorEastAsia" w:hAnsiTheme="minorHAnsi" w:cstheme="minorBidi"/>
          <w:noProof/>
          <w:kern w:val="2"/>
          <w:lang w:val="en-US"/>
          <w14:ligatures w14:val="standardContextual"/>
        </w:rPr>
      </w:pPr>
      <w:hyperlink w:anchor="_Toc147510647" w:history="1">
        <w:r w:rsidR="000519FC" w:rsidRPr="009B460D">
          <w:rPr>
            <w:rStyle w:val="Hyperlink"/>
            <w:noProof/>
          </w:rPr>
          <w:t>Klasse A-producten</w:t>
        </w:r>
        <w:r w:rsidR="000519FC">
          <w:rPr>
            <w:noProof/>
            <w:webHidden/>
          </w:rPr>
          <w:tab/>
        </w:r>
        <w:r w:rsidR="000519FC">
          <w:rPr>
            <w:noProof/>
            <w:webHidden/>
          </w:rPr>
          <w:fldChar w:fldCharType="begin"/>
        </w:r>
        <w:r w:rsidR="000519FC">
          <w:rPr>
            <w:noProof/>
            <w:webHidden/>
          </w:rPr>
          <w:instrText xml:space="preserve"> PAGEREF _Toc147510647 \h </w:instrText>
        </w:r>
        <w:r w:rsidR="000519FC">
          <w:rPr>
            <w:noProof/>
            <w:webHidden/>
          </w:rPr>
        </w:r>
        <w:r w:rsidR="000519FC">
          <w:rPr>
            <w:noProof/>
            <w:webHidden/>
          </w:rPr>
          <w:fldChar w:fldCharType="separate"/>
        </w:r>
        <w:r w:rsidR="000519FC">
          <w:rPr>
            <w:noProof/>
            <w:webHidden/>
          </w:rPr>
          <w:t>12</w:t>
        </w:r>
        <w:r w:rsidR="000519FC">
          <w:rPr>
            <w:noProof/>
            <w:webHidden/>
          </w:rPr>
          <w:fldChar w:fldCharType="end"/>
        </w:r>
      </w:hyperlink>
    </w:p>
    <w:p w14:paraId="13EDB55E" w14:textId="1BF61E5F" w:rsidR="000519FC" w:rsidRDefault="00000000">
      <w:pPr>
        <w:pStyle w:val="TOC1"/>
        <w:rPr>
          <w:rFonts w:asciiTheme="minorHAnsi" w:eastAsiaTheme="minorEastAsia" w:hAnsiTheme="minorHAnsi" w:cstheme="minorBidi"/>
          <w:noProof/>
          <w:kern w:val="2"/>
          <w:lang w:val="en-US"/>
          <w14:ligatures w14:val="standardContextual"/>
        </w:rPr>
      </w:pPr>
      <w:hyperlink w:anchor="_Toc147510648" w:history="1">
        <w:r w:rsidR="000519FC" w:rsidRPr="009B460D">
          <w:rPr>
            <w:rStyle w:val="Hyperlink"/>
            <w:noProof/>
            <w:lang w:val="en-US"/>
          </w:rPr>
          <w:t>Canadese ISED-regelgeving (Innovation, Science and Economic Development)</w:t>
        </w:r>
        <w:r w:rsidR="000519FC">
          <w:rPr>
            <w:noProof/>
            <w:webHidden/>
          </w:rPr>
          <w:tab/>
        </w:r>
        <w:r w:rsidR="000519FC">
          <w:rPr>
            <w:noProof/>
            <w:webHidden/>
          </w:rPr>
          <w:fldChar w:fldCharType="begin"/>
        </w:r>
        <w:r w:rsidR="000519FC">
          <w:rPr>
            <w:noProof/>
            <w:webHidden/>
          </w:rPr>
          <w:instrText xml:space="preserve"> PAGEREF _Toc147510648 \h </w:instrText>
        </w:r>
        <w:r w:rsidR="000519FC">
          <w:rPr>
            <w:noProof/>
            <w:webHidden/>
          </w:rPr>
        </w:r>
        <w:r w:rsidR="000519FC">
          <w:rPr>
            <w:noProof/>
            <w:webHidden/>
          </w:rPr>
          <w:fldChar w:fldCharType="separate"/>
        </w:r>
        <w:r w:rsidR="000519FC">
          <w:rPr>
            <w:noProof/>
            <w:webHidden/>
          </w:rPr>
          <w:t>13</w:t>
        </w:r>
        <w:r w:rsidR="000519FC">
          <w:rPr>
            <w:noProof/>
            <w:webHidden/>
          </w:rPr>
          <w:fldChar w:fldCharType="end"/>
        </w:r>
      </w:hyperlink>
    </w:p>
    <w:p w14:paraId="21538648" w14:textId="3E2BFC66" w:rsidR="000519FC" w:rsidRDefault="00000000">
      <w:pPr>
        <w:pStyle w:val="TOC2"/>
        <w:rPr>
          <w:rFonts w:asciiTheme="minorHAnsi" w:eastAsiaTheme="minorEastAsia" w:hAnsiTheme="minorHAnsi" w:cstheme="minorBidi"/>
          <w:noProof/>
          <w:kern w:val="2"/>
          <w:lang w:val="en-US"/>
          <w14:ligatures w14:val="standardContextual"/>
        </w:rPr>
      </w:pPr>
      <w:hyperlink w:anchor="_Toc147510649" w:history="1">
        <w:r w:rsidR="000519FC" w:rsidRPr="009B460D">
          <w:rPr>
            <w:rStyle w:val="Hyperlink"/>
            <w:noProof/>
          </w:rPr>
          <w:t>Waarschuwingen en instructies voor radiofrequenties</w:t>
        </w:r>
        <w:r w:rsidR="000519FC">
          <w:rPr>
            <w:noProof/>
            <w:webHidden/>
          </w:rPr>
          <w:tab/>
        </w:r>
        <w:r w:rsidR="000519FC">
          <w:rPr>
            <w:noProof/>
            <w:webHidden/>
          </w:rPr>
          <w:fldChar w:fldCharType="begin"/>
        </w:r>
        <w:r w:rsidR="000519FC">
          <w:rPr>
            <w:noProof/>
            <w:webHidden/>
          </w:rPr>
          <w:instrText xml:space="preserve"> PAGEREF _Toc147510649 \h </w:instrText>
        </w:r>
        <w:r w:rsidR="000519FC">
          <w:rPr>
            <w:noProof/>
            <w:webHidden/>
          </w:rPr>
        </w:r>
        <w:r w:rsidR="000519FC">
          <w:rPr>
            <w:noProof/>
            <w:webHidden/>
          </w:rPr>
          <w:fldChar w:fldCharType="separate"/>
        </w:r>
        <w:r w:rsidR="000519FC">
          <w:rPr>
            <w:noProof/>
            <w:webHidden/>
          </w:rPr>
          <w:t>13</w:t>
        </w:r>
        <w:r w:rsidR="000519FC">
          <w:rPr>
            <w:noProof/>
            <w:webHidden/>
          </w:rPr>
          <w:fldChar w:fldCharType="end"/>
        </w:r>
      </w:hyperlink>
    </w:p>
    <w:p w14:paraId="1C53354D" w14:textId="401EA2E4" w:rsidR="000519FC" w:rsidRDefault="00000000">
      <w:pPr>
        <w:pStyle w:val="TOC2"/>
        <w:rPr>
          <w:rFonts w:asciiTheme="minorHAnsi" w:eastAsiaTheme="minorEastAsia" w:hAnsiTheme="minorHAnsi" w:cstheme="minorBidi"/>
          <w:noProof/>
          <w:kern w:val="2"/>
          <w:lang w:val="en-US"/>
          <w14:ligatures w14:val="standardContextual"/>
        </w:rPr>
      </w:pPr>
      <w:hyperlink w:anchor="_Toc147510650" w:history="1">
        <w:r w:rsidR="000519FC" w:rsidRPr="009B460D">
          <w:rPr>
            <w:rStyle w:val="Hyperlink"/>
            <w:noProof/>
          </w:rPr>
          <w:t>BELANGRIJKE OPMERKING: Verklaring betreffende blootstelling aan straling</w:t>
        </w:r>
        <w:r w:rsidR="000519FC">
          <w:rPr>
            <w:noProof/>
            <w:webHidden/>
          </w:rPr>
          <w:tab/>
        </w:r>
        <w:r w:rsidR="000519FC">
          <w:rPr>
            <w:noProof/>
            <w:webHidden/>
          </w:rPr>
          <w:fldChar w:fldCharType="begin"/>
        </w:r>
        <w:r w:rsidR="000519FC">
          <w:rPr>
            <w:noProof/>
            <w:webHidden/>
          </w:rPr>
          <w:instrText xml:space="preserve"> PAGEREF _Toc147510650 \h </w:instrText>
        </w:r>
        <w:r w:rsidR="000519FC">
          <w:rPr>
            <w:noProof/>
            <w:webHidden/>
          </w:rPr>
        </w:r>
        <w:r w:rsidR="000519FC">
          <w:rPr>
            <w:noProof/>
            <w:webHidden/>
          </w:rPr>
          <w:fldChar w:fldCharType="separate"/>
        </w:r>
        <w:r w:rsidR="000519FC">
          <w:rPr>
            <w:noProof/>
            <w:webHidden/>
          </w:rPr>
          <w:t>14</w:t>
        </w:r>
        <w:r w:rsidR="000519FC">
          <w:rPr>
            <w:noProof/>
            <w:webHidden/>
          </w:rPr>
          <w:fldChar w:fldCharType="end"/>
        </w:r>
      </w:hyperlink>
    </w:p>
    <w:p w14:paraId="3F3086D7" w14:textId="7BA33538" w:rsidR="000519FC" w:rsidRDefault="00000000">
      <w:pPr>
        <w:pStyle w:val="TOC3"/>
        <w:rPr>
          <w:rFonts w:asciiTheme="minorHAnsi" w:eastAsiaTheme="minorEastAsia" w:hAnsiTheme="minorHAnsi" w:cstheme="minorBidi"/>
          <w:noProof/>
          <w:kern w:val="2"/>
          <w:lang w:val="en-US"/>
          <w14:ligatures w14:val="standardContextual"/>
        </w:rPr>
      </w:pPr>
      <w:hyperlink w:anchor="_Toc147510651" w:history="1">
        <w:r w:rsidR="000519FC" w:rsidRPr="009B460D">
          <w:rPr>
            <w:rStyle w:val="Hyperlink"/>
            <w:noProof/>
          </w:rPr>
          <w:t>SAR-waarschuwing:</w:t>
        </w:r>
        <w:r w:rsidR="000519FC">
          <w:rPr>
            <w:noProof/>
            <w:webHidden/>
          </w:rPr>
          <w:tab/>
        </w:r>
        <w:r w:rsidR="000519FC">
          <w:rPr>
            <w:noProof/>
            <w:webHidden/>
          </w:rPr>
          <w:fldChar w:fldCharType="begin"/>
        </w:r>
        <w:r w:rsidR="000519FC">
          <w:rPr>
            <w:noProof/>
            <w:webHidden/>
          </w:rPr>
          <w:instrText xml:space="preserve"> PAGEREF _Toc147510651 \h </w:instrText>
        </w:r>
        <w:r w:rsidR="000519FC">
          <w:rPr>
            <w:noProof/>
            <w:webHidden/>
          </w:rPr>
        </w:r>
        <w:r w:rsidR="000519FC">
          <w:rPr>
            <w:noProof/>
            <w:webHidden/>
          </w:rPr>
          <w:fldChar w:fldCharType="separate"/>
        </w:r>
        <w:r w:rsidR="000519FC">
          <w:rPr>
            <w:noProof/>
            <w:webHidden/>
          </w:rPr>
          <w:t>14</w:t>
        </w:r>
        <w:r w:rsidR="000519FC">
          <w:rPr>
            <w:noProof/>
            <w:webHidden/>
          </w:rPr>
          <w:fldChar w:fldCharType="end"/>
        </w:r>
      </w:hyperlink>
    </w:p>
    <w:p w14:paraId="43B1C4F7" w14:textId="68F65ED7" w:rsidR="000519FC" w:rsidRDefault="00000000">
      <w:pPr>
        <w:pStyle w:val="TOC3"/>
        <w:rPr>
          <w:rFonts w:asciiTheme="minorHAnsi" w:eastAsiaTheme="minorEastAsia" w:hAnsiTheme="minorHAnsi" w:cstheme="minorBidi"/>
          <w:noProof/>
          <w:kern w:val="2"/>
          <w:lang w:val="en-US"/>
          <w14:ligatures w14:val="standardContextual"/>
        </w:rPr>
      </w:pPr>
      <w:hyperlink w:anchor="_Toc147510652" w:history="1">
        <w:r w:rsidR="000519FC" w:rsidRPr="009B460D">
          <w:rPr>
            <w:rStyle w:val="Hyperlink"/>
            <w:noProof/>
          </w:rPr>
          <w:t>Verklaring over maximaal toelaatbare blootstelling (MPE)</w:t>
        </w:r>
        <w:r w:rsidR="000519FC">
          <w:rPr>
            <w:noProof/>
            <w:webHidden/>
          </w:rPr>
          <w:tab/>
        </w:r>
        <w:r w:rsidR="000519FC">
          <w:rPr>
            <w:noProof/>
            <w:webHidden/>
          </w:rPr>
          <w:fldChar w:fldCharType="begin"/>
        </w:r>
        <w:r w:rsidR="000519FC">
          <w:rPr>
            <w:noProof/>
            <w:webHidden/>
          </w:rPr>
          <w:instrText xml:space="preserve"> PAGEREF _Toc147510652 \h </w:instrText>
        </w:r>
        <w:r w:rsidR="000519FC">
          <w:rPr>
            <w:noProof/>
            <w:webHidden/>
          </w:rPr>
        </w:r>
        <w:r w:rsidR="000519FC">
          <w:rPr>
            <w:noProof/>
            <w:webHidden/>
          </w:rPr>
          <w:fldChar w:fldCharType="separate"/>
        </w:r>
        <w:r w:rsidR="000519FC">
          <w:rPr>
            <w:noProof/>
            <w:webHidden/>
          </w:rPr>
          <w:t>14</w:t>
        </w:r>
        <w:r w:rsidR="000519FC">
          <w:rPr>
            <w:noProof/>
            <w:webHidden/>
          </w:rPr>
          <w:fldChar w:fldCharType="end"/>
        </w:r>
      </w:hyperlink>
    </w:p>
    <w:p w14:paraId="15DE0FED" w14:textId="29B9675B" w:rsidR="000519FC" w:rsidRDefault="00000000">
      <w:pPr>
        <w:pStyle w:val="TOC2"/>
        <w:rPr>
          <w:rFonts w:asciiTheme="minorHAnsi" w:eastAsiaTheme="minorEastAsia" w:hAnsiTheme="minorHAnsi" w:cstheme="minorBidi"/>
          <w:noProof/>
          <w:kern w:val="2"/>
          <w:lang w:val="en-US"/>
          <w14:ligatures w14:val="standardContextual"/>
        </w:rPr>
      </w:pPr>
      <w:hyperlink w:anchor="_Toc147510653" w:history="1">
        <w:r w:rsidR="000519FC" w:rsidRPr="009B460D">
          <w:rPr>
            <w:rStyle w:val="Hyperlink"/>
            <w:noProof/>
          </w:rPr>
          <w:t>Tabel voor storingsvermindering</w:t>
        </w:r>
        <w:r w:rsidR="000519FC">
          <w:rPr>
            <w:noProof/>
            <w:webHidden/>
          </w:rPr>
          <w:tab/>
        </w:r>
        <w:r w:rsidR="000519FC">
          <w:rPr>
            <w:noProof/>
            <w:webHidden/>
          </w:rPr>
          <w:fldChar w:fldCharType="begin"/>
        </w:r>
        <w:r w:rsidR="000519FC">
          <w:rPr>
            <w:noProof/>
            <w:webHidden/>
          </w:rPr>
          <w:instrText xml:space="preserve"> PAGEREF _Toc147510653 \h </w:instrText>
        </w:r>
        <w:r w:rsidR="000519FC">
          <w:rPr>
            <w:noProof/>
            <w:webHidden/>
          </w:rPr>
        </w:r>
        <w:r w:rsidR="000519FC">
          <w:rPr>
            <w:noProof/>
            <w:webHidden/>
          </w:rPr>
          <w:fldChar w:fldCharType="separate"/>
        </w:r>
        <w:r w:rsidR="000519FC">
          <w:rPr>
            <w:noProof/>
            <w:webHidden/>
          </w:rPr>
          <w:t>14</w:t>
        </w:r>
        <w:r w:rsidR="000519FC">
          <w:rPr>
            <w:noProof/>
            <w:webHidden/>
          </w:rPr>
          <w:fldChar w:fldCharType="end"/>
        </w:r>
      </w:hyperlink>
    </w:p>
    <w:p w14:paraId="0315A28F" w14:textId="1556DAC0" w:rsidR="000519FC" w:rsidRDefault="00000000">
      <w:pPr>
        <w:pStyle w:val="TOC1"/>
        <w:rPr>
          <w:rFonts w:asciiTheme="minorHAnsi" w:eastAsiaTheme="minorEastAsia" w:hAnsiTheme="minorHAnsi" w:cstheme="minorBidi"/>
          <w:noProof/>
          <w:kern w:val="2"/>
          <w:lang w:val="en-US"/>
          <w14:ligatures w14:val="standardContextual"/>
        </w:rPr>
      </w:pPr>
      <w:hyperlink w:anchor="_Toc147510654" w:history="1">
        <w:r w:rsidR="000519FC" w:rsidRPr="009B460D">
          <w:rPr>
            <w:rStyle w:val="Hyperlink"/>
            <w:noProof/>
          </w:rPr>
          <w:t>VEREISTEN VOOR VERPAKKING VAN LITHIUM-ION EN LITHIUM-METAALBATTERIJEN</w:t>
        </w:r>
        <w:r w:rsidR="000519FC">
          <w:rPr>
            <w:noProof/>
            <w:webHidden/>
          </w:rPr>
          <w:tab/>
        </w:r>
        <w:r w:rsidR="000519FC">
          <w:rPr>
            <w:noProof/>
            <w:webHidden/>
          </w:rPr>
          <w:fldChar w:fldCharType="begin"/>
        </w:r>
        <w:r w:rsidR="000519FC">
          <w:rPr>
            <w:noProof/>
            <w:webHidden/>
          </w:rPr>
          <w:instrText xml:space="preserve"> PAGEREF _Toc147510654 \h </w:instrText>
        </w:r>
        <w:r w:rsidR="000519FC">
          <w:rPr>
            <w:noProof/>
            <w:webHidden/>
          </w:rPr>
        </w:r>
        <w:r w:rsidR="000519FC">
          <w:rPr>
            <w:noProof/>
            <w:webHidden/>
          </w:rPr>
          <w:fldChar w:fldCharType="separate"/>
        </w:r>
        <w:r w:rsidR="000519FC">
          <w:rPr>
            <w:noProof/>
            <w:webHidden/>
          </w:rPr>
          <w:t>15</w:t>
        </w:r>
        <w:r w:rsidR="000519FC">
          <w:rPr>
            <w:noProof/>
            <w:webHidden/>
          </w:rPr>
          <w:fldChar w:fldCharType="end"/>
        </w:r>
      </w:hyperlink>
    </w:p>
    <w:p w14:paraId="700A08E9" w14:textId="161327DA" w:rsidR="000519FC" w:rsidRDefault="00000000">
      <w:pPr>
        <w:pStyle w:val="TOC3"/>
        <w:rPr>
          <w:rFonts w:asciiTheme="minorHAnsi" w:eastAsiaTheme="minorEastAsia" w:hAnsiTheme="minorHAnsi" w:cstheme="minorBidi"/>
          <w:noProof/>
          <w:kern w:val="2"/>
          <w:lang w:val="en-US"/>
          <w14:ligatures w14:val="standardContextual"/>
        </w:rPr>
      </w:pPr>
      <w:hyperlink w:anchor="_Toc147510655" w:history="1">
        <w:r w:rsidR="000519FC" w:rsidRPr="009B460D">
          <w:rPr>
            <w:rStyle w:val="Hyperlink"/>
            <w:noProof/>
          </w:rPr>
          <w:t>Li-Ion- en Li-metaal-batterijen</w:t>
        </w:r>
        <w:r w:rsidR="000519FC">
          <w:rPr>
            <w:noProof/>
            <w:webHidden/>
          </w:rPr>
          <w:tab/>
        </w:r>
        <w:r w:rsidR="000519FC">
          <w:rPr>
            <w:noProof/>
            <w:webHidden/>
          </w:rPr>
          <w:fldChar w:fldCharType="begin"/>
        </w:r>
        <w:r w:rsidR="000519FC">
          <w:rPr>
            <w:noProof/>
            <w:webHidden/>
          </w:rPr>
          <w:instrText xml:space="preserve"> PAGEREF _Toc147510655 \h </w:instrText>
        </w:r>
        <w:r w:rsidR="000519FC">
          <w:rPr>
            <w:noProof/>
            <w:webHidden/>
          </w:rPr>
        </w:r>
        <w:r w:rsidR="000519FC">
          <w:rPr>
            <w:noProof/>
            <w:webHidden/>
          </w:rPr>
          <w:fldChar w:fldCharType="separate"/>
        </w:r>
        <w:r w:rsidR="000519FC">
          <w:rPr>
            <w:noProof/>
            <w:webHidden/>
          </w:rPr>
          <w:t>15</w:t>
        </w:r>
        <w:r w:rsidR="000519FC">
          <w:rPr>
            <w:noProof/>
            <w:webHidden/>
          </w:rPr>
          <w:fldChar w:fldCharType="end"/>
        </w:r>
      </w:hyperlink>
    </w:p>
    <w:p w14:paraId="4C04BEFE" w14:textId="5E360626" w:rsidR="000519FC" w:rsidRDefault="00000000">
      <w:pPr>
        <w:pStyle w:val="TOC3"/>
        <w:rPr>
          <w:rFonts w:asciiTheme="minorHAnsi" w:eastAsiaTheme="minorEastAsia" w:hAnsiTheme="minorHAnsi" w:cstheme="minorBidi"/>
          <w:noProof/>
          <w:kern w:val="2"/>
          <w:lang w:val="en-US"/>
          <w14:ligatures w14:val="standardContextual"/>
        </w:rPr>
      </w:pPr>
      <w:hyperlink w:anchor="_Toc147510656" w:history="1">
        <w:r w:rsidR="000519FC" w:rsidRPr="009B460D">
          <w:rPr>
            <w:rStyle w:val="Hyperlink"/>
            <w:noProof/>
          </w:rPr>
          <w:t>Etiketteringsvereisten voor lithium-ionbatterijen en Li-metaal-batterijen</w:t>
        </w:r>
        <w:r w:rsidR="000519FC">
          <w:rPr>
            <w:noProof/>
            <w:webHidden/>
          </w:rPr>
          <w:tab/>
        </w:r>
        <w:r w:rsidR="000519FC">
          <w:rPr>
            <w:noProof/>
            <w:webHidden/>
          </w:rPr>
          <w:fldChar w:fldCharType="begin"/>
        </w:r>
        <w:r w:rsidR="000519FC">
          <w:rPr>
            <w:noProof/>
            <w:webHidden/>
          </w:rPr>
          <w:instrText xml:space="preserve"> PAGEREF _Toc147510656 \h </w:instrText>
        </w:r>
        <w:r w:rsidR="000519FC">
          <w:rPr>
            <w:noProof/>
            <w:webHidden/>
          </w:rPr>
        </w:r>
        <w:r w:rsidR="000519FC">
          <w:rPr>
            <w:noProof/>
            <w:webHidden/>
          </w:rPr>
          <w:fldChar w:fldCharType="separate"/>
        </w:r>
        <w:r w:rsidR="000519FC">
          <w:rPr>
            <w:noProof/>
            <w:webHidden/>
          </w:rPr>
          <w:t>15</w:t>
        </w:r>
        <w:r w:rsidR="000519FC">
          <w:rPr>
            <w:noProof/>
            <w:webHidden/>
          </w:rPr>
          <w:fldChar w:fldCharType="end"/>
        </w:r>
      </w:hyperlink>
    </w:p>
    <w:p w14:paraId="6D1FF9DA" w14:textId="29441CEA" w:rsidR="000519FC" w:rsidRDefault="00000000">
      <w:pPr>
        <w:pStyle w:val="TOC3"/>
        <w:rPr>
          <w:rFonts w:asciiTheme="minorHAnsi" w:eastAsiaTheme="minorEastAsia" w:hAnsiTheme="minorHAnsi" w:cstheme="minorBidi"/>
          <w:noProof/>
          <w:kern w:val="2"/>
          <w:lang w:val="en-US"/>
          <w14:ligatures w14:val="standardContextual"/>
        </w:rPr>
      </w:pPr>
      <w:hyperlink w:anchor="_Toc147510657" w:history="1">
        <w:r w:rsidR="000519FC" w:rsidRPr="009B460D">
          <w:rPr>
            <w:rStyle w:val="Hyperlink"/>
            <w:noProof/>
          </w:rPr>
          <w:t>Vrijstellingen voor etikettering</w:t>
        </w:r>
        <w:r w:rsidR="000519FC">
          <w:rPr>
            <w:noProof/>
            <w:webHidden/>
          </w:rPr>
          <w:tab/>
        </w:r>
        <w:r w:rsidR="000519FC">
          <w:rPr>
            <w:noProof/>
            <w:webHidden/>
          </w:rPr>
          <w:fldChar w:fldCharType="begin"/>
        </w:r>
        <w:r w:rsidR="000519FC">
          <w:rPr>
            <w:noProof/>
            <w:webHidden/>
          </w:rPr>
          <w:instrText xml:space="preserve"> PAGEREF _Toc147510657 \h </w:instrText>
        </w:r>
        <w:r w:rsidR="000519FC">
          <w:rPr>
            <w:noProof/>
            <w:webHidden/>
          </w:rPr>
        </w:r>
        <w:r w:rsidR="000519FC">
          <w:rPr>
            <w:noProof/>
            <w:webHidden/>
          </w:rPr>
          <w:fldChar w:fldCharType="separate"/>
        </w:r>
        <w:r w:rsidR="000519FC">
          <w:rPr>
            <w:noProof/>
            <w:webHidden/>
          </w:rPr>
          <w:t>17</w:t>
        </w:r>
        <w:r w:rsidR="000519FC">
          <w:rPr>
            <w:noProof/>
            <w:webHidden/>
          </w:rPr>
          <w:fldChar w:fldCharType="end"/>
        </w:r>
      </w:hyperlink>
    </w:p>
    <w:p w14:paraId="7EC10964" w14:textId="2C21BB9F" w:rsidR="000519FC" w:rsidRDefault="00000000">
      <w:pPr>
        <w:pStyle w:val="TOC3"/>
        <w:rPr>
          <w:rFonts w:asciiTheme="minorHAnsi" w:eastAsiaTheme="minorEastAsia" w:hAnsiTheme="minorHAnsi" w:cstheme="minorBidi"/>
          <w:noProof/>
          <w:kern w:val="2"/>
          <w:lang w:val="en-US"/>
          <w14:ligatures w14:val="standardContextual"/>
        </w:rPr>
      </w:pPr>
      <w:hyperlink w:anchor="_Toc147510658" w:history="1">
        <w:r w:rsidR="000519FC" w:rsidRPr="009B460D">
          <w:rPr>
            <w:rStyle w:val="Hyperlink"/>
            <w:noProof/>
          </w:rPr>
          <w:t>Waarschuwing voor afvoeren van het product</w:t>
        </w:r>
        <w:r w:rsidR="000519FC">
          <w:rPr>
            <w:noProof/>
            <w:webHidden/>
          </w:rPr>
          <w:tab/>
        </w:r>
        <w:r w:rsidR="000519FC">
          <w:rPr>
            <w:noProof/>
            <w:webHidden/>
          </w:rPr>
          <w:fldChar w:fldCharType="begin"/>
        </w:r>
        <w:r w:rsidR="000519FC">
          <w:rPr>
            <w:noProof/>
            <w:webHidden/>
          </w:rPr>
          <w:instrText xml:space="preserve"> PAGEREF _Toc147510658 \h </w:instrText>
        </w:r>
        <w:r w:rsidR="000519FC">
          <w:rPr>
            <w:noProof/>
            <w:webHidden/>
          </w:rPr>
        </w:r>
        <w:r w:rsidR="000519FC">
          <w:rPr>
            <w:noProof/>
            <w:webHidden/>
          </w:rPr>
          <w:fldChar w:fldCharType="separate"/>
        </w:r>
        <w:r w:rsidR="000519FC">
          <w:rPr>
            <w:noProof/>
            <w:webHidden/>
          </w:rPr>
          <w:t>17</w:t>
        </w:r>
        <w:r w:rsidR="000519FC">
          <w:rPr>
            <w:noProof/>
            <w:webHidden/>
          </w:rPr>
          <w:fldChar w:fldCharType="end"/>
        </w:r>
      </w:hyperlink>
    </w:p>
    <w:p w14:paraId="4E92426E" w14:textId="3F67D59B" w:rsidR="000519FC" w:rsidRDefault="00000000">
      <w:pPr>
        <w:pStyle w:val="TOC1"/>
        <w:rPr>
          <w:rFonts w:asciiTheme="minorHAnsi" w:eastAsiaTheme="minorEastAsia" w:hAnsiTheme="minorHAnsi" w:cstheme="minorBidi"/>
          <w:noProof/>
          <w:kern w:val="2"/>
          <w:lang w:val="en-US"/>
          <w14:ligatures w14:val="standardContextual"/>
        </w:rPr>
      </w:pPr>
      <w:hyperlink w:anchor="_Toc147510659" w:history="1">
        <w:r w:rsidR="000519FC" w:rsidRPr="009B460D">
          <w:rPr>
            <w:rStyle w:val="Hyperlink"/>
            <w:noProof/>
          </w:rPr>
          <w:t>Informatie over veiligheid en EMC van Powerline-apparaten en doorvoerstekkers</w:t>
        </w:r>
        <w:r w:rsidR="000519FC">
          <w:rPr>
            <w:noProof/>
            <w:webHidden/>
          </w:rPr>
          <w:tab/>
        </w:r>
        <w:r w:rsidR="000519FC">
          <w:rPr>
            <w:noProof/>
            <w:webHidden/>
          </w:rPr>
          <w:fldChar w:fldCharType="begin"/>
        </w:r>
        <w:r w:rsidR="000519FC">
          <w:rPr>
            <w:noProof/>
            <w:webHidden/>
          </w:rPr>
          <w:instrText xml:space="preserve"> PAGEREF _Toc147510659 \h </w:instrText>
        </w:r>
        <w:r w:rsidR="000519FC">
          <w:rPr>
            <w:noProof/>
            <w:webHidden/>
          </w:rPr>
        </w:r>
        <w:r w:rsidR="000519FC">
          <w:rPr>
            <w:noProof/>
            <w:webHidden/>
          </w:rPr>
          <w:fldChar w:fldCharType="separate"/>
        </w:r>
        <w:r w:rsidR="000519FC">
          <w:rPr>
            <w:noProof/>
            <w:webHidden/>
          </w:rPr>
          <w:t>17</w:t>
        </w:r>
        <w:r w:rsidR="000519FC">
          <w:rPr>
            <w:noProof/>
            <w:webHidden/>
          </w:rPr>
          <w:fldChar w:fldCharType="end"/>
        </w:r>
      </w:hyperlink>
    </w:p>
    <w:p w14:paraId="5C0B4E9A" w14:textId="7503CD94" w:rsidR="000519FC" w:rsidRDefault="00000000">
      <w:pPr>
        <w:pStyle w:val="TOC2"/>
        <w:rPr>
          <w:rFonts w:asciiTheme="minorHAnsi" w:eastAsiaTheme="minorEastAsia" w:hAnsiTheme="minorHAnsi" w:cstheme="minorBidi"/>
          <w:noProof/>
          <w:kern w:val="2"/>
          <w:lang w:val="en-US"/>
          <w14:ligatures w14:val="standardContextual"/>
        </w:rPr>
      </w:pPr>
      <w:hyperlink w:anchor="_Toc147510660" w:history="1">
        <w:r w:rsidR="000519FC" w:rsidRPr="009B460D">
          <w:rPr>
            <w:rStyle w:val="Hyperlink"/>
            <w:noProof/>
          </w:rPr>
          <w:t>Algemene richtlijnen voor alle producten</w:t>
        </w:r>
        <w:r w:rsidR="000519FC">
          <w:rPr>
            <w:noProof/>
            <w:webHidden/>
          </w:rPr>
          <w:tab/>
        </w:r>
        <w:r w:rsidR="000519FC">
          <w:rPr>
            <w:noProof/>
            <w:webHidden/>
          </w:rPr>
          <w:fldChar w:fldCharType="begin"/>
        </w:r>
        <w:r w:rsidR="000519FC">
          <w:rPr>
            <w:noProof/>
            <w:webHidden/>
          </w:rPr>
          <w:instrText xml:space="preserve"> PAGEREF _Toc147510660 \h </w:instrText>
        </w:r>
        <w:r w:rsidR="000519FC">
          <w:rPr>
            <w:noProof/>
            <w:webHidden/>
          </w:rPr>
        </w:r>
        <w:r w:rsidR="000519FC">
          <w:rPr>
            <w:noProof/>
            <w:webHidden/>
          </w:rPr>
          <w:fldChar w:fldCharType="separate"/>
        </w:r>
        <w:r w:rsidR="000519FC">
          <w:rPr>
            <w:noProof/>
            <w:webHidden/>
          </w:rPr>
          <w:t>18</w:t>
        </w:r>
        <w:r w:rsidR="000519FC">
          <w:rPr>
            <w:noProof/>
            <w:webHidden/>
          </w:rPr>
          <w:fldChar w:fldCharType="end"/>
        </w:r>
      </w:hyperlink>
    </w:p>
    <w:p w14:paraId="38D33F37" w14:textId="2ED37FEC" w:rsidR="000519FC" w:rsidRDefault="00000000">
      <w:pPr>
        <w:pStyle w:val="TOC1"/>
        <w:rPr>
          <w:rFonts w:asciiTheme="minorHAnsi" w:eastAsiaTheme="minorEastAsia" w:hAnsiTheme="minorHAnsi" w:cstheme="minorBidi"/>
          <w:noProof/>
          <w:kern w:val="2"/>
          <w:lang w:val="en-US"/>
          <w14:ligatures w14:val="standardContextual"/>
        </w:rPr>
      </w:pPr>
      <w:hyperlink w:anchor="_Toc147510661" w:history="1">
        <w:r w:rsidR="000519FC" w:rsidRPr="009B460D">
          <w:rPr>
            <w:rStyle w:val="Hyperlink"/>
            <w:noProof/>
          </w:rPr>
          <w:t>Veiligheidsinstructies voor rekmontage</w:t>
        </w:r>
        <w:r w:rsidR="000519FC">
          <w:rPr>
            <w:noProof/>
            <w:webHidden/>
          </w:rPr>
          <w:tab/>
        </w:r>
        <w:r w:rsidR="000519FC">
          <w:rPr>
            <w:noProof/>
            <w:webHidden/>
          </w:rPr>
          <w:fldChar w:fldCharType="begin"/>
        </w:r>
        <w:r w:rsidR="000519FC">
          <w:rPr>
            <w:noProof/>
            <w:webHidden/>
          </w:rPr>
          <w:instrText xml:space="preserve"> PAGEREF _Toc147510661 \h </w:instrText>
        </w:r>
        <w:r w:rsidR="000519FC">
          <w:rPr>
            <w:noProof/>
            <w:webHidden/>
          </w:rPr>
        </w:r>
        <w:r w:rsidR="000519FC">
          <w:rPr>
            <w:noProof/>
            <w:webHidden/>
          </w:rPr>
          <w:fldChar w:fldCharType="separate"/>
        </w:r>
        <w:r w:rsidR="000519FC">
          <w:rPr>
            <w:noProof/>
            <w:webHidden/>
          </w:rPr>
          <w:t>18</w:t>
        </w:r>
        <w:r w:rsidR="000519FC">
          <w:rPr>
            <w:noProof/>
            <w:webHidden/>
          </w:rPr>
          <w:fldChar w:fldCharType="end"/>
        </w:r>
      </w:hyperlink>
    </w:p>
    <w:p w14:paraId="1976BED2" w14:textId="1B2CEF95"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510623"/>
      <w:bookmarkEnd w:id="0"/>
      <w:r>
        <w:lastRenderedPageBreak/>
        <w:t>Veiligheidsinformatie</w:t>
      </w:r>
      <w:bookmarkEnd w:id="1"/>
    </w:p>
    <w:p w14:paraId="4BE33886" w14:textId="4BB9E10F" w:rsidR="00DF3509" w:rsidRDefault="00DF3509">
      <w:pPr>
        <w:pStyle w:val="BodyText"/>
        <w:kinsoku w:val="0"/>
        <w:overflowPunct w:val="0"/>
        <w:spacing w:before="108" w:line="276" w:lineRule="auto"/>
        <w:ind w:left="840" w:right="873"/>
        <w:rPr>
          <w:color w:val="0000FF"/>
        </w:rPr>
      </w:pPr>
      <w:r>
        <w:t xml:space="preserve">Volg de waarschuwingen, aandachtspunten en opmerkingen in het document 'Informatie over veiligheid en regelgeving' voor relevante apparaten in de sectie 'Naleving op het gebied van veiligheid' van </w:t>
      </w:r>
      <w:hyperlink r:id="rId10" w:history="1">
        <w:r>
          <w:rPr>
            <w:color w:val="0000FF"/>
            <w:u w:val="single"/>
          </w:rPr>
          <w:t>www.netgear.com/about/regulatory/</w:t>
        </w:r>
      </w:hyperlink>
    </w:p>
    <w:p w14:paraId="66FC379B" w14:textId="77777777" w:rsidR="00DF3509" w:rsidRDefault="00DF3509">
      <w:pPr>
        <w:pStyle w:val="Heading3"/>
        <w:kinsoku w:val="0"/>
        <w:overflowPunct w:val="0"/>
        <w:spacing w:before="409"/>
        <w:rPr>
          <w:spacing w:val="-2"/>
        </w:rPr>
      </w:pPr>
      <w:bookmarkStart w:id="2" w:name="_bookmark1"/>
      <w:bookmarkStart w:id="3" w:name="_Toc147510624"/>
      <w:bookmarkEnd w:id="2"/>
      <w:r>
        <w:t>Veilig omgaan met en gebruik van batterijen</w:t>
      </w:r>
      <w:bookmarkEnd w:id="3"/>
    </w:p>
    <w:p w14:paraId="74EE27B9" w14:textId="3DC8AD01" w:rsidR="00DF3509" w:rsidRDefault="00DF3509">
      <w:pPr>
        <w:pStyle w:val="BodyText"/>
        <w:kinsoku w:val="0"/>
        <w:overflowPunct w:val="0"/>
        <w:spacing w:before="89" w:line="280" w:lineRule="auto"/>
        <w:ind w:left="840"/>
        <w:rPr>
          <w:color w:val="0000FF"/>
          <w:spacing w:val="-2"/>
        </w:rPr>
      </w:pPr>
      <w:r>
        <w:t xml:space="preserve">Volg de waarschuwingen, aandachtspunten en opmerkingen in het document 'Veiligheidsinformatie over de batterij' in de sectie 'Naleving op het gebied van veiligheid' van </w:t>
      </w:r>
      <w:hyperlink r:id="rId11" w:history="1">
        <w:r>
          <w:rPr>
            <w:color w:val="0000FF"/>
            <w:u w:val="single"/>
          </w:rPr>
          <w:t>www.netgear.com/about/regulatory/</w:t>
        </w:r>
      </w:hyperlink>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t>Als uw netvoedingsadapter is blootgesteld aan water, andere vloeistoffen of overmatig vocht, breng deze dan ter controle naar een erkend servicecentrum.</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t>De apparatuur mag alleen worden aangesloten op een stopcontact dat zich in de buurt van de apparatuur bevindt en gemakkelijk toegankelijk is.</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510625"/>
      <w:bookmarkEnd w:id="4"/>
      <w:r>
        <w:t>Markeringslocatie</w:t>
      </w:r>
      <w:bookmarkEnd w:id="5"/>
    </w:p>
    <w:p w14:paraId="54A7117B" w14:textId="77777777" w:rsidR="00DF3509" w:rsidRDefault="00DF3509">
      <w:pPr>
        <w:pStyle w:val="BodyText"/>
        <w:kinsoku w:val="0"/>
        <w:overflowPunct w:val="0"/>
        <w:spacing w:before="105" w:line="278" w:lineRule="auto"/>
        <w:ind w:left="840" w:right="873"/>
      </w:pPr>
      <w:r>
        <w:t>De markeringsinformatie voor Netgear-producten, waaronder alle Netgear-switches en ReadyNAS-producten voor rekmontage, en bijna alle draadloze routers en satellieten, bevindt zich aan de onderkant van het apparaat.</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510626"/>
      <w:bookmarkEnd w:id="6"/>
      <w:bookmarkEnd w:id="7"/>
      <w:r>
        <w:t>Gebruik op locaties waar kinderen waarschijnlijk niet aanwezig zijn</w:t>
      </w:r>
      <w:bookmarkEnd w:id="8"/>
    </w:p>
    <w:p w14:paraId="17127FD9" w14:textId="77777777" w:rsidR="00DF3509" w:rsidRDefault="00D22DB4" w:rsidP="00D22DB4">
      <w:pPr>
        <w:pStyle w:val="BodyText"/>
        <w:kinsoku w:val="0"/>
        <w:overflowPunct w:val="0"/>
        <w:spacing w:before="102" w:line="278" w:lineRule="auto"/>
        <w:ind w:left="840" w:right="873"/>
      </w:pPr>
      <w:r>
        <w:t xml:space="preserve">De volgende producten zijn niet geschikt voor gebruik op locaties waar kinderen waarschijnlijk aanwezig zijn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t>Alle ReadyNAS</w:t>
            </w:r>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510627"/>
      <w:bookmarkEnd w:id="9"/>
      <w:r>
        <w:t>Kennisgevingen omtrent beperkte toegang</w:t>
      </w:r>
      <w:bookmarkEnd w:id="10"/>
    </w:p>
    <w:p w14:paraId="345AD2DF" w14:textId="77777777" w:rsidR="00DF3509" w:rsidRDefault="00AD0AF0" w:rsidP="003608D0">
      <w:pPr>
        <w:pStyle w:val="BodyText"/>
        <w:kinsoku w:val="0"/>
        <w:overflowPunct w:val="0"/>
        <w:spacing w:before="102" w:line="278" w:lineRule="auto"/>
        <w:ind w:left="840" w:right="873"/>
        <w:rPr>
          <w:spacing w:val="-2"/>
        </w:rPr>
      </w:pPr>
      <w:r>
        <w:t>ReadyNAS moet worden geïnstalleerd op een locatie met beperkte toegang en mag alleen worden bediend door gekwalificeerd onderhoudspersoneel.</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510628"/>
      <w:bookmarkEnd w:id="11"/>
      <w:r>
        <w:t>Kennisgeving voor coaxkabel-tv en internetverbinding (op bepaalde modellen)</w:t>
      </w:r>
      <w:bookmarkEnd w:id="12"/>
    </w:p>
    <w:p w14:paraId="579D236F" w14:textId="77777777" w:rsidR="00DF3509" w:rsidRPr="003608D0" w:rsidRDefault="00DF3509" w:rsidP="003608D0">
      <w:pPr>
        <w:pStyle w:val="BodyText"/>
        <w:kinsoku w:val="0"/>
        <w:overflowPunct w:val="0"/>
        <w:spacing w:before="102" w:line="278" w:lineRule="auto"/>
        <w:ind w:left="840" w:right="873"/>
      </w:pPr>
      <w:r>
        <w:t>De informatie in dit gedeelte is van toepassing op NETGEAR-producten met een tv-tuner. Opmerking voor installateur van systeem voor kabel-tv: Deze opmerking is bedoeld om de installateur van het systeem voor kabel-tv te wijzen op Artikel 820-93 van de National Electrical Code. Deze bevat richtlijnen voor adequate aarding, waarin met name is bepaald dat de coaxkabelafscherming zo dicht mogelijk bij het kabelinvoerpunt wordt aangesloten op het aardingssysteem van het gebouw.</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510629"/>
      <w:bookmarkEnd w:id="13"/>
      <w:r>
        <w:lastRenderedPageBreak/>
        <w:t>Informatie over de naleving van wettelijke voorschriften</w:t>
      </w:r>
      <w:bookmarkEnd w:id="14"/>
    </w:p>
    <w:p w14:paraId="23F05ED9" w14:textId="77777777" w:rsidR="00DF3509" w:rsidRDefault="00DF3509">
      <w:pPr>
        <w:pStyle w:val="BodyText"/>
        <w:kinsoku w:val="0"/>
        <w:overflowPunct w:val="0"/>
        <w:spacing w:before="108" w:line="278" w:lineRule="auto"/>
        <w:ind w:left="840" w:right="873"/>
      </w:pPr>
      <w:r>
        <w:t>In dit document worden de vereisten beschreven voor het gebruik van NETGEAR-producten in overeenstemming met de nationale wetgeving, waaronder het gebruik van het radiospectrum en het gebruik van radioapparatuur. Als de eindgebruiker de toepasselijke vereisten niet naleeft, kan dat leiden tot een onwettig gebruik en daaruit voortvloeiende juridische stappen tegen de eindgebruiker door de desbetreffende nationale regelgevende instantie.</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t>De firmware van het draadloze product van NETGEAR beperkt het gebruik tot de kanalen die zijn toegestaan in de desbetreffende regio of het desbetreffende land. Om die reden zijn mogelijk niet alle opties die worden beschreven in dit document beschikbaar op uw versie van het product.</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t>Dit document is van toepassing op apparaten van zowel klasse A als klasse B:</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sz w:val="18"/>
        </w:rPr>
        <w:t>Apparaten van klasse A zijn bedoeld voor gebruik in een commerciële of industriële omgeving. Ze zijn niet bedoeld voor gebruik in een woonhuis en niet bedoeld voor algemeen openbaar gebruik.</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sz w:val="18"/>
        </w:rPr>
        <w:t>Apparaten van klasse B zijn bedoeld voor gebruik in een woonomgeving en kunnen ook worden gebruikt in commerciële en industriële toepassingen. Voorbeelden van klasse B-apparaten zijn telefoons, pc's en datagateways voor woonomgevingen.</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sz w:val="18"/>
        </w:rPr>
        <w:t>Zekeringen mogen alleen door onderhoudspersoneel worden geïnstalleerd.</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sz w:val="18"/>
        </w:rPr>
        <w:t>NETGEAR raadt het gebruik van telefoonlijnkabels met een dikte van minimaal 26 AWG aan.</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510630"/>
      <w:bookmarkEnd w:id="15"/>
      <w:r>
        <w:t>Apparatuur die is gecertificeerd voor gebruik buiten</w:t>
      </w:r>
      <w:bookmarkEnd w:id="16"/>
    </w:p>
    <w:p w14:paraId="6AB57129" w14:textId="77777777" w:rsidR="00DF3509" w:rsidRDefault="00DF3509">
      <w:pPr>
        <w:pStyle w:val="BodyText"/>
        <w:kinsoku w:val="0"/>
        <w:overflowPunct w:val="0"/>
        <w:spacing w:before="108"/>
        <w:ind w:left="840"/>
        <w:rPr>
          <w:spacing w:val="-2"/>
        </w:rPr>
      </w:pPr>
      <w:r>
        <w:t>NETGEAR-producten zijn bedoeld voor gebruik binnenshuis met de volgende uitzondering:</w:t>
      </w:r>
    </w:p>
    <w:p w14:paraId="4DC31A0B" w14:textId="77777777" w:rsidR="00DF3509" w:rsidRDefault="00DF3509">
      <w:pPr>
        <w:pStyle w:val="BodyText"/>
        <w:kinsoku w:val="0"/>
        <w:overflowPunct w:val="0"/>
        <w:ind w:left="840"/>
        <w:rPr>
          <w:spacing w:val="-4"/>
        </w:rPr>
      </w:pPr>
      <w:r>
        <w:t>De volgende producten zijn gecertificeerd voor gebruik buiten:</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i/>
          <w:color w:val="365F91"/>
        </w:rPr>
        <w:t>Tabel 1: Producten die zijn gecertificeerd voor gebruik buiten</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t xml:space="preserve">Waarschuwing over het </w:t>
      </w:r>
      <w:r>
        <w:rPr>
          <w:b/>
        </w:rPr>
        <w:t xml:space="preserve">installeren </w:t>
      </w:r>
      <w:r>
        <w:t>van deze apparatuur buitenshuis: Houd er rekening mee dat buiteninstallaties speciale aandacht vereisen en alleen worden behandeld door getraind en gekwalificeerd installatiepersoneel. Niemand van het algemene publiek mag draadloze NETGEAR-producten buiten installeren wanneer externe antennes, voeding en aarding voor gebruik moeten worden geïnstalleerd.</w:t>
      </w:r>
    </w:p>
    <w:p w14:paraId="02D40FDA" w14:textId="77777777" w:rsidR="006F7E86" w:rsidRDefault="00DF3509">
      <w:pPr>
        <w:pStyle w:val="BodyText"/>
        <w:kinsoku w:val="0"/>
        <w:overflowPunct w:val="0"/>
        <w:spacing w:before="1" w:line="276" w:lineRule="auto"/>
        <w:ind w:left="840" w:right="779"/>
      </w:pPr>
      <w:r>
        <w:t xml:space="preserve">Er moet met name aandacht worden besteed aan toegestane bedrijfsfrequenties. Neem contact op met NETGEAR voor instructies over hoe u contact kunt opnemen met een installateur voor werking buiten als dit product speciale aandacht vereist voor buiteninstallaties. </w:t>
      </w:r>
    </w:p>
    <w:p w14:paraId="1C70E275" w14:textId="77777777" w:rsidR="006F7E86" w:rsidRDefault="006F7E86">
      <w:pPr>
        <w:pStyle w:val="BodyText"/>
        <w:kinsoku w:val="0"/>
        <w:overflowPunct w:val="0"/>
        <w:spacing w:before="1" w:line="276" w:lineRule="auto"/>
        <w:ind w:left="840" w:right="779"/>
      </w:pPr>
    </w:p>
    <w:p w14:paraId="31AC6831" w14:textId="722F69D1" w:rsidR="00DF3509" w:rsidRDefault="00DF3509">
      <w:pPr>
        <w:pStyle w:val="BodyText"/>
        <w:kinsoku w:val="0"/>
        <w:overflowPunct w:val="0"/>
        <w:spacing w:before="1" w:line="276" w:lineRule="auto"/>
        <w:ind w:left="840" w:right="779"/>
      </w:pPr>
      <w:r>
        <w:t xml:space="preserve">Voor gedetailleerde informatie over installaties in Frankrijk dient de gebruiker contact op te nemen met de nationale spectrumautoriteit in Frankrijk </w:t>
      </w:r>
      <w:hyperlink r:id="rId12" w:history="1">
        <w:r>
          <w:t>(htt</w:t>
        </w:r>
      </w:hyperlink>
      <w:r>
        <w:t>p</w:t>
      </w:r>
      <w:hyperlink r:id="rId13" w:history="1">
        <w:r>
          <w:t>://www.arcep.fr/</w:t>
        </w:r>
      </w:hyperlink>
      <w: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t xml:space="preserve">Het apparaat mag in sommige landen alleen binnenshuis worden gebruikt wanneer het in het volgende frequentiebereik wordt gebruikt: </w:t>
      </w:r>
    </w:p>
    <w:p w14:paraId="4F2C59AD" w14:textId="77777777" w:rsidR="00DF3509" w:rsidRDefault="00DF3509" w:rsidP="003608D0">
      <w:pPr>
        <w:pStyle w:val="BodyText"/>
        <w:kinsoku w:val="0"/>
        <w:overflowPunct w:val="0"/>
        <w:spacing w:line="280" w:lineRule="atLeast"/>
        <w:ind w:left="2160" w:right="1746" w:hanging="720"/>
      </w:pPr>
      <w:r>
        <w:t>5150 tot 5350 MHz</w:t>
      </w:r>
    </w:p>
    <w:p w14:paraId="73791F35" w14:textId="77777777" w:rsidR="00DF3509" w:rsidRPr="00D64177" w:rsidRDefault="00DF3509" w:rsidP="00C5519F">
      <w:pPr>
        <w:pStyle w:val="BodyText"/>
        <w:kinsoku w:val="0"/>
        <w:overflowPunct w:val="0"/>
        <w:spacing w:before="8"/>
        <w:ind w:left="1440"/>
        <w:rPr>
          <w:spacing w:val="-5"/>
        </w:rPr>
      </w:pPr>
      <w:r>
        <w:t>5925 tot 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t xml:space="preserve">Neem contact op met de landelijke autoriteit voor meer informatie </w:t>
      </w:r>
    </w:p>
    <w:p w14:paraId="4099AAFF" w14:textId="77777777" w:rsidR="00DF3509" w:rsidRPr="00D64177" w:rsidRDefault="00DF3509" w:rsidP="003608D0">
      <w:pPr>
        <w:pStyle w:val="BodyText"/>
        <w:kinsoku w:val="0"/>
        <w:overflowPunct w:val="0"/>
        <w:spacing w:before="120" w:line="278" w:lineRule="auto"/>
        <w:ind w:left="839" w:right="873"/>
      </w:pPr>
      <w:r>
        <w:t>De FCC- en ISED-voorschriften beperken de werking van dit apparaat tot gebruik binnenshuis voor de Access Point-modus voor frequenties 5850-7125 MHz.</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510631"/>
      <w:bookmarkEnd w:id="17"/>
      <w:r>
        <w:t>Apparatuur met externe antennes</w:t>
      </w:r>
      <w:bookmarkEnd w:id="18"/>
    </w:p>
    <w:p w14:paraId="04826FC0" w14:textId="77777777" w:rsidR="00DF3509" w:rsidRDefault="00DF3509">
      <w:pPr>
        <w:pStyle w:val="BodyText"/>
        <w:kinsoku w:val="0"/>
        <w:overflowPunct w:val="0"/>
        <w:spacing w:before="102" w:line="278" w:lineRule="auto"/>
        <w:ind w:left="840" w:right="873"/>
      </w:pPr>
      <w:r>
        <w:t>Apparatuur moet de gespecificeerde of andere antennes en kabels gebruiken waarmee de nettoversterking (antenne en kabel) lager is dan hieronder gespecificeerd:</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i/>
          <w:color w:val="365F91"/>
        </w:rPr>
        <w:lastRenderedPageBreak/>
        <w:t>Tabel 2. Versterking externe antenne</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b/>
                <w:sz w:val="18"/>
              </w:rPr>
              <w:t>Product</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b/>
                <w:sz w:val="18"/>
              </w:rPr>
              <w:t>Frequentie</w:t>
            </w:r>
          </w:p>
        </w:tc>
        <w:tc>
          <w:tcPr>
            <w:tcW w:w="1079"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b/>
                <w:sz w:val="18"/>
              </w:rPr>
              <w:t>Maximale nettoversterking</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b/>
                <w:sz w:val="18"/>
              </w:rPr>
              <w:t>externe antenne (dBi)</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b/>
                <w:sz w:val="18"/>
              </w:rPr>
              <w:t>Aanbevolen of standaardantenne(s)</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r>
              <w:rPr>
                <w:sz w:val="18"/>
              </w:rPr>
              <w:t xml:space="preserve">Masterwave </w:t>
            </w:r>
            <w:r>
              <w:rPr>
                <w:sz w:val="17"/>
              </w:rPr>
              <w:t>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r>
              <w:rPr>
                <w:sz w:val="18"/>
              </w:rPr>
              <w:t>Masterwave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r>
              <w:rPr>
                <w:sz w:val="18"/>
              </w:rPr>
              <w:t xml:space="preserve">Masterwave </w:t>
            </w:r>
            <w:r>
              <w:rPr>
                <w:color w:val="333333"/>
                <w:sz w:val="17"/>
              </w:rPr>
              <w:t>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2 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r>
              <w:rPr>
                <w:color w:val="333333"/>
                <w:sz w:val="17"/>
              </w:rPr>
              <w:t>Masterwave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r>
              <w:rPr>
                <w:sz w:val="18"/>
              </w:rPr>
              <w:t xml:space="preserve">Masterwave </w:t>
            </w:r>
            <w:r>
              <w:rPr>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en 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WCDMA- en LTE-banden</w:t>
            </w:r>
          </w:p>
        </w:tc>
        <w:tc>
          <w:tcPr>
            <w:tcW w:w="107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sz w:val="18"/>
              </w:rPr>
              <w:t>Intern of 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en 5 GHz</w:t>
            </w:r>
          </w:p>
        </w:tc>
        <w:tc>
          <w:tcPr>
            <w:tcW w:w="1079"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sz w:val="18"/>
              </w:rPr>
              <w:t>WCDMA-, LTE- en 5G-banden:</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sz w:val="18"/>
              </w:rPr>
              <w:t>Intern</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B2, B4, B25, B66</w:t>
            </w:r>
          </w:p>
        </w:tc>
        <w:tc>
          <w:tcPr>
            <w:tcW w:w="107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sz w:val="18"/>
              </w:rPr>
              <w:t>-.48,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sz w:val="18"/>
              </w:rPr>
              <w:t>B5, B12, B13, B17, 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sz w:val="18"/>
              </w:rPr>
              <w:t>B7, B30, B38, 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WCDMA- en LTE-banden</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sz w:val="18"/>
              </w:rPr>
              <w:t>Netgear 400-10092-01 (intern)</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sz w:val="18"/>
              </w:rPr>
              <w:t>600 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sz w:val="18"/>
              </w:rPr>
              <w:t>700 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800 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1700 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sz w:val="18"/>
              </w:rPr>
              <w:t>1800 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en 5 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sz w:val="18"/>
              </w:rPr>
              <w:t>WCDMA-, LTE- en 5G-banden:</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sz w:val="18"/>
              </w:rPr>
              <w:t>Intern</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en 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WCDMA- en LTE-banden</w:t>
            </w:r>
          </w:p>
        </w:tc>
        <w:tc>
          <w:tcPr>
            <w:tcW w:w="107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sz w:val="18"/>
              </w:rPr>
              <w:t>Intern of 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sz w:val="18"/>
              </w:rPr>
              <w:lastRenderedPageBreak/>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t xml:space="preserve"> 2,4, 5 en 6 GHz</w:t>
            </w:r>
          </w:p>
          <w:p w14:paraId="4F65DE49" w14:textId="77777777" w:rsidR="00BE289B" w:rsidRDefault="00BE289B" w:rsidP="00BE289B">
            <w:pPr>
              <w:pStyle w:val="BodyText"/>
            </w:pPr>
            <w:r>
              <w:t xml:space="preserve"> LTE- en 5GNR-banden:</w:t>
            </w:r>
          </w:p>
          <w:p w14:paraId="120D6C04" w14:textId="77777777" w:rsidR="00BE289B" w:rsidRDefault="00BE289B" w:rsidP="00BE289B">
            <w:pPr>
              <w:pStyle w:val="BodyText"/>
            </w:pPr>
            <w:r>
              <w:t>B2, B4, B5, B7, B12, B14, B29, B66, n2, n5, n12, n14, n66</w:t>
            </w:r>
          </w:p>
          <w:p w14:paraId="27F59299" w14:textId="77777777" w:rsidR="00BE289B" w:rsidRDefault="00BE289B" w:rsidP="00BE289B">
            <w:pPr>
              <w:pStyle w:val="BodyText"/>
            </w:pPr>
            <w:r>
              <w:t>B30, n30</w:t>
            </w:r>
          </w:p>
          <w:p w14:paraId="1305B374" w14:textId="77777777" w:rsidR="00BE289B" w:rsidRDefault="00BE289B" w:rsidP="00BE289B">
            <w:pPr>
              <w:pStyle w:val="BodyText"/>
            </w:pPr>
            <w:r>
              <w:t>B48</w:t>
            </w:r>
          </w:p>
          <w:p w14:paraId="5CC221A3" w14:textId="77777777" w:rsidR="00BE289B" w:rsidRPr="001F545D" w:rsidRDefault="00BE289B" w:rsidP="003608D0">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sz w:val="18"/>
              </w:rPr>
              <w:t>Intern</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sz w:val="18"/>
              </w:rPr>
              <w:t>Intern</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2C1F24"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t>2,4, 5 en 6 GHz</w:t>
            </w:r>
          </w:p>
          <w:p w14:paraId="1CEE6D06" w14:textId="77777777" w:rsidR="00630974" w:rsidRDefault="00630974" w:rsidP="00630974">
            <w:pPr>
              <w:pStyle w:val="BodyText"/>
            </w:pPr>
            <w:r>
              <w:t xml:space="preserve"> LTE- en 5GNR-banden:</w:t>
            </w:r>
          </w:p>
          <w:p w14:paraId="01D93A74" w14:textId="77777777" w:rsidR="00630974" w:rsidRDefault="00630974" w:rsidP="00630974">
            <w:pPr>
              <w:pStyle w:val="BodyText"/>
            </w:pPr>
            <w:r>
              <w:t>B2, B4, B5, B7, B12, B13, B14, B25, B26, B41, B66, B71, n2, n5, n7, n12, n14, n25, n38, n41, n66, n71, n77, n78</w:t>
            </w:r>
          </w:p>
          <w:p w14:paraId="05A41B42" w14:textId="77777777" w:rsidR="00630974" w:rsidRDefault="00630974" w:rsidP="00630974">
            <w:pPr>
              <w:pStyle w:val="BodyText"/>
            </w:pPr>
            <w:r>
              <w:t>B30, n30</w:t>
            </w:r>
          </w:p>
          <w:p w14:paraId="03B65F6A" w14:textId="77777777" w:rsidR="00630974" w:rsidRDefault="00630974" w:rsidP="00630974">
            <w:pPr>
              <w:pStyle w:val="BodyText"/>
            </w:pPr>
            <w:r>
              <w:t>B48, n48, (n77, n78 voor ISED)</w:t>
            </w:r>
          </w:p>
          <w:p w14:paraId="067724F7" w14:textId="77777777" w:rsidR="00630974" w:rsidRDefault="00630974" w:rsidP="00630974">
            <w:pPr>
              <w:pStyle w:val="BodyText"/>
            </w:pPr>
            <w: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Intern</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27752A13"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p>
          <w:p w14:paraId="54DBD951"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p>
          <w:p w14:paraId="112CDE08"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p>
          <w:p w14:paraId="014E9813"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3F2CC919"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342BA6C4"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09A9749D" w14:textId="77777777" w:rsidR="00630974" w:rsidRPr="000519FC" w:rsidRDefault="00630974">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tc>
      </w:tr>
      <w:tr w:rsidR="00633DFA" w:rsidRPr="002C1F24"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t>2,4, 5 en 6 GHz</w:t>
            </w:r>
          </w:p>
          <w:p w14:paraId="496206E8" w14:textId="77777777" w:rsidR="00633DFA" w:rsidRDefault="00633DFA" w:rsidP="00633DFA">
            <w:pPr>
              <w:pStyle w:val="BodyText"/>
            </w:pPr>
            <w:r>
              <w:t xml:space="preserve"> LTE- en 5GNR-banden:</w:t>
            </w:r>
          </w:p>
          <w:p w14:paraId="50AFC334" w14:textId="77777777" w:rsidR="00633DFA" w:rsidRDefault="00633DFA" w:rsidP="00633DFA">
            <w:pPr>
              <w:pStyle w:val="BodyText"/>
            </w:pPr>
            <w:r>
              <w:t>B2, B4, B5, B7, B12, B13, B14, B25, B26, B41, B66, B71, n2, n5, n12, n14, n25, n41, n66, n71</w:t>
            </w:r>
          </w:p>
          <w:p w14:paraId="01E08254" w14:textId="77777777" w:rsidR="00633DFA" w:rsidRDefault="00633DFA" w:rsidP="00633DFA">
            <w:pPr>
              <w:pStyle w:val="BodyText"/>
            </w:pPr>
            <w:r>
              <w:t>B30, n30</w:t>
            </w:r>
          </w:p>
          <w:p w14:paraId="1CF47B3A" w14:textId="77777777" w:rsidR="00633DFA" w:rsidRDefault="00633DFA" w:rsidP="00633DFA">
            <w:pPr>
              <w:pStyle w:val="BodyText"/>
            </w:pPr>
            <w:r>
              <w:t>B48, n48</w:t>
            </w:r>
          </w:p>
          <w:p w14:paraId="6A282814" w14:textId="77777777" w:rsidR="00633DFA" w:rsidRDefault="00633DFA" w:rsidP="00633DFA">
            <w:pPr>
              <w:pStyle w:val="BodyText"/>
            </w:pPr>
            <w:r>
              <w:t>B42</w:t>
            </w:r>
          </w:p>
          <w:p w14:paraId="2196671A" w14:textId="77777777" w:rsidR="00DA1546" w:rsidRDefault="00DA1546" w:rsidP="00633DFA">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Intern</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695D96A2"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p>
          <w:p w14:paraId="4668AF2D"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p>
          <w:p w14:paraId="39152186"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p>
          <w:p w14:paraId="7AB3D2CA"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5FAA89AA"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2C702962"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p w14:paraId="65F05A48" w14:textId="77777777" w:rsidR="00633DFA" w:rsidRPr="000519FC" w:rsidRDefault="00633DFA">
            <w:pPr>
              <w:pStyle w:val="TableParagraph"/>
              <w:kinsoku w:val="0"/>
              <w:overflowPunct w:val="0"/>
              <w:spacing w:line="206" w:lineRule="exact"/>
              <w:ind w:left="109"/>
              <w:rPr>
                <w:rFonts w:eastAsia="Times New Roman"/>
                <w:spacing w:val="-2"/>
                <w:sz w:val="18"/>
                <w:szCs w:val="18"/>
                <w:lang w:val="de-DE"/>
              </w:rPr>
            </w:pPr>
            <w:r w:rsidRPr="000519FC">
              <w:rPr>
                <w:sz w:val="18"/>
                <w:lang w:val="de-DE"/>
              </w:rPr>
              <w:t>Intern</w:t>
            </w:r>
          </w:p>
        </w:tc>
      </w:tr>
    </w:tbl>
    <w:p w14:paraId="1C766C03" w14:textId="77777777" w:rsidR="00DF3509" w:rsidRPr="000519FC" w:rsidRDefault="00DF3509">
      <w:pPr>
        <w:rPr>
          <w:rFonts w:ascii="Cambria" w:hAnsi="Cambria" w:cs="Cambria"/>
          <w:i/>
          <w:iCs/>
          <w:color w:val="365F91"/>
          <w:spacing w:val="-4"/>
          <w:sz w:val="18"/>
          <w:szCs w:val="18"/>
          <w:lang w:val="de-DE"/>
        </w:rPr>
        <w:sectPr w:rsidR="00DF3509" w:rsidRPr="000519FC">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510632"/>
      <w:bookmarkEnd w:id="19"/>
      <w:r>
        <w:lastRenderedPageBreak/>
        <w:t>Wettelijke vereisten voor gebruik in Europa (GB, VK en EU)</w:t>
      </w:r>
      <w:bookmarkEnd w:id="20"/>
    </w:p>
    <w:p w14:paraId="3DABA1B1" w14:textId="77777777" w:rsidR="00DF3509" w:rsidRDefault="00DF3509">
      <w:pPr>
        <w:pStyle w:val="BodyText"/>
        <w:kinsoku w:val="0"/>
        <w:overflowPunct w:val="0"/>
        <w:spacing w:before="110"/>
        <w:ind w:left="840"/>
        <w:rPr>
          <w:spacing w:val="-2"/>
        </w:rPr>
      </w:pPr>
      <w:r>
        <w:t>Dit gedeelte is van toepassing op producten met de CE-markering en/of de UKCA-markering:</w:t>
      </w:r>
    </w:p>
    <w:p w14:paraId="7C66E1C8" w14:textId="1B2F235A" w:rsidR="00DF3509" w:rsidRDefault="0052779B">
      <w:pPr>
        <w:pStyle w:val="BodyText"/>
        <w:kinsoku w:val="0"/>
        <w:overflowPunct w:val="0"/>
        <w:spacing w:before="3"/>
        <w:rPr>
          <w:sz w:val="15"/>
          <w:szCs w:val="15"/>
        </w:rPr>
      </w:pPr>
      <w:r>
        <w:rPr>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t>Producten met de CE-markering voldoen aan de volgende EU-richtlijnen:</w:t>
      </w:r>
    </w:p>
    <w:p w14:paraId="621B19DF" w14:textId="77777777" w:rsidR="000D166D" w:rsidRPr="000D166D" w:rsidRDefault="000D166D" w:rsidP="003608D0">
      <w:pPr>
        <w:pStyle w:val="BodyText"/>
        <w:numPr>
          <w:ilvl w:val="0"/>
          <w:numId w:val="12"/>
        </w:numPr>
        <w:kinsoku w:val="0"/>
        <w:overflowPunct w:val="0"/>
        <w:rPr>
          <w:spacing w:val="-2"/>
        </w:rPr>
      </w:pPr>
      <w:r>
        <w:t>Ecodesign-richtlijn 2009/125/EC</w:t>
      </w:r>
    </w:p>
    <w:p w14:paraId="44BC7DF7" w14:textId="77777777" w:rsidR="000D166D" w:rsidRPr="000D166D" w:rsidRDefault="000D166D" w:rsidP="003608D0">
      <w:pPr>
        <w:pStyle w:val="BodyText"/>
        <w:numPr>
          <w:ilvl w:val="0"/>
          <w:numId w:val="12"/>
        </w:numPr>
        <w:kinsoku w:val="0"/>
        <w:overflowPunct w:val="0"/>
        <w:rPr>
          <w:spacing w:val="-2"/>
        </w:rPr>
      </w:pPr>
      <w:r>
        <w:t>RoHS-richtlijn 2011/65/EU en wijziging RoHS-richtlijn 2015/863</w:t>
      </w:r>
    </w:p>
    <w:p w14:paraId="0E395389" w14:textId="77777777" w:rsidR="000D166D" w:rsidRPr="000D166D" w:rsidRDefault="000D166D" w:rsidP="003608D0">
      <w:pPr>
        <w:pStyle w:val="BodyText"/>
        <w:numPr>
          <w:ilvl w:val="0"/>
          <w:numId w:val="12"/>
        </w:numPr>
        <w:kinsoku w:val="0"/>
        <w:overflowPunct w:val="0"/>
        <w:rPr>
          <w:spacing w:val="-2"/>
        </w:rPr>
      </w:pPr>
      <w:r>
        <w:t>Verordening voor chemische stoffen (REACH) (EG) nr. 1907/2006</w:t>
      </w:r>
    </w:p>
    <w:p w14:paraId="48466A56" w14:textId="77777777" w:rsidR="000D166D" w:rsidRDefault="000D166D" w:rsidP="003608D0">
      <w:pPr>
        <w:pStyle w:val="BodyText"/>
        <w:numPr>
          <w:ilvl w:val="0"/>
          <w:numId w:val="12"/>
        </w:numPr>
        <w:kinsoku w:val="0"/>
        <w:overflowPunct w:val="0"/>
        <w:rPr>
          <w:spacing w:val="-2"/>
        </w:rPr>
      </w:pPr>
      <w:r>
        <w:t>Verpakkings- en verpakkingsafvalrichtlijn 94/62/EG en wijziging richtlijn 2005/20/EG</w:t>
      </w:r>
    </w:p>
    <w:p w14:paraId="506A4E97" w14:textId="77777777" w:rsidR="00DF3509" w:rsidRPr="00D67FE6" w:rsidRDefault="00E159DB" w:rsidP="003608D0">
      <w:pPr>
        <w:pStyle w:val="BodyText"/>
        <w:spacing w:before="120" w:after="120"/>
        <w:ind w:left="720"/>
      </w:pPr>
      <w:r>
        <w:t xml:space="preserve">   Voor niet-radioapparatuur:</w:t>
      </w:r>
    </w:p>
    <w:p w14:paraId="1955DF88" w14:textId="77777777" w:rsidR="00DF3509" w:rsidRPr="00D67FE6" w:rsidRDefault="00DF3509" w:rsidP="003608D0">
      <w:pPr>
        <w:pStyle w:val="BodyText"/>
        <w:numPr>
          <w:ilvl w:val="0"/>
          <w:numId w:val="7"/>
        </w:numPr>
      </w:pPr>
      <w:r>
        <w:t>EMC-richtlijn 2014/30/EU</w:t>
      </w:r>
    </w:p>
    <w:p w14:paraId="0E6D34BC" w14:textId="77777777" w:rsidR="00DF3509" w:rsidRPr="00D67FE6" w:rsidRDefault="00DF3509" w:rsidP="003608D0">
      <w:pPr>
        <w:pStyle w:val="BodyText"/>
        <w:numPr>
          <w:ilvl w:val="0"/>
          <w:numId w:val="7"/>
        </w:numPr>
      </w:pPr>
      <w:r>
        <w:t>Richtlijn voor lage voltages 2014/35/EU</w:t>
      </w:r>
    </w:p>
    <w:p w14:paraId="0E8CB8FC" w14:textId="362C9038" w:rsidR="00DF3509" w:rsidRPr="00D67FE6" w:rsidRDefault="00E159DB" w:rsidP="003608D0">
      <w:pPr>
        <w:pStyle w:val="BodyText"/>
        <w:spacing w:before="120" w:after="120"/>
        <w:ind w:left="482" w:firstLine="238"/>
      </w:pPr>
      <w:r>
        <w:t xml:space="preserve">   Voor </w:t>
      </w:r>
      <w:r w:rsidR="000519FC">
        <w:rPr>
          <w:rStyle w:val="cf01"/>
        </w:rPr>
        <w:t>radioapparatuur</w:t>
      </w:r>
      <w:r>
        <w:t>:</w:t>
      </w:r>
    </w:p>
    <w:p w14:paraId="47A16739" w14:textId="77777777" w:rsidR="00DF3509" w:rsidRPr="00D67FE6" w:rsidRDefault="00DF3509" w:rsidP="003608D0">
      <w:pPr>
        <w:pStyle w:val="BodyText"/>
        <w:numPr>
          <w:ilvl w:val="0"/>
          <w:numId w:val="7"/>
        </w:numPr>
      </w:pPr>
      <w:r>
        <w:t>Richtlijn voor radioapparatuur 2014/53/EU (RED)</w:t>
      </w:r>
    </w:p>
    <w:p w14:paraId="1601E115" w14:textId="77777777" w:rsidR="00DF3509" w:rsidRPr="003608D0" w:rsidRDefault="00DF3509" w:rsidP="003608D0">
      <w:pPr>
        <w:pStyle w:val="BodyText"/>
        <w:rPr>
          <w:highlight w:val="yellow"/>
        </w:rPr>
      </w:pPr>
    </w:p>
    <w:p w14:paraId="6124A144" w14:textId="0A727D0E" w:rsidR="00DF3509" w:rsidRDefault="00DF3509">
      <w:pPr>
        <w:pStyle w:val="BodyText"/>
        <w:kinsoku w:val="0"/>
        <w:overflowPunct w:val="0"/>
        <w:spacing w:line="276" w:lineRule="auto"/>
        <w:ind w:left="840" w:right="873"/>
        <w:rPr>
          <w:color w:val="000000"/>
          <w:spacing w:val="-2"/>
        </w:rPr>
      </w:pPr>
      <w:r>
        <w:t xml:space="preserve">Naleving van deze richtlijnen impliceert conformiteit met geharmoniseerde Europese normen die worden vermeld in de EU-conformiteitsverklaring. De CE-conformiteitsverklaring voor de EU kunt u vinden op </w:t>
      </w:r>
      <w:hyperlink r:id="rId18" w:history="1">
        <w:r>
          <w:rPr>
            <w:color w:val="0000FF"/>
            <w:u w:val="single"/>
          </w:rPr>
          <w:t>http://support.netgear.com/app/answers/detail/a_id/11621/</w:t>
        </w:r>
        <w:r>
          <w:rPr>
            <w:color w:val="000000"/>
          </w:rPr>
          <w:t>.</w:t>
        </w:r>
      </w:hyperlink>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t>Producten met de UKCA-markering voldoen aan de Britse wettelijke voorschriften en de toepasselijke normen zoals aangegeven in de UKCA-conformiteitsverklaring. De UKCA-conformiteitsverklaring vindt u op:</w:t>
      </w:r>
    </w:p>
    <w:p w14:paraId="38D4F057" w14:textId="204DB799" w:rsidR="00DF3509" w:rsidRDefault="00000000">
      <w:pPr>
        <w:pStyle w:val="BodyText"/>
        <w:kinsoku w:val="0"/>
        <w:overflowPunct w:val="0"/>
        <w:ind w:left="840"/>
        <w:rPr>
          <w:color w:val="0462C1"/>
          <w:spacing w:val="-2"/>
        </w:rPr>
      </w:pPr>
      <w:hyperlink r:id="rId19" w:history="1">
        <w:r w:rsidR="00DF3509">
          <w:rPr>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510633"/>
      <w:bookmarkEnd w:id="21"/>
      <w:r>
        <w:t>Naleving van Richtlijn 2014/53/EU betreffende radioapparatuur (RED)</w:t>
      </w:r>
      <w:bookmarkEnd w:id="22"/>
    </w:p>
    <w:p w14:paraId="057677E6" w14:textId="77777777" w:rsidR="00DF3509" w:rsidRDefault="00DF3509">
      <w:pPr>
        <w:pStyle w:val="BodyText"/>
        <w:kinsoku w:val="0"/>
        <w:overflowPunct w:val="0"/>
        <w:spacing w:before="102" w:line="280" w:lineRule="auto"/>
        <w:ind w:left="840" w:right="873"/>
      </w:pPr>
      <w:r>
        <w:t>Draadloze NETGEAR-producten met de CE-markering voldoen aan de vereiste van artikel 10(2) aangezien ze in ten minste één lidstaat kunnen worden bediend zoals onderzocht.</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t>In overeenstemming met artikel 10(10) geven NETGEAR-producten met het volgende pictogram op de verpakking aan dat dit apparaat in de weergegeven landen beperkingen heeft die hieronder worden beschreven:</w:t>
      </w:r>
    </w:p>
    <w:p w14:paraId="3F72AAB2" w14:textId="35A2DE78" w:rsidR="00DF3509" w:rsidRDefault="0052779B">
      <w:pPr>
        <w:pStyle w:val="BodyText"/>
        <w:kinsoku w:val="0"/>
        <w:overflowPunct w:val="0"/>
        <w:spacing w:before="11"/>
        <w:rPr>
          <w:sz w:val="21"/>
          <w:szCs w:val="21"/>
        </w:rPr>
      </w:pPr>
      <w:r>
        <w:rPr>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5426A87" w14:textId="77777777" w:rsidR="00DF3509" w:rsidRDefault="00DF3509">
      <w:pPr>
        <w:pStyle w:val="ListParagraph"/>
        <w:numPr>
          <w:ilvl w:val="0"/>
          <w:numId w:val="6"/>
        </w:numPr>
        <w:tabs>
          <w:tab w:val="left" w:pos="1560"/>
        </w:tabs>
        <w:kinsoku w:val="0"/>
        <w:overflowPunct w:val="0"/>
        <w:spacing w:line="280" w:lineRule="atLeast"/>
        <w:ind w:right="2817"/>
        <w:rPr>
          <w:sz w:val="18"/>
          <w:szCs w:val="18"/>
        </w:rPr>
      </w:pPr>
      <w:r>
        <w:rPr>
          <w:sz w:val="18"/>
        </w:rPr>
        <w:t>Het apparaat mag alleen binnenshuis worden gebruikt bij gebruik in de volgende frequentiebereiken: 5150 tot 5350 MHz</w:t>
      </w:r>
    </w:p>
    <w:p w14:paraId="7FFD89C4" w14:textId="77777777" w:rsidR="00DF3509" w:rsidRDefault="00DF3509">
      <w:pPr>
        <w:pStyle w:val="BodyText"/>
        <w:kinsoku w:val="0"/>
        <w:overflowPunct w:val="0"/>
        <w:spacing w:before="6"/>
        <w:ind w:left="1560"/>
        <w:rPr>
          <w:spacing w:val="-5"/>
        </w:rPr>
      </w:pPr>
      <w:r>
        <w:t>5945 tot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t>Gebruik</w:t>
      </w:r>
      <w:r>
        <w:rPr>
          <w:sz w:val="18"/>
        </w:rPr>
        <w:t xml:space="preserve"> in het frequentiebereik van 5945-6425 MHz is vóór december 2021 niet toegestaan in landen binnen de EU en EFTA, behalve voor CY, CZ, DE, FR, SI, NO en UK(NI).</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sz w:val="18"/>
        </w:rPr>
        <w:t>Apparaten met 5945-6425 MHz zijn vanaf oktober 2021 toegestaan in België onder het autorisatieregime tot het Koninklijk Besluit is bijgewerkt om deze frequentieband vrijgesteld of zonder licentie te maken. Voor elke locatie waar apparaten zich bevinden, is een algemene licentie vereist. Zie BIPT voor meer informatie. Aanvullende referenties:</w:t>
      </w:r>
    </w:p>
    <w:p w14:paraId="271FCA67" w14:textId="08340F8C"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22" w:history="1">
        <w:r w:rsidR="00DF3509">
          <w:rPr>
            <w:color w:val="0000FF"/>
            <w:sz w:val="18"/>
            <w:u w:val="single"/>
          </w:rPr>
          <w:t>https://www.bipt.be/consumers/free-use-of-radio</w:t>
        </w:r>
      </w:hyperlink>
    </w:p>
    <w:p w14:paraId="09A49B87" w14:textId="05706530"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3" w:history="1">
        <w:r w:rsidR="00DF3509">
          <w:rPr>
            <w:color w:val="0000FF"/>
            <w:sz w:val="18"/>
            <w:u w:val="single"/>
          </w:rPr>
          <w:t>https://www.bipt.be/operators/general-holders-licenses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510634"/>
      <w:r>
        <w:t>Richtlijnen voor blootstelling aan radiofrequenties</w:t>
      </w:r>
      <w:bookmarkEnd w:id="23"/>
    </w:p>
    <w:p w14:paraId="36FC594F" w14:textId="77777777" w:rsidR="00DF3509" w:rsidRDefault="00DF3509">
      <w:pPr>
        <w:pStyle w:val="BodyText"/>
        <w:kinsoku w:val="0"/>
        <w:overflowPunct w:val="0"/>
        <w:spacing w:before="110" w:line="276" w:lineRule="auto"/>
        <w:ind w:left="840" w:right="755"/>
        <w:jc w:val="both"/>
      </w:pPr>
      <w:r>
        <w:t xml:space="preserve">Voor andere apparaten dan mobiele hotspots en USB-modems dient u ervoor te zorgen dat er ten minste 20 cm afstand is tussen het draadloze NETGEAR-apparaat en het lichaam van de gebruiker om te voldoen aan de voorwaarden voor </w:t>
      </w:r>
      <w:r>
        <w:lastRenderedPageBreak/>
        <w:t>maximale toelaatbare blootstelling (MPE). Raadpleeg voor meer informatie de sectie over blootstelling aan radiogolven op:</w:t>
      </w:r>
    </w:p>
    <w:p w14:paraId="7D8C16C0" w14:textId="00096412" w:rsidR="00DF3509" w:rsidRDefault="00000000">
      <w:pPr>
        <w:pStyle w:val="BodyText"/>
        <w:kinsoku w:val="0"/>
        <w:overflowPunct w:val="0"/>
        <w:spacing w:before="82"/>
        <w:ind w:left="840"/>
        <w:rPr>
          <w:color w:val="0000FF"/>
          <w:spacing w:val="-2"/>
        </w:rPr>
      </w:pPr>
      <w:hyperlink r:id="rId24" w:history="1">
        <w:r w:rsidR="00DF3509">
          <w:rPr>
            <w:color w:val="0000FF"/>
            <w:u w:val="single"/>
          </w:rPr>
          <w:t>https://www.netgear.com/about/regulatory/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t>Overeenkomstig artikel 10.8(a) en 10.8(b) van de RED, geven de volgende tabellen informatie over de gebruikte frequentiebanden en het maximale overdrachtsvermogen van de radiofrequentie van draadloze NETGEAR-producten die in de EU te koop zijn:</w:t>
      </w:r>
    </w:p>
    <w:p w14:paraId="7ADA8742" w14:textId="77777777" w:rsidR="00DF3509" w:rsidRDefault="00DF3509">
      <w:pPr>
        <w:pStyle w:val="BodyText"/>
        <w:kinsoku w:val="0"/>
        <w:overflowPunct w:val="0"/>
        <w:spacing w:before="1"/>
        <w:rPr>
          <w:sz w:val="17"/>
          <w:szCs w:val="17"/>
        </w:rPr>
      </w:pPr>
    </w:p>
    <w:p w14:paraId="2C83E8F6" w14:textId="4A10325D" w:rsidR="00DF3509" w:rsidRDefault="00DF3509">
      <w:pPr>
        <w:pStyle w:val="BodyText"/>
        <w:kinsoku w:val="0"/>
        <w:overflowPunct w:val="0"/>
        <w:ind w:left="840"/>
        <w:rPr>
          <w:i/>
          <w:iCs/>
          <w:spacing w:val="-7"/>
        </w:rPr>
      </w:pPr>
      <w:r>
        <w:rPr>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Frequentiebereik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Gebruikte kanalen</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b/>
                <w:sz w:val="18"/>
              </w:rPr>
              <w:t>Max. overdrachtsvermogen (dBm/mW)</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ODFM: 19,9 dBm (97,7 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sz w:val="18"/>
              </w:rPr>
              <w:t>CCK: 17,9 dBm (61,7 mW)</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sz w:val="18"/>
              </w:rPr>
              <w:t>22,9 dBm (195 mW)</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sz w:val="18"/>
              </w:rPr>
              <w:t>22,9 dBm (195 mW) met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sz w:val="18"/>
              </w:rPr>
              <w:t>19,9 dBm (97,7 mW) non-TPC</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sz w:val="18"/>
              </w:rPr>
              <w:t>29,9 dBm (977 mW) met TPC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sz w:val="18"/>
              </w:rPr>
              <w:t>26,9 dBm (490 mW) non-TPC</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sz w:val="18"/>
              </w:rPr>
              <w:t xml:space="preserve">   1-93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22,9 dBm (195 mW)</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t>TPC: Beheer zendvermogen.</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i/>
        </w:rPr>
        <w:t>Mobiel</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Frequentie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Gebruikte banden</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b/>
                <w:sz w:val="18"/>
              </w:rPr>
              <w:t>Max. overdrachtsvermogen (dBm/mW)</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sz w:val="18"/>
              </w:rPr>
              <w:t>Band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FDD: 23,9 dBm (245 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sz w:val="18"/>
              </w:rPr>
              <w:t>Band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23,9 dBm (245 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26,9 dBm (500 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sz w:val="18"/>
              </w:rPr>
              <w:t>Band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26,9 dBm (500 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510635"/>
      <w:bookmarkEnd w:id="24"/>
      <w:r>
        <w:t>Specifieke voorzorgsmaatregelen voor EMC</w:t>
      </w:r>
      <w:bookmarkEnd w:id="25"/>
    </w:p>
    <w:p w14:paraId="58219E09" w14:textId="77777777" w:rsidR="00DF3509" w:rsidRDefault="00DF3509">
      <w:pPr>
        <w:pStyle w:val="BodyText"/>
        <w:kinsoku w:val="0"/>
        <w:overflowPunct w:val="0"/>
        <w:spacing w:before="105" w:line="278" w:lineRule="auto"/>
        <w:ind w:left="840" w:right="873"/>
      </w:pPr>
      <w:r>
        <w:t>NETGEAR-producten, waaronder alle draadloze apparaten, modules en kleine switches, zijn apparaten van EMC-klasse B. Ethernet-switches met meer dan 8 poorten zijn over het algemeen EMC-apparaten van klasse A.</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t>Waarschuwing: NETGEAR Klasse A-apparatuur voldoet aan Klasse A van EN 55032. In een woonomgeving kan deze apparatuur radiostoring veroorzaken. In dat geval moet de gebruiker mogelijk passende maatregelen nemen.</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510636"/>
      <w:bookmarkEnd w:id="26"/>
      <w:r>
        <w:t>FCC-vereisten voor gebruik in de Verenigde Staten</w:t>
      </w:r>
      <w:bookmarkEnd w:id="27"/>
    </w:p>
    <w:p w14:paraId="6F15C16B" w14:textId="52FC04F7" w:rsidR="00DF3509" w:rsidRDefault="0052779B">
      <w:pPr>
        <w:pStyle w:val="BodyText"/>
        <w:kinsoku w:val="0"/>
        <w:overflowPunct w:val="0"/>
        <w:spacing w:before="4"/>
        <w:rPr>
          <w:sz w:val="17"/>
          <w:szCs w:val="17"/>
        </w:rPr>
      </w:pPr>
      <w:r>
        <w:rPr>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510637"/>
      <w:bookmarkEnd w:id="28"/>
      <w:r>
        <w:t>FCC-conformiteitsverklaring</w:t>
      </w:r>
      <w:bookmarkEnd w:id="29"/>
    </w:p>
    <w:p w14:paraId="08D44C0D" w14:textId="4CC60890" w:rsidR="00DF3509" w:rsidRDefault="00DF3509">
      <w:pPr>
        <w:pStyle w:val="BodyText"/>
        <w:kinsoku w:val="0"/>
        <w:overflowPunct w:val="0"/>
        <w:spacing w:before="105" w:line="276" w:lineRule="auto"/>
        <w:ind w:left="840" w:right="779"/>
      </w:pPr>
      <w:r>
        <w:t>NETGEAR, Inc., gevestigd te 350 East Plumeria Drive, San Jose, CA 95134, Verenigde Staten (</w:t>
      </w:r>
      <w:hyperlink r:id="rId25" w:history="1">
        <w:r>
          <w:rPr>
            <w:i/>
            <w:sz w:val="20"/>
          </w:rPr>
          <w:t>www.netgear.com/support)</w:t>
        </w:r>
        <w:r>
          <w:t>,</w:t>
        </w:r>
      </w:hyperlink>
      <w:r>
        <w:t xml:space="preserve"> verklaart onder volledig eigen verantwoordelijkheid dat alle producten voldoen aan deel 15 onderdeel B van de FCC CFR47-regels. De werking is onderhevig aan de volgende twee voorwaarden:</w:t>
      </w:r>
    </w:p>
    <w:p w14:paraId="53764D10" w14:textId="77777777" w:rsidR="00DF3509" w:rsidRDefault="00DF3509">
      <w:pPr>
        <w:pStyle w:val="BodyText"/>
        <w:kinsoku w:val="0"/>
        <w:overflowPunct w:val="0"/>
        <w:spacing w:before="105" w:line="276" w:lineRule="auto"/>
        <w:ind w:left="840" w:right="779"/>
        <w:sectPr w:rsidR="00DF3509">
          <w:pgSz w:w="12240" w:h="15840"/>
          <w:pgMar w:top="1360" w:right="680" w:bottom="1140" w:left="600" w:header="0" w:footer="950" w:gutter="0"/>
          <w:cols w:space="720"/>
          <w:noEndnote/>
        </w:sectPr>
      </w:pP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sz w:val="18"/>
        </w:rPr>
        <w:lastRenderedPageBreak/>
        <w:t>Het apparaat mag geen schadelijke storing veroorzaken, en</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sz w:val="18"/>
        </w:rPr>
        <w:t>Het apparaat moet alle ontvangen storingen accepteren, inclusief storingen die ongewenste werkingen kunnen veroorzaken.</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510638"/>
      <w:bookmarkEnd w:id="30"/>
      <w:r>
        <w:t>FCC-informatie voor de gebruiker</w:t>
      </w:r>
      <w:bookmarkEnd w:id="31"/>
    </w:p>
    <w:p w14:paraId="4A976B6F" w14:textId="77777777" w:rsidR="00DF3509" w:rsidRDefault="00DF3509">
      <w:pPr>
        <w:pStyle w:val="BodyText"/>
        <w:kinsoku w:val="0"/>
        <w:overflowPunct w:val="0"/>
        <w:spacing w:before="102" w:line="278" w:lineRule="auto"/>
        <w:ind w:left="840" w:right="873"/>
      </w:pPr>
      <w:r>
        <w:t>Dit NETGEAR-product bevat geen onderdelen die door de gebruiker kunnen worden onderhouden. Wijzigingen of aanpassingen aan het product tasten de geldigheid van alle toepasselijke wettelijke certificeringen en goedkeuringen aan.</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t>De volgende verklaring is van toepassing op producten waar de FCC-conformiteitsverklaring niet op het label kan worden vermeld:</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i/>
          <w:color w:val="365F91"/>
        </w:rPr>
        <w:t>Tabel 3. Producten te klein voor FCC-label</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sz w:val="18"/>
              </w:rPr>
              <w:t>RBK40</w:t>
            </w:r>
          </w:p>
        </w:tc>
      </w:tr>
    </w:tbl>
    <w:p w14:paraId="321F874B" w14:textId="77777777" w:rsidR="00DF3509" w:rsidRDefault="00DF3509">
      <w:pPr>
        <w:pStyle w:val="BodyText"/>
        <w:kinsoku w:val="0"/>
        <w:overflowPunct w:val="0"/>
        <w:spacing w:before="61" w:line="276" w:lineRule="auto"/>
        <w:ind w:left="840" w:right="1233"/>
        <w:jc w:val="both"/>
      </w:pPr>
      <w:r>
        <w:t>Dit apparaat voldoet aan deel 15 van de FCC-regels. De werking is onderhevig aan de volgende twee voorwaarden: (1) dit apparaat mag geen schadelijke storingen veroorzaken, en (2) dit apparaat moet alle ontvangen storingen accepteren, ook als dat ten koste gaat van de werking van het apparaat.</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510639"/>
      <w:bookmarkEnd w:id="32"/>
      <w:r>
        <w:t>Waarschuwingen en instructies van de FCC over radiofrequenties</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t>Voor producten die verkrijgbaar zijn op de Amerikaanse markt mag uitsluitend kanaal 1-11 worden gebruikt. Andere kanalen kunnen niet worden geselecteerd.</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510640"/>
      <w:bookmarkEnd w:id="34"/>
      <w:r>
        <w:t>Gebruik van landcodeselectie (WLAN-apparaten)</w:t>
      </w:r>
      <w:bookmarkEnd w:id="35"/>
    </w:p>
    <w:p w14:paraId="24E2A1BA" w14:textId="77777777" w:rsidR="00DF3509" w:rsidRDefault="00DF3509">
      <w:pPr>
        <w:pStyle w:val="BodyText"/>
        <w:kinsoku w:val="0"/>
        <w:overflowPunct w:val="0"/>
        <w:spacing w:before="91" w:line="278" w:lineRule="auto"/>
        <w:ind w:left="840" w:right="1159"/>
        <w:jc w:val="both"/>
      </w:pPr>
      <w:r>
        <w:t>De selectie van de landcode is alleen voor modellen buiten de VS en is niet voor modellen in de VS beschikbaar. Volgens de FCC-regelgeving moeten alle WiFi-producten die in de VS op de markt worden gebracht, worden vastgezet op Amerikaanse kanalen voor gebruik.</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t>Dit NETGEAR-product mag alleen worden gebruikt met goedgekeurde antennes. Dit apparaat en de antennes van dit apparaat mogen niet vlakbij of in combinatie met een andere antenne of zender worden geplaatst of gebruikt, behalve wanneer in overeenstemming met de FCC-productprocedures voor meerdere zenders</w:t>
      </w:r>
      <w:r>
        <w:rPr>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t>Het apparaat en de antennes van dit apparaat mogen niet vlak bij een andere antenne of zender worden geplaatst of gebruikt, behalve wanneer in overeenstemming met de FCC-regelgeving.</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t>Waarschuwing van de FCC: Alle wijzigingen of aanpassingen die niet expliciet zijn goedgekeurd door de voor conformiteit verantwoordelijke instantie, kunnen ertoe leiden dat de gebruiker het apparaat niet langer mag gebruiken.</w:t>
      </w:r>
    </w:p>
    <w:p w14:paraId="5B562DC8" w14:textId="77777777" w:rsidR="00DF3509" w:rsidRDefault="00DF3509">
      <w:pPr>
        <w:pStyle w:val="BodyText"/>
        <w:kinsoku w:val="0"/>
        <w:overflowPunct w:val="0"/>
        <w:spacing w:before="1"/>
        <w:rPr>
          <w:sz w:val="17"/>
          <w:szCs w:val="17"/>
        </w:rPr>
      </w:pPr>
    </w:p>
    <w:p w14:paraId="14274486" w14:textId="1F2FCF6A" w:rsidR="00DF3509" w:rsidRDefault="00DF3509">
      <w:pPr>
        <w:pStyle w:val="Heading3"/>
        <w:kinsoku w:val="0"/>
        <w:overflowPunct w:val="0"/>
        <w:rPr>
          <w:spacing w:val="-2"/>
        </w:rPr>
      </w:pPr>
      <w:bookmarkStart w:id="36" w:name="_bookmark18"/>
      <w:bookmarkStart w:id="37" w:name="_Toc147510641"/>
      <w:bookmarkEnd w:id="36"/>
      <w:r>
        <w:t>5,9 en 6 GHz WiFi-apparaten</w:t>
      </w:r>
      <w:bookmarkEnd w:id="37"/>
    </w:p>
    <w:p w14:paraId="417C8D9D" w14:textId="77777777" w:rsidR="00DF3509" w:rsidRDefault="00DF3509">
      <w:pPr>
        <w:pStyle w:val="BodyText"/>
        <w:kinsoku w:val="0"/>
        <w:overflowPunct w:val="0"/>
        <w:spacing w:before="91" w:line="276" w:lineRule="auto"/>
        <w:ind w:left="840" w:right="873"/>
        <w:rPr>
          <w:spacing w:val="-2"/>
        </w:rPr>
      </w:pPr>
      <w:r>
        <w:t>De FCC-voorschriften beperken de werking van dit apparaat tot gebruik binnenshuis. Dit apparaat kan niet worden gebruikt om verbinding te maken tussen afzonderlijke gebouwen of structuren. Het gebruik ervan is verboden op booreilanden, in auto's, treinen, boten en vliegtuigen. Het apparaat is echter wel toegestaan in grote vliegtuigen die op een hoogte van meer dan 10.000 feet vliegen. Het gebruik van zenders van 5,915-7,125 GHz is verboden voor de besturing van of communicatie met onbemande vliegtuigsystemen.</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510642"/>
      <w:bookmarkEnd w:id="38"/>
      <w:r>
        <w:t>FCC-verklaringen over blootstelling aan RF-straling en SAR</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510643"/>
      <w:bookmarkEnd w:id="40"/>
      <w:r>
        <w:t>De informatie in dit gedeelte is van toepassing op producten die gegevens verzenden of draadloos communiceren SAR-verklaring</w:t>
      </w:r>
      <w:bookmarkEnd w:id="41"/>
    </w:p>
    <w:p w14:paraId="0E4DC869" w14:textId="77777777" w:rsidR="00DF3509" w:rsidRDefault="00DF3509">
      <w:pPr>
        <w:pStyle w:val="BodyText"/>
        <w:kinsoku w:val="0"/>
        <w:overflowPunct w:val="0"/>
        <w:spacing w:before="59" w:line="278" w:lineRule="auto"/>
        <w:ind w:left="840" w:right="873"/>
      </w:pPr>
      <w:r>
        <w:t>De informatie in dit gedeelte is van toepassing op draadloze NETGEAR-producten die zijn ontworpen voor gebruik dicht bij het menselijk lichaam.</w:t>
      </w:r>
    </w:p>
    <w:p w14:paraId="590E0B1B" w14:textId="77777777" w:rsidR="00DF3509" w:rsidRDefault="00DF3509">
      <w:pPr>
        <w:pStyle w:val="BodyText"/>
        <w:kinsoku w:val="0"/>
        <w:overflowPunct w:val="0"/>
        <w:spacing w:before="1"/>
        <w:rPr>
          <w:sz w:val="17"/>
          <w:szCs w:val="17"/>
        </w:rPr>
      </w:pPr>
    </w:p>
    <w:p w14:paraId="5B2C97D8" w14:textId="2A425223" w:rsidR="00DF3509" w:rsidRDefault="00DF3509" w:rsidP="000519FC">
      <w:pPr>
        <w:pStyle w:val="BodyText"/>
        <w:kinsoku w:val="0"/>
        <w:overflowPunct w:val="0"/>
        <w:spacing w:line="276" w:lineRule="auto"/>
        <w:ind w:left="840" w:right="779"/>
      </w:pPr>
      <w:r>
        <w:t xml:space="preserve">NETGEAR-producten die zijn ontworpen om dicht bij het menselijk lichaam te worden gebruikt, zijn getest op </w:t>
      </w:r>
      <w:r>
        <w:lastRenderedPageBreak/>
        <w:t>naleving van SAR (specific absorption rate) op het lichaam. Dit product voldoet aan de geldende nationale SAR-limieten van 1,6 W/kg. Houd bij het dragen van het product of het gebruik ervan op uw lichaam een afstand van 10 mm tot het lichaam aan om te voldoen aan</w:t>
      </w:r>
      <w:r w:rsidR="000519FC">
        <w:t xml:space="preserve"> </w:t>
      </w:r>
      <w:r>
        <w:t>de vereisten voor blootstelling aan radiogolven. Ga om de minimale afstand te controleren, om meer informatie te lezen of om het hoogste gemeten SAR-niveau voor dit apparaat te bekijken naar de sectie over blootstelling aan radiogolven op:</w:t>
      </w:r>
    </w:p>
    <w:p w14:paraId="58CA11F5" w14:textId="77777777" w:rsidR="00DF3509" w:rsidRDefault="00DF3509">
      <w:pPr>
        <w:pStyle w:val="BodyText"/>
        <w:kinsoku w:val="0"/>
        <w:overflowPunct w:val="0"/>
        <w:spacing w:before="4"/>
        <w:rPr>
          <w:sz w:val="17"/>
          <w:szCs w:val="17"/>
        </w:rPr>
      </w:pPr>
    </w:p>
    <w:p w14:paraId="5B1FD1B3" w14:textId="07D1AE55" w:rsidR="00DF3509" w:rsidRDefault="00000000">
      <w:pPr>
        <w:pStyle w:val="BodyText"/>
        <w:kinsoku w:val="0"/>
        <w:overflowPunct w:val="0"/>
        <w:ind w:left="840"/>
        <w:rPr>
          <w:color w:val="0000FF"/>
          <w:spacing w:val="-2"/>
        </w:rPr>
      </w:pPr>
      <w:hyperlink r:id="rId26" w:history="1">
        <w:r w:rsidR="00DF3509">
          <w:rPr>
            <w:color w:val="0000FF"/>
            <w:u w:val="single"/>
          </w:rPr>
          <w:t>https://www.netgear.com/about/regulatory/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t>NETGEAR USB-donglezenders zijn goedgekeurd voor gebruik in gangbare laptopcomputers. Om te voldoen aan de FCC-vereisten voor blootstelling aan RF-straling, gebruikt u NETGEAR USB-donglezenders niet in andere apparaten of in bepaalde laptop- en tabletcomputerconfiguraties waar de USB-aansluitingen op de hostcomputer niet in staat zijn om de vereiste bedieningsconfiguraties voor het apparaat en de gebruikers of omstanders te leveren of te garanderen. Zo blijft u voldoen aan de nalevingsvereisten voor RF-blootstelling.</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510644"/>
      <w:bookmarkEnd w:id="42"/>
      <w:r>
        <w:t>Verklaring over maximaal toelaatbare blootstelling (MPE)</w:t>
      </w:r>
      <w:bookmarkEnd w:id="43"/>
    </w:p>
    <w:p w14:paraId="38616C1D" w14:textId="77777777" w:rsidR="00DF3509" w:rsidRDefault="00DF3509">
      <w:pPr>
        <w:pStyle w:val="BodyText"/>
        <w:kinsoku w:val="0"/>
        <w:overflowPunct w:val="0"/>
        <w:spacing w:before="93" w:line="278" w:lineRule="auto"/>
        <w:ind w:left="840" w:right="779"/>
      </w:pPr>
      <w:r>
        <w:t>De informatie in dit gedeelte is van toepassing op draadloze NETGEAR-producten die zijn ontworpen voor gebruik op minstens 20 cm van het menselijk lichaam.</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t>NETGEAR-producten voldoen aan de grenswaarden voor blootstelling aan straling van de FCC voor een ongecontroleerde omgeving. Het is raadzaam dat apparatuur wordt geïnstalleerd en gebruikt op een plek waar de minimale afstand tussen de zendantenne en uw lichaam 35cm bedraagt. Voor meer informatie en de minimale afstand voor specifieke producten gaat u naar de sectie over blootstelling aan radiogolven op:</w:t>
      </w:r>
    </w:p>
    <w:p w14:paraId="7CD66FE8" w14:textId="77777777" w:rsidR="00DF3509" w:rsidRDefault="00DF3509">
      <w:pPr>
        <w:pStyle w:val="BodyText"/>
        <w:kinsoku w:val="0"/>
        <w:overflowPunct w:val="0"/>
        <w:spacing w:before="9"/>
        <w:rPr>
          <w:sz w:val="16"/>
          <w:szCs w:val="16"/>
        </w:rPr>
      </w:pPr>
    </w:p>
    <w:p w14:paraId="4990202D" w14:textId="7F71274F" w:rsidR="00DF3509" w:rsidRDefault="00000000">
      <w:pPr>
        <w:pStyle w:val="BodyText"/>
        <w:kinsoku w:val="0"/>
        <w:overflowPunct w:val="0"/>
        <w:spacing w:before="1"/>
        <w:ind w:left="840"/>
        <w:rPr>
          <w:color w:val="0000FF"/>
          <w:spacing w:val="-2"/>
        </w:rPr>
      </w:pPr>
      <w:hyperlink r:id="rId27" w:history="1">
        <w:r w:rsidR="00DF3509">
          <w:rPr>
            <w:color w:val="0000FF"/>
            <w:u w:val="single"/>
          </w:rPr>
          <w:t>https://www.netgear.com/about/regulatory/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510645"/>
      <w:bookmarkEnd w:id="44"/>
      <w:r>
        <w:t>Specifieke voorzorgsmaatregelen voor EMC</w:t>
      </w:r>
      <w:bookmarkEnd w:id="45"/>
    </w:p>
    <w:p w14:paraId="7065526E" w14:textId="77777777" w:rsidR="00DF3509" w:rsidRDefault="00DF3509">
      <w:pPr>
        <w:pStyle w:val="BodyText"/>
        <w:kinsoku w:val="0"/>
        <w:overflowPunct w:val="0"/>
        <w:spacing w:before="103" w:line="278" w:lineRule="auto"/>
        <w:ind w:left="840" w:right="873"/>
      </w:pPr>
      <w:r>
        <w:t>NETGEAR-producten, waaronder alle draadloze apparaten, modules en kleine switches, zijn apparaten van EMC-klasse B. Ethernet-switches met meer dan 8 poorten zijn over het algemeen EMC-apparaten van klasse A.</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510646"/>
      <w:bookmarkEnd w:id="46"/>
      <w:r>
        <w:t>Klasse B-producten</w:t>
      </w:r>
      <w:bookmarkEnd w:id="47"/>
    </w:p>
    <w:p w14:paraId="7F336840" w14:textId="77777777" w:rsidR="00DF3509" w:rsidRDefault="00DF3509">
      <w:pPr>
        <w:pStyle w:val="BodyText"/>
        <w:kinsoku w:val="0"/>
        <w:overflowPunct w:val="0"/>
        <w:spacing w:before="90" w:line="276" w:lineRule="auto"/>
        <w:ind w:left="840" w:right="779"/>
      </w:pPr>
      <w:r>
        <w:t>Het NETGEAR-product is getest en in overeenstemming bevonden met de grenswaarden voor een digitaal apparaat Klasse B conform deel 15 van de FCC-regels. Deze grenswaarden bestaan om een redelijke bescherming te bieden tegen schadelijke storing in een particuliere installatie. Door dit apparaat wordt radiofrequentie-energie gebruikt en mogelijk uitgestraald. Als het apparaat niet volgens de instructies wordt geïnstalleerd en gebruikt, kan radiostoring worden veroorzaakt. Er is echter geen garantie dat in een bepaalde installatie geen storing zal optreden. Als het apparaat storing in radio- of televisieontvangst veroorzaakt, hetgeen kan worden vastgesteld wanneer de apparatuur wordt uit- en ingeschakeld, kunt u met de volgende maatregelen trachten de storing te verhelpen:</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sz w:val="18"/>
        </w:rPr>
        <w:t>Verander de positie van de ontvangstantenne.</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sz w:val="18"/>
        </w:rPr>
        <w:t>Zet het apparaat en de ontvanger verder bij elkaar vandaan.</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sz w:val="18"/>
        </w:rPr>
        <w:t>Sluit het apparaat aan op een stopcontact in een andere stroomgroep dan die waarop de radio-ontvanger is aangesloten.</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sz w:val="18"/>
        </w:rPr>
        <w:t>Raadpleeg de dealer of een ervaren radio-/tv-technicus voor hulp.</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510647"/>
      <w:bookmarkEnd w:id="48"/>
      <w:r>
        <w:t>Klasse A-producten</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t>Het NETGEAR-product is getest en in overeenstemming bevonden met de grenswaarden voor een digitaal apparaat Klasse A conform deel 15 van de FCC-regels. Deze limieten zijn opgesteld om redelijke bescherming te bieden tegen schadelijke interferentie wanneer de apparatuur in een commerciële omgeving wordt gebruikt. Door deze apparatuur wordt radiofrequentie-energie gegenereerd, gebruikt en mogelijk uitgestraald. Als de apparatuur niet in overeenstemming met de gebruiksaanwijzingen wordt geïnstalleerd en gebruikt, kan radiostoring worden veroorzaakt. Het gebruik van deze apparatuur in een woonomgeving zal waarschijnlijk schadelijke interferentie veroorzaken. In dat geval moet de gebruiker de interferentie op eigen kosten corrigeren.</w:t>
      </w:r>
    </w:p>
    <w:p w14:paraId="117D87D2" w14:textId="77777777" w:rsidR="00DF3509" w:rsidRPr="002C1F24" w:rsidRDefault="00DF3509">
      <w:pPr>
        <w:pStyle w:val="Heading1"/>
        <w:kinsoku w:val="0"/>
        <w:overflowPunct w:val="0"/>
        <w:spacing w:line="276" w:lineRule="auto"/>
        <w:ind w:right="873"/>
        <w:rPr>
          <w:lang w:val="en-US"/>
        </w:rPr>
      </w:pPr>
      <w:bookmarkStart w:id="50" w:name="_bookmark25"/>
      <w:bookmarkStart w:id="51" w:name="_bookmark26"/>
      <w:bookmarkStart w:id="52" w:name="_Toc147510648"/>
      <w:bookmarkEnd w:id="50"/>
      <w:bookmarkEnd w:id="51"/>
      <w:r w:rsidRPr="002C1F24">
        <w:rPr>
          <w:lang w:val="en-US"/>
        </w:rPr>
        <w:lastRenderedPageBreak/>
        <w:t>Canadese ISED-regelgeving (Innovation, Science and Economic Development)</w:t>
      </w:r>
      <w:bookmarkEnd w:id="52"/>
    </w:p>
    <w:p w14:paraId="17D0321F" w14:textId="77777777" w:rsidR="00DF3509" w:rsidRDefault="00DF3509">
      <w:pPr>
        <w:pStyle w:val="BodyText"/>
        <w:kinsoku w:val="0"/>
        <w:overflowPunct w:val="0"/>
        <w:spacing w:before="61"/>
        <w:ind w:left="840"/>
        <w:rPr>
          <w:spacing w:val="-2"/>
        </w:rPr>
      </w:pPr>
      <w:r>
        <w:t>De informatie in deze sectie is van toepassing op producten met een van de volgende verklaringen:</w:t>
      </w:r>
    </w:p>
    <w:p w14:paraId="291F96E5" w14:textId="77777777" w:rsidR="00DF3509" w:rsidRDefault="00DF3509">
      <w:pPr>
        <w:pStyle w:val="BodyText"/>
        <w:kinsoku w:val="0"/>
        <w:overflowPunct w:val="0"/>
        <w:rPr>
          <w:sz w:val="20"/>
          <w:szCs w:val="20"/>
        </w:rPr>
      </w:pPr>
    </w:p>
    <w:p w14:paraId="3BEC9B8B" w14:textId="77777777" w:rsidR="00DF3509" w:rsidRPr="002C1F24" w:rsidRDefault="00DF3509">
      <w:pPr>
        <w:pStyle w:val="BodyText"/>
        <w:kinsoku w:val="0"/>
        <w:overflowPunct w:val="0"/>
        <w:spacing w:line="415" w:lineRule="auto"/>
        <w:ind w:left="1560" w:right="6522"/>
        <w:rPr>
          <w:spacing w:val="-2"/>
          <w:lang w:val="en-US"/>
        </w:rPr>
      </w:pPr>
      <w:r w:rsidRPr="002C1F24">
        <w:rPr>
          <w:lang w:val="en-US"/>
        </w:rPr>
        <w:t>CAN ICES-003(B)/NMB-003(B) CAN ICES-003(A)/NMB-003(A)</w:t>
      </w:r>
    </w:p>
    <w:p w14:paraId="7F1800DA" w14:textId="77777777" w:rsidR="00DF3509" w:rsidRDefault="00DF3509">
      <w:pPr>
        <w:pStyle w:val="BodyText"/>
        <w:kinsoku w:val="0"/>
        <w:overflowPunct w:val="0"/>
        <w:spacing w:line="278" w:lineRule="auto"/>
        <w:ind w:left="1560" w:right="873"/>
      </w:pPr>
      <w:r>
        <w:t>"Dit digitale apparaat blijft binnen de grenswaarden van Klasse B voor radiostoring van digitale apparaten, zoals uiteengezet in de Radio Interference Regulations van het Canadian Department of Communications."</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t>Alle NETGEAR-producten voldoen aan de RSS-norm(en) die zijn uitgezonderd van ISED-licenties. De werking is onderhevig aan de volgende twee voorwaarden: (1) NETGEAR-producten mogen geen schadelijke storingen veroorzaken, en (2) NETGEAR-producten moeten alle ontvangen storingen accepteren, ook als dat ten koste gaat van de werking van het apparaat.</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510649"/>
      <w:bookmarkEnd w:id="53"/>
      <w:r>
        <w:t>Waarschuwingen en instructies voor radiofrequenties</w:t>
      </w:r>
      <w:bookmarkEnd w:id="54"/>
    </w:p>
    <w:p w14:paraId="79233E6D" w14:textId="77777777" w:rsidR="00DF3509" w:rsidRDefault="00DF3509">
      <w:pPr>
        <w:pStyle w:val="BodyText"/>
        <w:kinsoku w:val="0"/>
        <w:overflowPunct w:val="0"/>
        <w:spacing w:before="103" w:line="278" w:lineRule="auto"/>
        <w:ind w:left="840" w:right="779"/>
      </w:pPr>
      <w:r>
        <w:t>Voor producten die verkrijgbaar zijn op de Amerikaanse/Canadese markt mag uitsluitend kanaal 1-11 worden gebruikt. Andere kanalen kunnen niet worden geselecteerd.</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t>Het apparaat en de antennes van dit apparaat mogen niet vlakbij een andere antenne of zender worden geplaatst of gebruikt, behalve wanneer in overeenstemming met de IC-productprocedures voor meerdere zenders.</w:t>
      </w:r>
    </w:p>
    <w:p w14:paraId="2A276630" w14:textId="77777777" w:rsidR="00DF3509" w:rsidRDefault="00DF3509">
      <w:pPr>
        <w:pStyle w:val="BodyText"/>
        <w:kinsoku w:val="0"/>
        <w:overflowPunct w:val="0"/>
        <w:spacing w:before="9"/>
        <w:rPr>
          <w:sz w:val="16"/>
          <w:szCs w:val="16"/>
        </w:rPr>
      </w:pPr>
    </w:p>
    <w:p w14:paraId="448804E5" w14:textId="57DECF14" w:rsidR="005F0F0E" w:rsidRDefault="005F0F0E">
      <w:pPr>
        <w:pStyle w:val="BodyText"/>
        <w:kinsoku w:val="0"/>
        <w:overflowPunct w:val="0"/>
        <w:spacing w:line="278" w:lineRule="auto"/>
        <w:ind w:left="840" w:right="873"/>
      </w:pPr>
      <w:r>
        <w:t xml:space="preserve">Het apparaat voor de frequentiebanden 5150-5250 </w:t>
      </w:r>
      <w:r w:rsidR="00133683">
        <w:t xml:space="preserve">MHz </w:t>
      </w:r>
      <w:r>
        <w:t xml:space="preserve">en 5850-5895 MHz is alleen bedoeld voor gebruik binnenshuis om de kans op schadelijke interferentie bij ITS-toepassingen en mobiele satellietsystemen met co-kanalen te verminderen.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t>Gebruikers moeten er ook rekening mee houden dat krachtige radars worden toegewezen als primaire gebruikers (d.w.z. gebruikers met prioriteit) van de banden 5250-5350 MHz en 5650-5850 MHz en dat deze radars interferentie en/of schade aan LE-LAN-apparaten kunnen veroorzaken.</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t>Volgens ISED-voorschriften mag deze radiozender alleen werken met een antenne van een type en een maximale (of lagere) versterking die door ISED is goedgekeurd voor de zender. Om mogelijke radiostoring voor andere gebruikers te verminderen, moeten het type antenne en de versterking zodanig worden gekozen dat het equivalente isotroop uitgestraalde vermogen (e.i.r.p.) niet meer is dan nodig is voor een succesvolle communicatie. Zie tabel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t>De maximale toegestane antenneversterking voor apparaten in de banden 5250-5350 MHz en 5470-5725 MHz moet voldoen aan de EIRP-limiet (equivalent isotropically radiated power).</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t>De maximale toegestane antenneversterking voor apparaten in de band 5725-5825 MHz moet voldoen aan de EIRP-limieten (equivalent isotropically radiated power) die zijn gespecificeerd voor point-to-point en point-to-multipoint werking, al naar gelang van toepassing.</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t>Het apparaat voor de band 5925-6425 MHz is alleen voor gebruik binnenshuis. Het gebruik ervan is verboden op booreilanden, in auto's, treinen, boten en vliegtuigen. Het apparaat is echter wel toegestaan in grote vliegtuigen die op een hoogte van meer dan 10.000 feet vliegen.</w:t>
      </w:r>
    </w:p>
    <w:p w14:paraId="3165E951" w14:textId="77777777" w:rsidR="00DF3509" w:rsidRDefault="00DF3509">
      <w:pPr>
        <w:pStyle w:val="BodyText"/>
        <w:kinsoku w:val="0"/>
        <w:overflowPunct w:val="0"/>
        <w:spacing w:line="278" w:lineRule="auto"/>
        <w:ind w:left="840" w:right="873"/>
      </w:pPr>
      <w:r>
        <w:t>Het gebruik van zenders van 5925-6425 MHz is verboden voor de besturing van of communicatie met onbemande vliegtuigsystemen.</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510650"/>
      <w:bookmarkEnd w:id="55"/>
      <w:r>
        <w:lastRenderedPageBreak/>
        <w:t>BELANGRIJKE OPMERKING: Verklaring betreffende blootstelling aan straling</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510651"/>
      <w:bookmarkEnd w:id="57"/>
      <w:r>
        <w:t>SAR-waarschuwing:</w:t>
      </w:r>
      <w:bookmarkEnd w:id="58"/>
    </w:p>
    <w:p w14:paraId="142C2C2B" w14:textId="77777777" w:rsidR="00DF3509" w:rsidRDefault="00DF3509">
      <w:pPr>
        <w:pStyle w:val="BodyText"/>
        <w:kinsoku w:val="0"/>
        <w:overflowPunct w:val="0"/>
        <w:spacing w:before="91" w:line="278" w:lineRule="auto"/>
        <w:ind w:left="840" w:right="873"/>
      </w:pPr>
      <w:r>
        <w:t>De informatie in dit gedeelte is van toepassing op draadloze NETGEAR-producten die zijn ontworpen voor gebruik dicht bij het menselijk lichaam.</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t>NETGEAR-producten voldoen aan SAR voor consumenten/ongecontroleerde blootstellingslimieten in IC RSS-102 en zijn getest in overeenstemming met de meetmethoden en -procedures die zijn gespecificeerd in IEEE 1528. Houd een afstand van ten minste 10 mm aan bij dragen op het lichaam.</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t>NETGEAR-producten voldoen aan de Canadese limiet voor blootstelling aan RF-energie van draagbare apparaten die voor een ongecontroleerde omgeving is vastgesteld en zijn veilig voor het beoogde gebruik zoals beschreven in de handleiding. Verdere vermindering van de RF-blootstelling kan worden bereikt door het product zo ver mogelijk van uw lichaam af te houden of door het apparaat in te stellen op een lager uitgangsvermogen als een dergelijke functie beschikbaar is.</w:t>
      </w:r>
    </w:p>
    <w:p w14:paraId="07D887D0" w14:textId="77777777" w:rsidR="00DF3509" w:rsidRDefault="00DF3509">
      <w:pPr>
        <w:pStyle w:val="BodyText"/>
        <w:kinsoku w:val="0"/>
        <w:overflowPunct w:val="0"/>
        <w:spacing w:before="10"/>
        <w:rPr>
          <w:sz w:val="16"/>
          <w:szCs w:val="16"/>
        </w:rPr>
      </w:pPr>
    </w:p>
    <w:p w14:paraId="18DEE146" w14:textId="56D7FE70" w:rsidR="00DF3509" w:rsidRDefault="00DF3509">
      <w:pPr>
        <w:pStyle w:val="BodyText"/>
        <w:kinsoku w:val="0"/>
        <w:overflowPunct w:val="0"/>
        <w:spacing w:before="1" w:line="508" w:lineRule="auto"/>
        <w:ind w:left="840"/>
        <w:rPr>
          <w:color w:val="0000FF"/>
          <w:spacing w:val="-2"/>
        </w:rPr>
      </w:pPr>
      <w:r>
        <w:t xml:space="preserve">Voor meer informatie en om het hoogst gemeten SAR-niveau voor dit apparaat te bekijken, gaat u naar de sectie over blootstelling aan radiogolven op: </w:t>
      </w:r>
      <w:hyperlink r:id="rId28" w:history="1">
        <w:r>
          <w:rPr>
            <w:color w:val="0000FF"/>
            <w:u w:val="single"/>
          </w:rPr>
          <w:t>https://www.netgear.com/about/regulatory/</w:t>
        </w:r>
      </w:hyperlink>
    </w:p>
    <w:p w14:paraId="39750270" w14:textId="77777777" w:rsidR="00DF3509" w:rsidRDefault="00DF3509">
      <w:pPr>
        <w:pStyle w:val="Heading3"/>
        <w:kinsoku w:val="0"/>
        <w:overflowPunct w:val="0"/>
        <w:spacing w:line="203" w:lineRule="exact"/>
        <w:rPr>
          <w:spacing w:val="-2"/>
        </w:rPr>
      </w:pPr>
      <w:bookmarkStart w:id="59" w:name="_bookmark30"/>
      <w:bookmarkStart w:id="60" w:name="_Toc147510652"/>
      <w:bookmarkEnd w:id="59"/>
      <w:r>
        <w:t>Verklaring over maximaal toelaatbare blootstelling (MPE)</w:t>
      </w:r>
      <w:bookmarkEnd w:id="60"/>
    </w:p>
    <w:p w14:paraId="58EB4B84" w14:textId="77777777" w:rsidR="00DF3509" w:rsidRDefault="00DF3509">
      <w:pPr>
        <w:pStyle w:val="BodyText"/>
        <w:kinsoku w:val="0"/>
        <w:overflowPunct w:val="0"/>
        <w:spacing w:before="93" w:line="278" w:lineRule="auto"/>
        <w:ind w:left="840" w:right="779"/>
      </w:pPr>
      <w:r>
        <w:t>De informatie in dit gedeelte is van toepassing op draadloze NETGEAR-producten die zijn ontworpen voor gebruik op minstens 20 cm van het menselijk lichaam.</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t>NETGEAR-producten voldoen aan de grenswaarden voor blootstelling aan straling van de IC voor een ongecontroleerde omgeving. NETGEAR-producten dienen te worden geïnstalleerd en gebruikt op een plek waar de minimale afstand tussen de zendantenne en uw lichaam 70 cm bedraagt. Ga om de minimale afstand te controleren, om meer informatie te lezen of om het hoogste gemeten SAR-niveau voor dit apparaat te bekijken naar de sectie over blootstelling aan radiogolven op:</w:t>
      </w:r>
    </w:p>
    <w:p w14:paraId="1DA96436" w14:textId="77777777" w:rsidR="00DF3509" w:rsidRDefault="00DF3509">
      <w:pPr>
        <w:pStyle w:val="BodyText"/>
        <w:kinsoku w:val="0"/>
        <w:overflowPunct w:val="0"/>
        <w:spacing w:before="10"/>
        <w:rPr>
          <w:sz w:val="16"/>
          <w:szCs w:val="16"/>
        </w:rPr>
      </w:pPr>
    </w:p>
    <w:p w14:paraId="06763128" w14:textId="05159D50" w:rsidR="00DF3509" w:rsidRDefault="00000000">
      <w:pPr>
        <w:pStyle w:val="BodyText"/>
        <w:kinsoku w:val="0"/>
        <w:overflowPunct w:val="0"/>
        <w:ind w:left="840"/>
        <w:rPr>
          <w:color w:val="0000FF"/>
          <w:spacing w:val="-2"/>
        </w:rPr>
      </w:pPr>
      <w:hyperlink r:id="rId29" w:history="1">
        <w:r w:rsidR="00DF3509">
          <w:rPr>
            <w:color w:val="0000FF"/>
            <w:u w:val="single"/>
          </w:rPr>
          <w:t>https://www.netgear.com/about/regulatory/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b/>
          <w:color w:val="0000FF"/>
          <w:sz w:val="26"/>
          <w:u w:val="single"/>
        </w:rPr>
        <w:t>Verordening van Ontario 522/20</w:t>
      </w:r>
    </w:p>
    <w:p w14:paraId="1A661817" w14:textId="307CF2F0" w:rsidR="00DF3509" w:rsidRDefault="00DF3509">
      <w:pPr>
        <w:pStyle w:val="BodyText"/>
        <w:kinsoku w:val="0"/>
        <w:overflowPunct w:val="0"/>
        <w:spacing w:before="102" w:line="278" w:lineRule="auto"/>
        <w:ind w:left="840" w:right="873"/>
        <w:rPr>
          <w:color w:val="000000"/>
        </w:rPr>
      </w:pPr>
      <w:r>
        <w:t xml:space="preserve">De EEE-regelgeving (Electronic and Electrical Equipment) van Ontario is vanaf 1 januari 2021 van kracht, krachtens de Resource Recovery and Circular Economy Act. NETGEAR voldoet aan zijn verplichtingen via EPRA Ontario, de geselecteerde Producer Responsibility Organization. Bezoek de website van EPRA op </w:t>
      </w:r>
      <w:hyperlink r:id="rId30" w:history="1">
        <w:r>
          <w:rPr>
            <w:color w:val="0000FF"/>
            <w:u w:val="single"/>
          </w:rPr>
          <w:t>https://EPRAON.ca</w:t>
        </w:r>
      </w:hyperlink>
      <w:r>
        <w:rPr>
          <w:color w:val="0000FF"/>
        </w:rPr>
        <w:t xml:space="preserve"> </w:t>
      </w:r>
      <w:r>
        <w:rPr>
          <w:color w:val="000000"/>
        </w:rPr>
        <w:t>voor informatie over het verzamelen van elektronica aan het einde van de levensduur en meer informatie over het programma.</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vanish/>
        </w:rPr>
        <w:t>Réglementations du ministère Innovation, Sciences et Développement économique Canada (ISDE) –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vanish/>
        </w:rPr>
        <w:t xml:space="preserve">Tous les produits NETGEAR sont conformes aux normes RSS exemptes de licence d'ISDE. Le fonctionnement est soumis aux deux conditions suivantes : (1) les produits NETGEAR ne produisent pas d'interférences nuisibles, et (2) </w:t>
      </w:r>
      <w:r>
        <w:rPr>
          <w:vanish/>
        </w:rPr>
        <w:lastRenderedPageBreak/>
        <w:t>les produits NETGEAR doivent accepter toutes les interférences reçues, notamment celles qui peuvent entraîner un 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19ADAC0E" w:rsidR="00DF3509" w:rsidRPr="00E52FAB" w:rsidRDefault="00000000">
      <w:pPr>
        <w:pStyle w:val="BodyText"/>
        <w:kinsoku w:val="0"/>
        <w:overflowPunct w:val="0"/>
        <w:spacing w:before="1"/>
        <w:ind w:left="840"/>
        <w:rPr>
          <w:vanish/>
          <w:color w:val="0000FF"/>
          <w:spacing w:val="-2"/>
        </w:rPr>
      </w:pPr>
      <w:hyperlink r:id="rId31" w:history="1">
        <w:r w:rsidR="00DF3509">
          <w:rPr>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57422C90" w:rsidR="00DF3509" w:rsidRPr="00E52FAB" w:rsidRDefault="00000000">
      <w:pPr>
        <w:pStyle w:val="BodyText"/>
        <w:kinsoku w:val="0"/>
        <w:overflowPunct w:val="0"/>
        <w:ind w:left="840"/>
        <w:rPr>
          <w:vanish/>
          <w:color w:val="0000FF"/>
          <w:spacing w:val="-2"/>
        </w:rPr>
      </w:pPr>
      <w:hyperlink r:id="rId32" w:history="1">
        <w:r w:rsidR="00DF3509">
          <w:rPr>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b/>
          <w:vanish/>
          <w:color w:val="0000FF"/>
          <w:sz w:val="26"/>
          <w:u w:val="single"/>
        </w:rPr>
        <w:t>Règlement 522/20 de l'Ontario</w:t>
      </w:r>
    </w:p>
    <w:p w14:paraId="297A3930" w14:textId="433C98A5" w:rsidR="00DF3509" w:rsidRPr="00E52FAB" w:rsidRDefault="00DF3509">
      <w:pPr>
        <w:pStyle w:val="BodyText"/>
        <w:kinsoku w:val="0"/>
        <w:overflowPunct w:val="0"/>
        <w:spacing w:before="102" w:line="276" w:lineRule="auto"/>
        <w:ind w:left="840" w:right="873"/>
        <w:rPr>
          <w:vanish/>
          <w:color w:val="000000"/>
        </w:rPr>
      </w:pPr>
      <w:r>
        <w:rPr>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3" w:history="1">
        <w:r>
          <w:rPr>
            <w:vanish/>
            <w:color w:val="0000FF"/>
            <w:u w:val="single"/>
          </w:rPr>
          <w:t>https://EPRAON.ca</w:t>
        </w:r>
      </w:hyperlink>
      <w:r>
        <w:rPr>
          <w:vanish/>
          <w:color w:val="0000FF"/>
        </w:rPr>
        <w:t xml:space="preserve"> </w:t>
      </w:r>
      <w:r>
        <w:rPr>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510653"/>
      <w:bookmarkEnd w:id="68"/>
      <w:r>
        <w:t>Tabel voor storingsvermindering</w:t>
      </w:r>
      <w:bookmarkEnd w:id="69"/>
    </w:p>
    <w:p w14:paraId="6F467B4C" w14:textId="77777777" w:rsidR="00DF3509" w:rsidRDefault="00DF3509">
      <w:pPr>
        <w:pStyle w:val="BodyText"/>
        <w:kinsoku w:val="0"/>
        <w:overflowPunct w:val="0"/>
        <w:spacing w:before="102" w:line="280" w:lineRule="auto"/>
        <w:ind w:left="840" w:right="873"/>
      </w:pPr>
      <w:r>
        <w:t>In de onderstaande tabel staan de minimale afstanden (in meters) tussen NETGEAR-apparatuur en huishoudapparaten ter voorkoming van storing van de apparatuur.</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Huishoudelijk apparaat</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Aanbevolen minimale afstand (in voet en meter)</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Magnetron</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9 meter</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Analoge babyfoon</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meter</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Digitale babyfoon</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12 meter</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Analoge draadloze telefoon</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meter</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Digitale draadloze telefoon</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9 meter</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Bluetooth-apparaat</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meter</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6 meter</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510654"/>
      <w:bookmarkEnd w:id="70"/>
      <w:bookmarkEnd w:id="71"/>
      <w:r>
        <w:lastRenderedPageBreak/>
        <w:t>VEREISTEN VOOR VERPAKKING VAN LITHIUM-ION EN LITHIUM-METAALBATTERIJEN</w:t>
      </w:r>
      <w:bookmarkEnd w:id="72"/>
    </w:p>
    <w:p w14:paraId="7FB26D75" w14:textId="77777777" w:rsidR="00DF3509" w:rsidRDefault="00DF3509">
      <w:pPr>
        <w:pStyle w:val="BodyText"/>
        <w:kinsoku w:val="0"/>
        <w:overflowPunct w:val="0"/>
        <w:spacing w:before="59" w:line="280" w:lineRule="auto"/>
        <w:ind w:left="840" w:right="873"/>
      </w:pPr>
      <w:r>
        <w:t>Vanwege moeilijkheden met producten die worden geleverd met Li-Ion- en Li-metaal-batterijen, heeft de VN-richtlijnen opgesteld met betrekking tot het correct testen, verpakken en etiketteren van deze apparaten.</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510655"/>
      <w:bookmarkEnd w:id="73"/>
      <w:r>
        <w:t>Li-Ion- en Li-metaal-batterijen</w:t>
      </w:r>
      <w:bookmarkEnd w:id="74"/>
    </w:p>
    <w:p w14:paraId="3EF84EAB" w14:textId="77777777" w:rsidR="00DF3509" w:rsidRDefault="00DF3509">
      <w:pPr>
        <w:pStyle w:val="BodyText"/>
        <w:kinsoku w:val="0"/>
        <w:overflowPunct w:val="0"/>
        <w:spacing w:before="91" w:line="278" w:lineRule="auto"/>
        <w:ind w:left="840" w:right="873"/>
      </w:pPr>
      <w:r>
        <w:t>Lithium-ionbatterijen zijn meestal oplaadbaar, terwijl Li-metal-batterijen meestal niet-oplaadbaar zijn. Beide typen batterijen kunnen brandgevaar opleveren als ze beschadigd of onjuist verpakt zijn.</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510656"/>
      <w:bookmarkEnd w:id="75"/>
      <w:r>
        <w:t>Etiketteringsvereisten voor lithium-ionbatterijen en Li-metaal-batterijen</w:t>
      </w:r>
      <w:bookmarkEnd w:id="76"/>
    </w:p>
    <w:p w14:paraId="4BED1720" w14:textId="77777777" w:rsidR="00DF3509" w:rsidRDefault="00DF3509">
      <w:pPr>
        <w:pStyle w:val="BodyText"/>
        <w:kinsoku w:val="0"/>
        <w:overflowPunct w:val="0"/>
        <w:spacing w:before="91" w:line="278" w:lineRule="auto"/>
        <w:ind w:left="840" w:right="779"/>
      </w:pPr>
      <w:r>
        <w:t>De vereiste etiketten moeten op de pallets en de hoofddoos aanwezig zijn, vergezeld van een document zoals een luchtvrachtbrief of andere documenten die het volgende aangeven (document met richtlijnen voor lithiumbatterijen 2014):</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sz w:val="18"/>
        </w:rPr>
        <w:t>De verpakking bevat lithium-ioncellen of -batterijen;</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De verpakking moet voorzichtig worden behandeld en dat er gevaar voor brandbaarheid bestaat als de verpakking wordt beschadigd</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Speciale procedures die moeten worden gevolgd als de verpakking beschadigd is</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sz w:val="18"/>
        </w:rPr>
        <w:t>Contactgegevens</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t>Conform de Dangerous Good Regulations van IATA gelden verschillende etiketten voor verschillende watturen voor Li-Ion-batterijen en verschillende massa's voor Li-metaal-batterijen. De berekening voor wattuur is:</w:t>
      </w:r>
    </w:p>
    <w:p w14:paraId="472D3EF1" w14:textId="77777777" w:rsidR="00DF3509" w:rsidRDefault="00DF3509">
      <w:pPr>
        <w:pStyle w:val="BodyText"/>
        <w:kinsoku w:val="0"/>
        <w:overflowPunct w:val="0"/>
        <w:spacing w:before="3"/>
        <w:rPr>
          <w:sz w:val="17"/>
          <w:szCs w:val="17"/>
        </w:rPr>
      </w:pPr>
    </w:p>
    <w:p w14:paraId="2DD489FB" w14:textId="77777777" w:rsidR="00DF3509" w:rsidRDefault="00DF3509">
      <w:pPr>
        <w:pStyle w:val="BodyText"/>
        <w:kinsoku w:val="0"/>
        <w:overflowPunct w:val="0"/>
        <w:spacing w:line="508" w:lineRule="auto"/>
        <w:ind w:left="840" w:right="4752" w:firstLine="719"/>
      </w:pPr>
      <w:r>
        <w:t>Nominale spanning x nominale capaciteit (Ah) = wattuur. De spanning en stroomsterkte vindt u op het specificatieblad van de batterij. Zie de onderstaande tabel voor het juiste etiket dat u moet gebruiken.</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Vereiste labels voor batterijtransport (VN-handleiding voor tests en criteria deel III subhoofdstuk 38.3)</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sz w:val="18"/>
              </w:rPr>
              <w:t>Vereisten voor etiketten voor Li-Ion-batterijen</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Verzending van batterij</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Wh (watt-uur)</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b/>
                <w:sz w:val="18"/>
              </w:rPr>
              <w:t>Etiketten</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b/>
                <w:sz w:val="18"/>
              </w:rPr>
              <w:t>Maximaal gewicht van de batterij/verpakking</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sz w:val="18"/>
              </w:rPr>
              <w:t>Aanwezig in apparatuur (geïnstalleerd in de apparatuur)</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Gelijk aan of minder dan 100 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Afbeelding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sz w:val="18"/>
              </w:rPr>
              <w:t>PAX = 5 kg CAO = 5 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lastRenderedPageBreak/>
              <w:t>Alleen</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Gelijk aan of minder dan 100 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Afbeelding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sz w:val="18"/>
              </w:rPr>
              <w:t>Gelijk aan of minder dan 2,7 Wh = 2,5 kg OF</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sz w:val="18"/>
              </w:rPr>
              <w:t>Meer dan 2,7 Wh, maar gelijk aan of minder dan 100 Wh = 2 batterijen</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sz w:val="18"/>
              </w:rPr>
              <w:t>Afzonderlijk verpakt met de apparatuur (niet geïnstalleerd in de apparatuur)</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Gelijk aan of minder dan 100 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Afbeelding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sz w:val="18"/>
              </w:rPr>
              <w:t>PAX = 5 kg CAO = 5 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sz w:val="18"/>
              </w:rPr>
              <w:t>Vereisten voor etiketten voor lithium-metaalbatterijen</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Verzending van batterij</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b/>
                <w:sz w:val="18"/>
              </w:rPr>
              <w:t>Massa van lithiummetaal van de batterij</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Etiketten</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Maximaal gewicht van de batterij/verpakking</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sz w:val="18"/>
              </w:rPr>
              <w:t>Aanwezig in apparatuur (geïnstalleerd in de apparatuur)</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sz w:val="18"/>
              </w:rPr>
              <w:t>Gelijk aan of minder dan 2 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sz w:val="18"/>
              </w:rPr>
              <w:t>Afbeelding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sz w:val="18"/>
              </w:rPr>
              <w:t>PAX = 5 kg CAO = 5 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Verzending van batterij</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b/>
                <w:sz w:val="18"/>
              </w:rPr>
              <w:t>Massa van lithiummetaal van de batterij</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Etiketten</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Maximaal gewicht van de batterij/verpakking</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t>Alleen</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Gelijk aan of minder dan 2 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Afbeelding 1</w:t>
            </w:r>
          </w:p>
        </w:tc>
        <w:tc>
          <w:tcPr>
            <w:tcW w:w="3103" w:type="dxa"/>
            <w:tcBorders>
              <w:top w:val="single" w:sz="4" w:space="0" w:color="000000"/>
              <w:left w:val="single" w:sz="4" w:space="0" w:color="000000"/>
              <w:bottom w:val="single" w:sz="4" w:space="0" w:color="000000"/>
              <w:right w:val="single" w:sz="4" w:space="0" w:color="000000"/>
            </w:tcBorders>
          </w:tcPr>
          <w:p w14:paraId="7013117C" w14:textId="77777777"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sz w:val="18"/>
              </w:rPr>
              <w:t>Gelijk aan of minder dan 0,3 g = 2,5 kg OF</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sz w:val="18"/>
              </w:rPr>
              <w:t>Meer dan 0,3 g, maar gelijk aan of minder dan 2 g = 2 batterijen</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sz w:val="18"/>
              </w:rPr>
              <w:t>Afzonderlijk verpakt met de apparatuur (niet geïnstalleerd in de apparatuur)</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Gelijk aan of minder dan 2 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Afbeelding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sz w:val="18"/>
              </w:rPr>
              <w:t>PAX = 5 kg CAO = 5 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t>Als de Li-Ion-batterij over meer dan 100 Wh beschikt en Li-metaal een lithiummassa van meer dan 2 g heeft, raadpleeg dan de Environmental Compliance Engineer voor het juiste etiket dat moet worden gebruikt.</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t>Afbeelding 1: Vereisten ten aanzien van etiketinhoud voor het verzenden van batterijen:</w:t>
      </w:r>
    </w:p>
    <w:p w14:paraId="2D500402" w14:textId="6FDF8683" w:rsidR="00DF3509" w:rsidRDefault="0052779B">
      <w:pPr>
        <w:pStyle w:val="BodyText"/>
        <w:kinsoku w:val="0"/>
        <w:overflowPunct w:val="0"/>
        <w:spacing w:before="9"/>
        <w:rPr>
          <w:sz w:val="17"/>
          <w:szCs w:val="17"/>
        </w:rPr>
      </w:pPr>
      <w:r>
        <w:rPr>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t>*Plaats voor UN-nummer(s), d.w.z. UN 3090, UN 3091, UN 3480 en/of UN 3481, zoals van toepassing.</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510657"/>
      <w:bookmarkEnd w:id="77"/>
      <w:r>
        <w:lastRenderedPageBreak/>
        <w:t>Vrijstellingen voor etikettering</w:t>
      </w:r>
      <w:bookmarkEnd w:id="78"/>
    </w:p>
    <w:p w14:paraId="61CC8FFD" w14:textId="77777777" w:rsidR="00DF3509" w:rsidRDefault="00DF3509">
      <w:pPr>
        <w:pStyle w:val="BodyText"/>
        <w:kinsoku w:val="0"/>
        <w:overflowPunct w:val="0"/>
        <w:spacing w:before="92" w:line="278" w:lineRule="auto"/>
        <w:ind w:left="840" w:right="873"/>
      </w:pPr>
      <w:r>
        <w:t>Een etiket voor de behandelen van lithium-ionbatterijen is niet vereist wanneer een verpakking niet meer dan 2 batterijen bevat in de apparatuur. Lithium-metaalbatterijen in de apparatuur hebben geen etiket voor het hanteren van lithiumbatterijen nodig.</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510658"/>
      <w:bookmarkEnd w:id="79"/>
      <w:r>
        <w:t>Waarschuwing voor afvoeren van het product</w:t>
      </w:r>
      <w:bookmarkEnd w:id="80"/>
    </w:p>
    <w:p w14:paraId="4DE10197" w14:textId="77777777" w:rsidR="00DF3509" w:rsidRDefault="00DF3509">
      <w:pPr>
        <w:pStyle w:val="BodyText"/>
        <w:kinsoku w:val="0"/>
        <w:overflowPunct w:val="0"/>
        <w:spacing w:before="90" w:line="276" w:lineRule="auto"/>
        <w:ind w:left="840" w:right="779"/>
        <w:rPr>
          <w:spacing w:val="-4"/>
        </w:rPr>
      </w:pPr>
      <w:r>
        <w:t>NETGEAR-producten mogen niet samen met huishoudelijk afval worden afgevoerd. NETGEAR-producten moeten worden afgevoerd op een locatie die bevoegd is om elektrische en elektronische apparaten te recyclen. Door afval te verzamelen en te recyclen, helpt u natuurlijke bronnen te sparen en zorgt u ervoor dat het product op een milieuvriendelijke en verantwoorde manier wordt afgevoerd.</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510659"/>
      <w:bookmarkEnd w:id="81"/>
      <w:r>
        <w:t>Informatie over veiligheid en EMC van Powerline-apparaten en doorvoerstekkers</w:t>
      </w:r>
      <w:bookmarkEnd w:id="82"/>
    </w:p>
    <w:p w14:paraId="20BDA698" w14:textId="77777777" w:rsidR="00DF3509" w:rsidRDefault="00DF3509">
      <w:pPr>
        <w:pStyle w:val="BodyText"/>
        <w:kinsoku w:val="0"/>
        <w:overflowPunct w:val="0"/>
        <w:spacing w:before="60" w:line="278" w:lineRule="auto"/>
        <w:ind w:left="840" w:right="873"/>
        <w:rPr>
          <w:spacing w:val="-2"/>
        </w:rPr>
      </w:pPr>
      <w:r>
        <w:t>Volg deze veiligheidsrichtlijnen om uw eigen persoonlijke veiligheid te waarborgen en uw systeem te beschermen tegen mogelijke schade:</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sz w:val="18"/>
        </w:rPr>
        <w:t>Om nationale goedkeuringen (andere goedkeuringen dan CB) te verkrijgen, worden ook relevante nationale normen voor stekkers, stopcontacten en vergelijkbare voorwerpen geraadpleegd bij het testen en goedkeuren van dergelijke producten. Dit dient te gebeuren volgens de nationale normen.</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sz w:val="18"/>
        </w:rPr>
        <w:t>Controleer de stroomsterkte voor elk apparaat dat op het gefilterde stopcontact wordt aangesloten. Zorg dat de uitgangsspanning van stopcontacten en apparaten niet wordt overschreden en dat aan de elektrische vereisten wordt voldaan.</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sz w:val="18"/>
        </w:rPr>
        <w:t>Er mogen alleen stroomsnoeren op het gefilterde stopcontact worden aangesloten. Apparatuur waarbij de stekker op het apparaat zelf zit, mag hier niet op worden aangesloten. Het product mag niet hoger zijn dan 1 m van het draagoppervlak en het netsnoer moet minimaal 1 m lang zijn met een doorsnede van maximaal 1,5 mm².</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sz w:val="18"/>
        </w:rPr>
        <w:t>Sluit geen apparaten op het doorvoerstopcontact met filter van de Powerline-adapter aan die de productspecificaties overschrijden. De uitgangsspanning van het gefilterde doorvoerstopcontact is hetzelfde als het stopcontact waarop de Powerline-adapter is aangesloten. Controleer om schade aan het stroomnet te voorkomen of de aangesloten apparaten het juiste vermogen voor de stroomvoorziening in uw regio hebben.</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sz w:val="18"/>
        </w:rPr>
        <w:t>Als de ingangsspanning (wisselstroom) minder dan 100 V AC is, functioneert het op het gefilterde doorvoerstopcontact van de Powerline-adapter aangesloten apparaat mogelijk niet naar behoren.</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sz w:val="18"/>
        </w:rPr>
        <w:t>SLUIT HUISHOUDELIJKE APPARATUUR NIET op het gefilterde stopcontact of een daarop aangesloten stekkerdoos aan. De adapter is niet bedoeld voor gebruik met huishoudelijke apparatuur zoals airco's, elektrisch gereedschap, elektrische kachels, ventilators, föhns, ovens of koelkasten.</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sz w:val="18"/>
        </w:rPr>
        <w:t>Neem de specificaties van verlengsnoeren en stekkerdozen in acht. Zorg ervoor dat de totale ampèrewaarde van alle producten die op de verlengkabel of stekkerdoos zijn aangesloten niet hoger is dan 80 procent van de ampèrelimiet voor de verlengkabel of stekkerdoos.</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sz w:val="18"/>
        </w:rPr>
        <w:t>De daadwerkelijke overdrachtssnelheid varieert. Netwerkomstandigheden en omgevingsfactoren zoals het volume van het netwerkverkeer, bouw- en constructiematerialen en netwerkoverhead verlagen de daadwerkelijke snelheid van de gegevensoverdracht.</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t>NETGEAR Powerline-producten zijn een alternatieve manier om uw netwerk uit te breiden via uw bestaande elektrische bedrading. In geval van interferentieproblemen dient u de volgende richtlijnen in acht te nemen:</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sz w:val="18"/>
        </w:rPr>
        <w:t>Sluit Powerline-adapters aan op stopcontacten uit de buurt van telefoonladers en basisstations van draadloze telefoons</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Zorg ervoor dat Powerline-adapters zich niet in de buurt van apparatuur met een motor bevinden (zoals een ventilator, stofzuiger, enz.)</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sz w:val="18"/>
        </w:rPr>
        <w:t>Zorg ervoor dat Powerline-adapters zich niet in de buurt van audioapparaten zoals radio-ontvangers bevinden</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510660"/>
      <w:bookmarkEnd w:id="83"/>
      <w:r>
        <w:lastRenderedPageBreak/>
        <w:t>Algemene richtlijnen voor alle producten</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sz w:val="18"/>
        </w:rPr>
        <w:t>Gebruik het product alleen met goedgekeurde apparatuur.</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Laat de producten afkoelen voordat u afdekkingen verwijdert of interne onderdelen aanraakt.</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sz w:val="18"/>
        </w:rPr>
        <w:t>Om schade aan uw systeem te voorkomen, dient u ervoor te zorgen dat de spanningskeuzeschakelaar (indien aanwezig) op de voeding overeenkomt met de beschikbare spanning op uw locatie:</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sz w:val="18"/>
        </w:rPr>
        <w:t>110 volt (V), 60 hertz (Hz) in het grootste gedeelte van Noord- en Zuid-Amerika en sommige landen in het Verre Oosten, zoals Zuid-Korea en Taiwan</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sz w:val="18"/>
        </w:rPr>
        <w:t>100, 50 Hz in het oosten van Japan en 100, 60 Hz in het westen van Japan</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sz w:val="18"/>
        </w:rPr>
        <w:t>230 V, 50 Hz in de meeste Europese landen, het Midden-Oosten en het Verre Oosten</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sz w:val="18"/>
        </w:rPr>
        <w:t>Om uw systeem te beschermen tegen plotselinge, tijdelijke toename en afname van de elektrische stroom, gebruikt u een piekbeveiliger, lichtnetfilter of UPS (Uninterruptible Power Supply).</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sz w:val="18"/>
        </w:rPr>
        <w:t>De netsnoeren zijn voorzien van drie stekkers om een goede aarding te garanderen. Gebruik geen adapterstekkers en verwijder de aardingspen niet van een kabel.</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sz w:val="18"/>
        </w:rPr>
        <w:t>Het openen of verwijderen van afdekkingen die zijn gemarkeerd met het driehoekige symbool met een bliksemschicht kan u blootstellen aan elektrische schokken. Alleen een getrainde servicemonteur mag onderdelen in deze compartimenten onderhouden.</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sz w:val="18"/>
        </w:rPr>
        <w:t>Voer geen onderhoud uit aan een product, tenzij anders wordt uitgelegd in de documentatie bij het systeem.</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510661"/>
      <w:bookmarkEnd w:id="85"/>
      <w:r>
        <w:t>Veiligheidsinstructies voor rekmontage</w:t>
      </w:r>
      <w:bookmarkEnd w:id="86"/>
    </w:p>
    <w:p w14:paraId="004ECFE4" w14:textId="77777777" w:rsidR="00DF3509" w:rsidRDefault="00DF3509">
      <w:pPr>
        <w:pStyle w:val="BodyText"/>
        <w:kinsoku w:val="0"/>
        <w:overflowPunct w:val="0"/>
        <w:spacing w:before="110"/>
        <w:ind w:left="840"/>
        <w:rPr>
          <w:spacing w:val="-2"/>
        </w:rPr>
      </w:pPr>
      <w:r>
        <w:t>Deze informatie is van toepassing op de installatie van NETGEAR-producten voor rekmontage</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b/>
          <w:sz w:val="18"/>
        </w:rPr>
        <w:t>Omgevingstemperatuur in bedrijf</w:t>
      </w:r>
      <w:r>
        <w:rPr>
          <w:sz w:val="18"/>
        </w:rPr>
        <w:t>. Als de switch is geïnstalleerd in een gesloten rek of een rek met meerdere eenheden, kan de omgevingstemperatuur in de rackomgeving hoger zijn dan de omgevingstemperatuur in de ruimte. Overweeg daarom de apparatuur te installeren in een omgeving die compatibel is met de maximale nominale omgevingstemperatuur.</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b/>
          <w:sz w:val="18"/>
        </w:rPr>
        <w:t>Verminderde luchtstroom</w:t>
      </w:r>
      <w:r>
        <w:rPr>
          <w:sz w:val="18"/>
        </w:rPr>
        <w:t>. Plaats de apparatuur in een rek zodat de hoeveelheid luchtstroom die nodig is voor een veilige werking niet wordt aangetast.</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b/>
          <w:sz w:val="18"/>
        </w:rPr>
        <w:t>Mechanische belasting</w:t>
      </w:r>
      <w:r>
        <w:rPr>
          <w:sz w:val="18"/>
        </w:rPr>
        <w:t>. Monteer de apparatuur in een rek zodat er geen gevaarlijke situatie ontstaat door ongelijkmatige mechanische belasting.</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b/>
          <w:sz w:val="18"/>
        </w:rPr>
        <w:t>Overbelasting van het circuit</w:t>
      </w:r>
      <w:r>
        <w:rPr>
          <w:sz w:val="18"/>
        </w:rPr>
        <w:t>. Houd rekening met de aansluiting van de apparatuur op het voedingscircuit en het effect dat een mogelijke overbelasting van circuits kan hebben op de overstroombeveiliging en de voedingsbedrading. Houd rekening met de specificaties van het typeplaatje van de apparatuur wanneer u dit probleem aanpakt.</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b/>
          <w:sz w:val="18"/>
        </w:rPr>
        <w:t>Betrouwbare aarding</w:t>
      </w:r>
      <w:r>
        <w:rPr>
          <w:sz w:val="18"/>
        </w:rPr>
        <w:t>. Voor dit product moet altijd een betrouwbare aarding worden gehandhaafd. Om dit te garanderen, moet u het rek zelf aarden. Let vooral op andere voedingsaansluitingen dan de directe aansluitingen op het aftakcircuit (bijvoorbeeld het gebruik van stekkerdozen).</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b/>
          <w:sz w:val="18"/>
        </w:rPr>
        <w:t>Speling</w:t>
      </w:r>
      <w:r>
        <w:rPr>
          <w:sz w:val="18"/>
        </w:rPr>
        <w:t>. Laat voldoende ruimte vrij aan de voorzijde van het rek (ongeveer 65 cm) zodat u de voorklep volledig kunt openen, en aan de achterzijde van het rek (ongeveer 77 cm) voor voldoende luchtstroom en onderhoudsgemak.</w:t>
      </w:r>
    </w:p>
    <w:p w14:paraId="7C183BE9" w14:textId="4F3C2E24" w:rsidR="00DF3509" w:rsidRDefault="0052779B">
      <w:pPr>
        <w:pStyle w:val="BodyText"/>
        <w:kinsoku w:val="0"/>
        <w:overflowPunct w:val="0"/>
        <w:spacing w:before="10"/>
        <w:rPr>
          <w:sz w:val="26"/>
          <w:szCs w:val="26"/>
        </w:rPr>
      </w:pPr>
      <w:r>
        <w:rPr>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Pr="002C1F24" w:rsidRDefault="00DF3509">
      <w:pPr>
        <w:pStyle w:val="BodyText"/>
        <w:kinsoku w:val="0"/>
        <w:overflowPunct w:val="0"/>
        <w:spacing w:before="94"/>
        <w:ind w:left="2786" w:right="2707"/>
        <w:jc w:val="center"/>
        <w:rPr>
          <w:spacing w:val="-5"/>
          <w:lang w:val="en-US"/>
        </w:rPr>
      </w:pPr>
      <w:r w:rsidRPr="002C1F24">
        <w:rPr>
          <w:lang w:val="en-US"/>
        </w:rPr>
        <w:t>NETGEAR, Inc., 350 E. Plumeria Avenue, San Jose, CA 95134 USA</w:t>
      </w:r>
    </w:p>
    <w:bookmarkStart w:id="87" w:name="_bookmark64"/>
    <w:bookmarkStart w:id="88" w:name="_bookmark65"/>
    <w:bookmarkEnd w:id="87"/>
    <w:bookmarkEnd w:id="88"/>
    <w:p w14:paraId="65F926E3" w14:textId="7E4D9C40" w:rsidR="00DF3509" w:rsidRDefault="0052779B" w:rsidP="00D64177">
      <w:r>
        <w:rPr>
          <w:noProof/>
        </w:rPr>
        <mc:AlternateContent>
          <mc:Choice Requires="wps">
            <w:drawing>
              <wp:anchor distT="0" distB="0" distL="0" distR="0" simplePos="0" relativeHeight="251666432" behindDoc="0" locked="0" layoutInCell="0" allowOverlap="1" wp14:anchorId="23614727" wp14:editId="791D90EC">
                <wp:simplePos x="0" y="0"/>
                <wp:positionH relativeFrom="page">
                  <wp:posOffset>946150</wp:posOffset>
                </wp:positionH>
                <wp:positionV relativeFrom="paragraph">
                  <wp:posOffset>187960</wp:posOffset>
                </wp:positionV>
                <wp:extent cx="5867400" cy="1117600"/>
                <wp:effectExtent l="0" t="0" r="0" b="0"/>
                <wp:wrapTopAndBottom/>
                <wp:docPr id="2065880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727" id="Rectangle 22" o:spid="_x0000_s1031" style="position:absolute;margin-left:74.5pt;margin-top:14.8pt;width:462pt;height: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" o:allowincell="f" filled="f" stroked="f">
                <v:textbox inset="0,0,0,0">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v:textbox>
                <w10:wrap type="topAndBottom" anchorx="page"/>
              </v:rect>
            </w:pict>
          </mc:Fallback>
        </mc:AlternateContent>
      </w:r>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2AD8" w14:textId="77777777" w:rsidR="00754D0E" w:rsidRDefault="00754D0E">
      <w:r>
        <w:separator/>
      </w:r>
    </w:p>
  </w:endnote>
  <w:endnote w:type="continuationSeparator" w:id="0">
    <w:p w14:paraId="6C6F5AB3" w14:textId="77777777" w:rsidR="00754D0E" w:rsidRDefault="0075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1C0350C9" w:rsidR="00763BDA" w:rsidRPr="003608D0" w:rsidRDefault="00763BDA" w:rsidP="00763BDA">
    <w:pPr>
      <w:pStyle w:val="Footer"/>
      <w:tabs>
        <w:tab w:val="clear" w:pos="4320"/>
        <w:tab w:val="clear" w:pos="8640"/>
        <w:tab w:val="center" w:pos="5480"/>
        <w:tab w:val="right" w:pos="10960"/>
      </w:tabs>
      <w:rPr>
        <w:sz w:val="16"/>
        <w:szCs w:val="16"/>
      </w:rPr>
    </w:pPr>
    <w:r>
      <w:rPr>
        <w:sz w:val="16"/>
      </w:rPr>
      <w:t>NETGEAR Conformiteitsverklaring v3</w:t>
    </w:r>
    <w:r w:rsidR="00D7349A">
      <w:rPr>
        <w:sz w:val="16"/>
      </w:rPr>
      <w:t>7</w:t>
    </w:r>
    <w:r>
      <w:rPr>
        <w:sz w:val="16"/>
      </w:rPr>
      <w:tab/>
      <w:t>Herzien op 29-09-2023</w:t>
    </w:r>
    <w:r>
      <w:rPr>
        <w:sz w:val="16"/>
      </w:rPr>
      <w:tab/>
      <w:t xml:space="preserve">Pagina </w:t>
    </w:r>
    <w:r w:rsidRPr="003608D0">
      <w:rPr>
        <w:sz w:val="16"/>
      </w:rPr>
      <w:fldChar w:fldCharType="begin"/>
    </w:r>
    <w:r w:rsidRPr="003608D0">
      <w:rPr>
        <w:sz w:val="16"/>
      </w:rPr>
      <w:instrText xml:space="preserve"> PAGE  </w:instrText>
    </w:r>
    <w:r w:rsidRPr="00AA7F35">
      <w:rPr>
        <w:sz w:val="16"/>
      </w:rPr>
      <w:instrText>\</w:instrText>
    </w:r>
    <w:r w:rsidRPr="003608D0">
      <w:rPr>
        <w:sz w:val="16"/>
      </w:rPr>
      <w:instrText xml:space="preserve">* Arabic  </w:instrText>
    </w:r>
    <w:r w:rsidRPr="00AA7F35">
      <w:rPr>
        <w:sz w:val="16"/>
      </w:rPr>
      <w:instrText>\</w:instrText>
    </w:r>
    <w:r w:rsidRPr="003608D0">
      <w:rPr>
        <w:sz w:val="16"/>
      </w:rPr>
      <w:instrText xml:space="preserve">* MERGEFORMAT </w:instrText>
    </w:r>
    <w:r w:rsidRPr="003608D0">
      <w:rPr>
        <w:sz w:val="16"/>
      </w:rPr>
      <w:fldChar w:fldCharType="separate"/>
    </w:r>
    <w:r w:rsidRPr="003608D0">
      <w:rPr>
        <w:sz w:val="16"/>
      </w:rPr>
      <w:t>1</w:t>
    </w:r>
    <w:r w:rsidRPr="003608D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EC46" w14:textId="77777777" w:rsidR="00754D0E" w:rsidRDefault="00754D0E">
      <w:r>
        <w:separator/>
      </w:r>
    </w:p>
  </w:footnote>
  <w:footnote w:type="continuationSeparator" w:id="0">
    <w:p w14:paraId="45B1CB57" w14:textId="77777777" w:rsidR="00754D0E" w:rsidRDefault="0075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519FC"/>
    <w:rsid w:val="000745A0"/>
    <w:rsid w:val="00081D6B"/>
    <w:rsid w:val="000D166D"/>
    <w:rsid w:val="00110F4F"/>
    <w:rsid w:val="00133683"/>
    <w:rsid w:val="00172AFD"/>
    <w:rsid w:val="001A2EB6"/>
    <w:rsid w:val="001F545D"/>
    <w:rsid w:val="002A3F5B"/>
    <w:rsid w:val="002C1F24"/>
    <w:rsid w:val="002F1D6F"/>
    <w:rsid w:val="00350826"/>
    <w:rsid w:val="003554A3"/>
    <w:rsid w:val="003608D0"/>
    <w:rsid w:val="003736AB"/>
    <w:rsid w:val="003A4030"/>
    <w:rsid w:val="003E00EE"/>
    <w:rsid w:val="0046530B"/>
    <w:rsid w:val="00496E31"/>
    <w:rsid w:val="004A4CC6"/>
    <w:rsid w:val="0052779B"/>
    <w:rsid w:val="005B480E"/>
    <w:rsid w:val="005C57E9"/>
    <w:rsid w:val="005F0F0E"/>
    <w:rsid w:val="006300C8"/>
    <w:rsid w:val="00630974"/>
    <w:rsid w:val="00633DFA"/>
    <w:rsid w:val="00637FAC"/>
    <w:rsid w:val="0069090E"/>
    <w:rsid w:val="006F7E86"/>
    <w:rsid w:val="00736C1B"/>
    <w:rsid w:val="00754D0E"/>
    <w:rsid w:val="00763BDA"/>
    <w:rsid w:val="0078115C"/>
    <w:rsid w:val="00781176"/>
    <w:rsid w:val="007C4D1E"/>
    <w:rsid w:val="00836B6F"/>
    <w:rsid w:val="008C3D3C"/>
    <w:rsid w:val="008D2723"/>
    <w:rsid w:val="009160A2"/>
    <w:rsid w:val="00917361"/>
    <w:rsid w:val="00934084"/>
    <w:rsid w:val="009E64AE"/>
    <w:rsid w:val="009F6DAC"/>
    <w:rsid w:val="00A06FF8"/>
    <w:rsid w:val="00A55880"/>
    <w:rsid w:val="00A62260"/>
    <w:rsid w:val="00A955CA"/>
    <w:rsid w:val="00AA7F35"/>
    <w:rsid w:val="00AD0AF0"/>
    <w:rsid w:val="00B25BA3"/>
    <w:rsid w:val="00B71468"/>
    <w:rsid w:val="00B76EF8"/>
    <w:rsid w:val="00B86445"/>
    <w:rsid w:val="00B91B62"/>
    <w:rsid w:val="00BC1AC3"/>
    <w:rsid w:val="00BC4E21"/>
    <w:rsid w:val="00BD64D4"/>
    <w:rsid w:val="00BE289B"/>
    <w:rsid w:val="00C03891"/>
    <w:rsid w:val="00C24422"/>
    <w:rsid w:val="00C5519F"/>
    <w:rsid w:val="00C63EEA"/>
    <w:rsid w:val="00C71719"/>
    <w:rsid w:val="00CF3D94"/>
    <w:rsid w:val="00D22DB4"/>
    <w:rsid w:val="00D23671"/>
    <w:rsid w:val="00D64177"/>
    <w:rsid w:val="00D67FE6"/>
    <w:rsid w:val="00D7349A"/>
    <w:rsid w:val="00DA1546"/>
    <w:rsid w:val="00DD5E6C"/>
    <w:rsid w:val="00DD7077"/>
    <w:rsid w:val="00DF3509"/>
    <w:rsid w:val="00E159DB"/>
    <w:rsid w:val="00E52FAB"/>
    <w:rsid w:val="00EB7C46"/>
    <w:rsid w:val="00F46BED"/>
    <w:rsid w:val="00F86679"/>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nl-NL"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lang w:eastAsia="zh-TW"/>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lang w:eastAsia="zh-CN"/>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lang w:eastAsia="en-US"/>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1A2EB6"/>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nl-NL" w:eastAsia="zh-TW"/>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nl-NL" w:eastAsia="zh-TW"/>
    </w:rPr>
  </w:style>
  <w:style w:type="character" w:customStyle="1" w:styleId="ui-provider">
    <w:name w:val="ui-provider"/>
    <w:rsid w:val="00AA7F35"/>
    <w:rPr>
      <w:rFonts w:cs="Times New Roman"/>
    </w:rPr>
  </w:style>
  <w:style w:type="character" w:customStyle="1" w:styleId="cf01">
    <w:name w:val="cf01"/>
    <w:basedOn w:val="DefaultParagraphFont"/>
    <w:rsid w:val="000519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arcep.fr/" TargetMode="External"/><Relationship Id="rId18" Type="http://schemas.openxmlformats.org/officeDocument/2006/relationships/hyperlink" Target="http://support.netgear.com/app/answers/detail/a_id/11621/" TargetMode="External"/><Relationship Id="rId26" Type="http://schemas.openxmlformats.org/officeDocument/2006/relationships/hyperlink" Target="https://www.netgear.com/about/regulatory/" TargetMode="External"/><Relationship Id="rId21" Type="http://schemas.openxmlformats.org/officeDocument/2006/relationships/image" Target="media/image40.png"/><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image" Target="media/image30.png"/><Relationship Id="rId25" Type="http://schemas.openxmlformats.org/officeDocument/2006/relationships/hyperlink" Target="https://www.netgear.com/support/)" TargetMode="External"/><Relationship Id="rId33" Type="http://schemas.openxmlformats.org/officeDocument/2006/relationships/hyperlink" Target="https://epraon.c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www.netgear.com/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gear.com/about/regulatory/" TargetMode="External"/><Relationship Id="rId24" Type="http://schemas.openxmlformats.org/officeDocument/2006/relationships/hyperlink" Target="https://www.netgear.com/about/regulatory/" TargetMode="External"/><Relationship Id="rId32" Type="http://schemas.openxmlformats.org/officeDocument/2006/relationships/hyperlink" Target="https://www.netgear.com/fr/about/regula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https://www.bipt.be/operators/general-holders-licenses" TargetMode="External"/><Relationship Id="rId28" Type="http://schemas.openxmlformats.org/officeDocument/2006/relationships/hyperlink" Target="https://www.netgear.com/about/regulatory/" TargetMode="External"/><Relationship Id="rId36" Type="http://schemas.openxmlformats.org/officeDocument/2006/relationships/fontTable" Target="fontTable.xml"/><Relationship Id="rId10" Type="http://schemas.openxmlformats.org/officeDocument/2006/relationships/hyperlink" Target="https://www.netgear.com/about/regulatory/" TargetMode="External"/><Relationship Id="rId19" Type="http://schemas.openxmlformats.org/officeDocument/2006/relationships/hyperlink" Target="https://kb.netgear.com/000062897/UKCA-Declarations-of-Conformity" TargetMode="External"/><Relationship Id="rId31" Type="http://schemas.openxmlformats.org/officeDocument/2006/relationships/hyperlink" Target="https://www.netgear.com/fr/about/regulato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bipt.be/consumers/free-use-of-radio" TargetMode="External"/><Relationship Id="rId27" Type="http://schemas.openxmlformats.org/officeDocument/2006/relationships/hyperlink" Target="https://www.netgear.com/about/regulatory/" TargetMode="External"/><Relationship Id="rId30" Type="http://schemas.openxmlformats.org/officeDocument/2006/relationships/hyperlink" Target="https://epraon.ca/" TargetMode="External"/><Relationship Id="rId35" Type="http://schemas.openxmlformats.org/officeDocument/2006/relationships/image" Target="media/image50.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7048</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2023-10-06T10:52:00Z</dcterms:created>
  <dcterms:modified xsi:type="dcterms:W3CDTF">2023-10-25T18:19:00Z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