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7BB2" w14:textId="77777777" w:rsidR="00DF3509" w:rsidRPr="003608D0" w:rsidRDefault="00DF3509">
      <w:pPr>
        <w:pStyle w:val="BodyText"/>
        <w:kinsoku w:val="0"/>
        <w:overflowPunct w:val="0"/>
        <w:spacing w:before="11"/>
        <w:rPr>
          <w:rFonts w:ascii="Times New Roman" w:hAnsi="Times New Roman" w:cs="Times New Roman"/>
          <w:sz w:val="12"/>
          <w:szCs w:val="12"/>
          <w:lang w:val="en-CA"/>
        </w:rPr>
      </w:pPr>
    </w:p>
    <w:p w14:paraId="46132FA9" w14:textId="0F8E3284" w:rsidR="00DF3509" w:rsidRDefault="0052779B">
      <w:pPr>
        <w:pStyle w:val="BodyText"/>
        <w:kinsoku w:val="0"/>
        <w:overflowPunct w:val="0"/>
        <w:ind w:left="930"/>
        <w:rPr>
          <w:rFonts w:ascii="Times New Roman" w:hAnsi="Times New Roman" w:cs="Times New Roman"/>
          <w:sz w:val="20"/>
          <w:szCs w:val="20"/>
        </w:rPr>
      </w:pPr>
      <w:r>
        <w:rPr>
          <w:rFonts w:ascii="Times New Roman" w:hAnsi="Times New Roman"/>
          <w:noProof/>
          <w:sz w:val="20"/>
        </w:rPr>
        <w:drawing>
          <wp:inline distT="0" distB="0" distL="0" distR="0" wp14:anchorId="672B0D98" wp14:editId="6771B088">
            <wp:extent cx="2812415" cy="396875"/>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2415" cy="396875"/>
                    </a:xfrm>
                    <a:prstGeom prst="rect">
                      <a:avLst/>
                    </a:prstGeom>
                    <a:noFill/>
                    <a:ln>
                      <a:noFill/>
                    </a:ln>
                  </pic:spPr>
                </pic:pic>
              </a:graphicData>
            </a:graphic>
          </wp:inline>
        </w:drawing>
      </w:r>
    </w:p>
    <w:p w14:paraId="6918319F" w14:textId="77777777" w:rsidR="00DF3509" w:rsidRDefault="00DF3509">
      <w:pPr>
        <w:pStyle w:val="BodyText"/>
        <w:kinsoku w:val="0"/>
        <w:overflowPunct w:val="0"/>
        <w:spacing w:before="7"/>
        <w:rPr>
          <w:rFonts w:ascii="Times New Roman" w:hAnsi="Times New Roman" w:cs="Times New Roman"/>
          <w:sz w:val="17"/>
          <w:szCs w:val="17"/>
        </w:rPr>
      </w:pPr>
    </w:p>
    <w:p w14:paraId="603488B0" w14:textId="77777777" w:rsidR="00DF3509" w:rsidRDefault="00DF3509">
      <w:pPr>
        <w:pStyle w:val="Title"/>
        <w:tabs>
          <w:tab w:val="left" w:pos="10230"/>
        </w:tabs>
        <w:kinsoku w:val="0"/>
        <w:overflowPunct w:val="0"/>
        <w:rPr>
          <w:u w:val="none"/>
        </w:rPr>
      </w:pPr>
      <w:r>
        <w:t>Notifica di conformità</w:t>
      </w:r>
      <w:r>
        <w:tab/>
      </w:r>
    </w:p>
    <w:p w14:paraId="5A6C9F4D" w14:textId="77777777" w:rsidR="001F545D" w:rsidRPr="003608D0" w:rsidRDefault="001F545D" w:rsidP="003608D0">
      <w:pPr>
        <w:pStyle w:val="TOCHeading"/>
        <w:ind w:left="720"/>
        <w:rPr>
          <w:rFonts w:ascii="Cambria" w:hAnsi="Cambria" w:cs="Arial"/>
        </w:rPr>
      </w:pPr>
      <w:r>
        <w:rPr>
          <w:rFonts w:ascii="Cambria" w:hAnsi="Cambria"/>
        </w:rPr>
        <w:t>Sommario</w:t>
      </w:r>
    </w:p>
    <w:p w14:paraId="23DC7462" w14:textId="5A26E278" w:rsidR="00785A01" w:rsidRDefault="001F545D">
      <w:pPr>
        <w:pStyle w:val="TOC1"/>
        <w:rPr>
          <w:rFonts w:asciiTheme="minorHAnsi" w:eastAsiaTheme="minorEastAsia" w:hAnsiTheme="minorHAnsi" w:cstheme="minorBidi"/>
          <w:noProof/>
          <w:kern w:val="2"/>
          <w:lang w:val="en-US" w:eastAsia="en-US"/>
          <w14:ligatures w14:val="standardContextual"/>
        </w:rPr>
      </w:pPr>
      <w:r w:rsidRPr="001A2EB6">
        <w:fldChar w:fldCharType="begin"/>
      </w:r>
      <w:r w:rsidRPr="001A2EB6">
        <w:instrText xml:space="preserve"> TOC \o "1-3" \h \z \u </w:instrText>
      </w:r>
      <w:r w:rsidRPr="001A2EB6">
        <w:fldChar w:fldCharType="separate"/>
      </w:r>
      <w:hyperlink w:anchor="_Toc147398194" w:history="1">
        <w:r w:rsidR="00785A01" w:rsidRPr="005914B2">
          <w:rPr>
            <w:rStyle w:val="Hyperlink"/>
            <w:noProof/>
          </w:rPr>
          <w:t>Informazioni e avvisi sulla sicurezza</w:t>
        </w:r>
        <w:r w:rsidR="00785A01">
          <w:rPr>
            <w:noProof/>
            <w:webHidden/>
          </w:rPr>
          <w:tab/>
        </w:r>
        <w:r w:rsidR="00785A01">
          <w:rPr>
            <w:noProof/>
            <w:webHidden/>
          </w:rPr>
          <w:fldChar w:fldCharType="begin"/>
        </w:r>
        <w:r w:rsidR="00785A01">
          <w:rPr>
            <w:noProof/>
            <w:webHidden/>
          </w:rPr>
          <w:instrText xml:space="preserve"> PAGEREF _Toc147398194 \h </w:instrText>
        </w:r>
        <w:r w:rsidR="00785A01">
          <w:rPr>
            <w:noProof/>
            <w:webHidden/>
          </w:rPr>
        </w:r>
        <w:r w:rsidR="00785A01">
          <w:rPr>
            <w:noProof/>
            <w:webHidden/>
          </w:rPr>
          <w:fldChar w:fldCharType="separate"/>
        </w:r>
        <w:r w:rsidR="00785A01">
          <w:rPr>
            <w:noProof/>
            <w:webHidden/>
          </w:rPr>
          <w:t>3</w:t>
        </w:r>
        <w:r w:rsidR="00785A01">
          <w:rPr>
            <w:noProof/>
            <w:webHidden/>
          </w:rPr>
          <w:fldChar w:fldCharType="end"/>
        </w:r>
      </w:hyperlink>
    </w:p>
    <w:p w14:paraId="5B6988CD" w14:textId="655EC86A" w:rsidR="00785A01" w:rsidRDefault="00000000" w:rsidP="00B74B1A">
      <w:pPr>
        <w:pStyle w:val="TOC3"/>
        <w:rPr>
          <w:rFonts w:asciiTheme="minorHAnsi" w:eastAsiaTheme="minorEastAsia" w:hAnsiTheme="minorHAnsi" w:cstheme="minorBidi"/>
          <w:noProof/>
          <w:kern w:val="2"/>
          <w:lang w:val="en-US" w:eastAsia="en-US"/>
          <w14:ligatures w14:val="standardContextual"/>
        </w:rPr>
      </w:pPr>
      <w:hyperlink w:anchor="_Toc147398195" w:history="1">
        <w:r w:rsidR="00785A01" w:rsidRPr="005914B2">
          <w:rPr>
            <w:rStyle w:val="Hyperlink"/>
            <w:noProof/>
          </w:rPr>
          <w:t>Utilizzo sicuro della batteria</w:t>
        </w:r>
        <w:r w:rsidR="00785A01">
          <w:rPr>
            <w:noProof/>
            <w:webHidden/>
          </w:rPr>
          <w:tab/>
        </w:r>
        <w:r w:rsidR="00785A01">
          <w:rPr>
            <w:noProof/>
            <w:webHidden/>
          </w:rPr>
          <w:fldChar w:fldCharType="begin"/>
        </w:r>
        <w:r w:rsidR="00785A01">
          <w:rPr>
            <w:noProof/>
            <w:webHidden/>
          </w:rPr>
          <w:instrText xml:space="preserve"> PAGEREF _Toc147398195 \h </w:instrText>
        </w:r>
        <w:r w:rsidR="00785A01">
          <w:rPr>
            <w:noProof/>
            <w:webHidden/>
          </w:rPr>
        </w:r>
        <w:r w:rsidR="00785A01">
          <w:rPr>
            <w:noProof/>
            <w:webHidden/>
          </w:rPr>
          <w:fldChar w:fldCharType="separate"/>
        </w:r>
        <w:r w:rsidR="00785A01">
          <w:rPr>
            <w:noProof/>
            <w:webHidden/>
          </w:rPr>
          <w:t>3</w:t>
        </w:r>
        <w:r w:rsidR="00785A01">
          <w:rPr>
            <w:noProof/>
            <w:webHidden/>
          </w:rPr>
          <w:fldChar w:fldCharType="end"/>
        </w:r>
      </w:hyperlink>
    </w:p>
    <w:p w14:paraId="7AB1F8F6" w14:textId="76ED0A95" w:rsidR="00785A01" w:rsidRDefault="00000000">
      <w:pPr>
        <w:pStyle w:val="TOC2"/>
        <w:rPr>
          <w:rFonts w:asciiTheme="minorHAnsi" w:eastAsiaTheme="minorEastAsia" w:hAnsiTheme="minorHAnsi" w:cstheme="minorBidi"/>
          <w:noProof/>
          <w:kern w:val="2"/>
          <w:lang w:val="en-US" w:eastAsia="en-US"/>
          <w14:ligatures w14:val="standardContextual"/>
        </w:rPr>
      </w:pPr>
      <w:hyperlink w:anchor="_Toc147398196" w:history="1">
        <w:r w:rsidR="00785A01" w:rsidRPr="005914B2">
          <w:rPr>
            <w:rStyle w:val="Hyperlink"/>
            <w:noProof/>
          </w:rPr>
          <w:t>Posizione dei marchi</w:t>
        </w:r>
        <w:r w:rsidR="00785A01">
          <w:rPr>
            <w:noProof/>
            <w:webHidden/>
          </w:rPr>
          <w:tab/>
        </w:r>
        <w:r w:rsidR="00785A01">
          <w:rPr>
            <w:noProof/>
            <w:webHidden/>
          </w:rPr>
          <w:fldChar w:fldCharType="begin"/>
        </w:r>
        <w:r w:rsidR="00785A01">
          <w:rPr>
            <w:noProof/>
            <w:webHidden/>
          </w:rPr>
          <w:instrText xml:space="preserve"> PAGEREF _Toc147398196 \h </w:instrText>
        </w:r>
        <w:r w:rsidR="00785A01">
          <w:rPr>
            <w:noProof/>
            <w:webHidden/>
          </w:rPr>
        </w:r>
        <w:r w:rsidR="00785A01">
          <w:rPr>
            <w:noProof/>
            <w:webHidden/>
          </w:rPr>
          <w:fldChar w:fldCharType="separate"/>
        </w:r>
        <w:r w:rsidR="00785A01">
          <w:rPr>
            <w:noProof/>
            <w:webHidden/>
          </w:rPr>
          <w:t>3</w:t>
        </w:r>
        <w:r w:rsidR="00785A01">
          <w:rPr>
            <w:noProof/>
            <w:webHidden/>
          </w:rPr>
          <w:fldChar w:fldCharType="end"/>
        </w:r>
      </w:hyperlink>
    </w:p>
    <w:p w14:paraId="18A8E311" w14:textId="56B59D06" w:rsidR="00785A01" w:rsidRDefault="00000000">
      <w:pPr>
        <w:pStyle w:val="TOC2"/>
        <w:rPr>
          <w:rFonts w:asciiTheme="minorHAnsi" w:eastAsiaTheme="minorEastAsia" w:hAnsiTheme="minorHAnsi" w:cstheme="minorBidi"/>
          <w:noProof/>
          <w:kern w:val="2"/>
          <w:lang w:val="en-US" w:eastAsia="en-US"/>
          <w14:ligatures w14:val="standardContextual"/>
        </w:rPr>
      </w:pPr>
      <w:hyperlink w:anchor="_Toc147398197" w:history="1">
        <w:r w:rsidR="00785A01" w:rsidRPr="005914B2">
          <w:rPr>
            <w:rStyle w:val="Hyperlink"/>
            <w:noProof/>
          </w:rPr>
          <w:t>Utilizzare in luoghi in cui è improbabile vi siano presenti bambini</w:t>
        </w:r>
        <w:r w:rsidR="00785A01">
          <w:rPr>
            <w:noProof/>
            <w:webHidden/>
          </w:rPr>
          <w:tab/>
        </w:r>
        <w:r w:rsidR="00785A01">
          <w:rPr>
            <w:noProof/>
            <w:webHidden/>
          </w:rPr>
          <w:fldChar w:fldCharType="begin"/>
        </w:r>
        <w:r w:rsidR="00785A01">
          <w:rPr>
            <w:noProof/>
            <w:webHidden/>
          </w:rPr>
          <w:instrText xml:space="preserve"> PAGEREF _Toc147398197 \h </w:instrText>
        </w:r>
        <w:r w:rsidR="00785A01">
          <w:rPr>
            <w:noProof/>
            <w:webHidden/>
          </w:rPr>
        </w:r>
        <w:r w:rsidR="00785A01">
          <w:rPr>
            <w:noProof/>
            <w:webHidden/>
          </w:rPr>
          <w:fldChar w:fldCharType="separate"/>
        </w:r>
        <w:r w:rsidR="00785A01">
          <w:rPr>
            <w:noProof/>
            <w:webHidden/>
          </w:rPr>
          <w:t>3</w:t>
        </w:r>
        <w:r w:rsidR="00785A01">
          <w:rPr>
            <w:noProof/>
            <w:webHidden/>
          </w:rPr>
          <w:fldChar w:fldCharType="end"/>
        </w:r>
      </w:hyperlink>
    </w:p>
    <w:p w14:paraId="221BB3A8" w14:textId="3B5BCE1B" w:rsidR="00785A01" w:rsidRDefault="00000000">
      <w:pPr>
        <w:pStyle w:val="TOC2"/>
        <w:rPr>
          <w:rFonts w:asciiTheme="minorHAnsi" w:eastAsiaTheme="minorEastAsia" w:hAnsiTheme="minorHAnsi" w:cstheme="minorBidi"/>
          <w:noProof/>
          <w:kern w:val="2"/>
          <w:lang w:val="en-US" w:eastAsia="en-US"/>
          <w14:ligatures w14:val="standardContextual"/>
        </w:rPr>
      </w:pPr>
      <w:hyperlink w:anchor="_Toc147398198" w:history="1">
        <w:r w:rsidR="00785A01" w:rsidRPr="005914B2">
          <w:rPr>
            <w:rStyle w:val="Hyperlink"/>
            <w:noProof/>
          </w:rPr>
          <w:t>Avvisi per l'accesso limitato</w:t>
        </w:r>
        <w:r w:rsidR="00785A01">
          <w:rPr>
            <w:noProof/>
            <w:webHidden/>
          </w:rPr>
          <w:tab/>
        </w:r>
        <w:r w:rsidR="00785A01">
          <w:rPr>
            <w:noProof/>
            <w:webHidden/>
          </w:rPr>
          <w:fldChar w:fldCharType="begin"/>
        </w:r>
        <w:r w:rsidR="00785A01">
          <w:rPr>
            <w:noProof/>
            <w:webHidden/>
          </w:rPr>
          <w:instrText xml:space="preserve"> PAGEREF _Toc147398198 \h </w:instrText>
        </w:r>
        <w:r w:rsidR="00785A01">
          <w:rPr>
            <w:noProof/>
            <w:webHidden/>
          </w:rPr>
        </w:r>
        <w:r w:rsidR="00785A01">
          <w:rPr>
            <w:noProof/>
            <w:webHidden/>
          </w:rPr>
          <w:fldChar w:fldCharType="separate"/>
        </w:r>
        <w:r w:rsidR="00785A01">
          <w:rPr>
            <w:noProof/>
            <w:webHidden/>
          </w:rPr>
          <w:t>3</w:t>
        </w:r>
        <w:r w:rsidR="00785A01">
          <w:rPr>
            <w:noProof/>
            <w:webHidden/>
          </w:rPr>
          <w:fldChar w:fldCharType="end"/>
        </w:r>
      </w:hyperlink>
    </w:p>
    <w:p w14:paraId="1BC7FB84" w14:textId="3F1B6BA3" w:rsidR="00785A01" w:rsidRDefault="00000000">
      <w:pPr>
        <w:pStyle w:val="TOC2"/>
        <w:rPr>
          <w:rFonts w:asciiTheme="minorHAnsi" w:eastAsiaTheme="minorEastAsia" w:hAnsiTheme="minorHAnsi" w:cstheme="minorBidi"/>
          <w:noProof/>
          <w:kern w:val="2"/>
          <w:lang w:val="en-US" w:eastAsia="en-US"/>
          <w14:ligatures w14:val="standardContextual"/>
        </w:rPr>
      </w:pPr>
      <w:hyperlink w:anchor="_Toc147398199" w:history="1">
        <w:r w:rsidR="00785A01" w:rsidRPr="005914B2">
          <w:rPr>
            <w:rStyle w:val="Hyperlink"/>
            <w:noProof/>
          </w:rPr>
          <w:t>Avviso per la TV via cavo coassiale e la connessione a Internet (su modelli selezionati)</w:t>
        </w:r>
        <w:r w:rsidR="00785A01">
          <w:rPr>
            <w:noProof/>
            <w:webHidden/>
          </w:rPr>
          <w:tab/>
        </w:r>
        <w:r w:rsidR="00785A01">
          <w:rPr>
            <w:noProof/>
            <w:webHidden/>
          </w:rPr>
          <w:fldChar w:fldCharType="begin"/>
        </w:r>
        <w:r w:rsidR="00785A01">
          <w:rPr>
            <w:noProof/>
            <w:webHidden/>
          </w:rPr>
          <w:instrText xml:space="preserve"> PAGEREF _Toc147398199 \h </w:instrText>
        </w:r>
        <w:r w:rsidR="00785A01">
          <w:rPr>
            <w:noProof/>
            <w:webHidden/>
          </w:rPr>
        </w:r>
        <w:r w:rsidR="00785A01">
          <w:rPr>
            <w:noProof/>
            <w:webHidden/>
          </w:rPr>
          <w:fldChar w:fldCharType="separate"/>
        </w:r>
        <w:r w:rsidR="00785A01">
          <w:rPr>
            <w:noProof/>
            <w:webHidden/>
          </w:rPr>
          <w:t>3</w:t>
        </w:r>
        <w:r w:rsidR="00785A01">
          <w:rPr>
            <w:noProof/>
            <w:webHidden/>
          </w:rPr>
          <w:fldChar w:fldCharType="end"/>
        </w:r>
      </w:hyperlink>
    </w:p>
    <w:p w14:paraId="6208B55E" w14:textId="5CD7604B" w:rsidR="00785A01" w:rsidRDefault="00000000">
      <w:pPr>
        <w:pStyle w:val="TOC1"/>
        <w:rPr>
          <w:rFonts w:asciiTheme="minorHAnsi" w:eastAsiaTheme="minorEastAsia" w:hAnsiTheme="minorHAnsi" w:cstheme="minorBidi"/>
          <w:noProof/>
          <w:kern w:val="2"/>
          <w:lang w:val="en-US" w:eastAsia="en-US"/>
          <w14:ligatures w14:val="standardContextual"/>
        </w:rPr>
      </w:pPr>
      <w:hyperlink w:anchor="_Toc147398200" w:history="1">
        <w:r w:rsidR="00785A01" w:rsidRPr="005914B2">
          <w:rPr>
            <w:rStyle w:val="Hyperlink"/>
            <w:noProof/>
          </w:rPr>
          <w:t>Informazioni sulla conformità normativa</w:t>
        </w:r>
        <w:r w:rsidR="00785A01">
          <w:rPr>
            <w:noProof/>
            <w:webHidden/>
          </w:rPr>
          <w:tab/>
        </w:r>
        <w:r w:rsidR="00785A01">
          <w:rPr>
            <w:noProof/>
            <w:webHidden/>
          </w:rPr>
          <w:fldChar w:fldCharType="begin"/>
        </w:r>
        <w:r w:rsidR="00785A01">
          <w:rPr>
            <w:noProof/>
            <w:webHidden/>
          </w:rPr>
          <w:instrText xml:space="preserve"> PAGEREF _Toc147398200 \h </w:instrText>
        </w:r>
        <w:r w:rsidR="00785A01">
          <w:rPr>
            <w:noProof/>
            <w:webHidden/>
          </w:rPr>
        </w:r>
        <w:r w:rsidR="00785A01">
          <w:rPr>
            <w:noProof/>
            <w:webHidden/>
          </w:rPr>
          <w:fldChar w:fldCharType="separate"/>
        </w:r>
        <w:r w:rsidR="00785A01">
          <w:rPr>
            <w:noProof/>
            <w:webHidden/>
          </w:rPr>
          <w:t>4</w:t>
        </w:r>
        <w:r w:rsidR="00785A01">
          <w:rPr>
            <w:noProof/>
            <w:webHidden/>
          </w:rPr>
          <w:fldChar w:fldCharType="end"/>
        </w:r>
      </w:hyperlink>
    </w:p>
    <w:p w14:paraId="0322BCC1" w14:textId="1B98479C" w:rsidR="00785A01" w:rsidRDefault="00000000">
      <w:pPr>
        <w:pStyle w:val="TOC2"/>
        <w:rPr>
          <w:rFonts w:asciiTheme="minorHAnsi" w:eastAsiaTheme="minorEastAsia" w:hAnsiTheme="minorHAnsi" w:cstheme="minorBidi"/>
          <w:noProof/>
          <w:kern w:val="2"/>
          <w:lang w:val="en-US" w:eastAsia="en-US"/>
          <w14:ligatures w14:val="standardContextual"/>
        </w:rPr>
      </w:pPr>
      <w:hyperlink w:anchor="_Toc147398201" w:history="1">
        <w:r w:rsidR="00785A01" w:rsidRPr="005914B2">
          <w:rPr>
            <w:rStyle w:val="Hyperlink"/>
            <w:noProof/>
          </w:rPr>
          <w:t>Apparecchiatura certificata per uso esterno</w:t>
        </w:r>
        <w:r w:rsidR="00785A01">
          <w:rPr>
            <w:noProof/>
            <w:webHidden/>
          </w:rPr>
          <w:tab/>
        </w:r>
        <w:r w:rsidR="00785A01">
          <w:rPr>
            <w:noProof/>
            <w:webHidden/>
          </w:rPr>
          <w:fldChar w:fldCharType="begin"/>
        </w:r>
        <w:r w:rsidR="00785A01">
          <w:rPr>
            <w:noProof/>
            <w:webHidden/>
          </w:rPr>
          <w:instrText xml:space="preserve"> PAGEREF _Toc147398201 \h </w:instrText>
        </w:r>
        <w:r w:rsidR="00785A01">
          <w:rPr>
            <w:noProof/>
            <w:webHidden/>
          </w:rPr>
        </w:r>
        <w:r w:rsidR="00785A01">
          <w:rPr>
            <w:noProof/>
            <w:webHidden/>
          </w:rPr>
          <w:fldChar w:fldCharType="separate"/>
        </w:r>
        <w:r w:rsidR="00785A01">
          <w:rPr>
            <w:noProof/>
            <w:webHidden/>
          </w:rPr>
          <w:t>4</w:t>
        </w:r>
        <w:r w:rsidR="00785A01">
          <w:rPr>
            <w:noProof/>
            <w:webHidden/>
          </w:rPr>
          <w:fldChar w:fldCharType="end"/>
        </w:r>
      </w:hyperlink>
    </w:p>
    <w:p w14:paraId="66AFF747" w14:textId="104B58F2" w:rsidR="00785A01" w:rsidRDefault="00000000">
      <w:pPr>
        <w:pStyle w:val="TOC2"/>
        <w:rPr>
          <w:rFonts w:asciiTheme="minorHAnsi" w:eastAsiaTheme="minorEastAsia" w:hAnsiTheme="minorHAnsi" w:cstheme="minorBidi"/>
          <w:noProof/>
          <w:kern w:val="2"/>
          <w:lang w:val="en-US" w:eastAsia="en-US"/>
          <w14:ligatures w14:val="standardContextual"/>
        </w:rPr>
      </w:pPr>
      <w:hyperlink w:anchor="_Toc147398202" w:history="1">
        <w:r w:rsidR="00785A01" w:rsidRPr="005914B2">
          <w:rPr>
            <w:rStyle w:val="Hyperlink"/>
            <w:noProof/>
          </w:rPr>
          <w:t>Apparecchiature con antenne esterne</w:t>
        </w:r>
        <w:r w:rsidR="00785A01">
          <w:rPr>
            <w:noProof/>
            <w:webHidden/>
          </w:rPr>
          <w:tab/>
        </w:r>
        <w:r w:rsidR="00785A01">
          <w:rPr>
            <w:noProof/>
            <w:webHidden/>
          </w:rPr>
          <w:fldChar w:fldCharType="begin"/>
        </w:r>
        <w:r w:rsidR="00785A01">
          <w:rPr>
            <w:noProof/>
            <w:webHidden/>
          </w:rPr>
          <w:instrText xml:space="preserve"> PAGEREF _Toc147398202 \h </w:instrText>
        </w:r>
        <w:r w:rsidR="00785A01">
          <w:rPr>
            <w:noProof/>
            <w:webHidden/>
          </w:rPr>
        </w:r>
        <w:r w:rsidR="00785A01">
          <w:rPr>
            <w:noProof/>
            <w:webHidden/>
          </w:rPr>
          <w:fldChar w:fldCharType="separate"/>
        </w:r>
        <w:r w:rsidR="00785A01">
          <w:rPr>
            <w:noProof/>
            <w:webHidden/>
          </w:rPr>
          <w:t>4</w:t>
        </w:r>
        <w:r w:rsidR="00785A01">
          <w:rPr>
            <w:noProof/>
            <w:webHidden/>
          </w:rPr>
          <w:fldChar w:fldCharType="end"/>
        </w:r>
      </w:hyperlink>
    </w:p>
    <w:p w14:paraId="07AE3D5C" w14:textId="11F88F70" w:rsidR="00785A01" w:rsidRDefault="00000000">
      <w:pPr>
        <w:pStyle w:val="TOC1"/>
        <w:rPr>
          <w:rFonts w:asciiTheme="minorHAnsi" w:eastAsiaTheme="minorEastAsia" w:hAnsiTheme="minorHAnsi" w:cstheme="minorBidi"/>
          <w:noProof/>
          <w:kern w:val="2"/>
          <w:lang w:val="en-US" w:eastAsia="en-US"/>
          <w14:ligatures w14:val="standardContextual"/>
        </w:rPr>
      </w:pPr>
      <w:hyperlink w:anchor="_Toc147398203" w:history="1">
        <w:r w:rsidR="00785A01" w:rsidRPr="005914B2">
          <w:rPr>
            <w:rStyle w:val="Hyperlink"/>
            <w:noProof/>
          </w:rPr>
          <w:t>Requisiti normativi per il funzionamento in Europa (GB, UK e UE)</w:t>
        </w:r>
        <w:r w:rsidR="00785A01">
          <w:rPr>
            <w:noProof/>
            <w:webHidden/>
          </w:rPr>
          <w:tab/>
        </w:r>
        <w:r w:rsidR="00785A01">
          <w:rPr>
            <w:noProof/>
            <w:webHidden/>
          </w:rPr>
          <w:fldChar w:fldCharType="begin"/>
        </w:r>
        <w:r w:rsidR="00785A01">
          <w:rPr>
            <w:noProof/>
            <w:webHidden/>
          </w:rPr>
          <w:instrText xml:space="preserve"> PAGEREF _Toc147398203 \h </w:instrText>
        </w:r>
        <w:r w:rsidR="00785A01">
          <w:rPr>
            <w:noProof/>
            <w:webHidden/>
          </w:rPr>
        </w:r>
        <w:r w:rsidR="00785A01">
          <w:rPr>
            <w:noProof/>
            <w:webHidden/>
          </w:rPr>
          <w:fldChar w:fldCharType="separate"/>
        </w:r>
        <w:r w:rsidR="00785A01">
          <w:rPr>
            <w:noProof/>
            <w:webHidden/>
          </w:rPr>
          <w:t>7</w:t>
        </w:r>
        <w:r w:rsidR="00785A01">
          <w:rPr>
            <w:noProof/>
            <w:webHidden/>
          </w:rPr>
          <w:fldChar w:fldCharType="end"/>
        </w:r>
      </w:hyperlink>
    </w:p>
    <w:p w14:paraId="42749F61" w14:textId="7FD99F07" w:rsidR="00785A01" w:rsidRDefault="00000000">
      <w:pPr>
        <w:pStyle w:val="TOC2"/>
        <w:rPr>
          <w:rFonts w:asciiTheme="minorHAnsi" w:eastAsiaTheme="minorEastAsia" w:hAnsiTheme="minorHAnsi" w:cstheme="minorBidi"/>
          <w:noProof/>
          <w:kern w:val="2"/>
          <w:lang w:val="en-US" w:eastAsia="en-US"/>
          <w14:ligatures w14:val="standardContextual"/>
        </w:rPr>
      </w:pPr>
      <w:hyperlink w:anchor="_Toc147398204" w:history="1">
        <w:r w:rsidR="00785A01" w:rsidRPr="005914B2">
          <w:rPr>
            <w:rStyle w:val="Hyperlink"/>
            <w:noProof/>
          </w:rPr>
          <w:t>Conformità alla Direttiva 2014/53/UE per le apparecchiature radio (RED)</w:t>
        </w:r>
        <w:r w:rsidR="00785A01">
          <w:rPr>
            <w:noProof/>
            <w:webHidden/>
          </w:rPr>
          <w:tab/>
        </w:r>
        <w:r w:rsidR="00785A01">
          <w:rPr>
            <w:noProof/>
            <w:webHidden/>
          </w:rPr>
          <w:fldChar w:fldCharType="begin"/>
        </w:r>
        <w:r w:rsidR="00785A01">
          <w:rPr>
            <w:noProof/>
            <w:webHidden/>
          </w:rPr>
          <w:instrText xml:space="preserve"> PAGEREF _Toc147398204 \h </w:instrText>
        </w:r>
        <w:r w:rsidR="00785A01">
          <w:rPr>
            <w:noProof/>
            <w:webHidden/>
          </w:rPr>
        </w:r>
        <w:r w:rsidR="00785A01">
          <w:rPr>
            <w:noProof/>
            <w:webHidden/>
          </w:rPr>
          <w:fldChar w:fldCharType="separate"/>
        </w:r>
        <w:r w:rsidR="00785A01">
          <w:rPr>
            <w:noProof/>
            <w:webHidden/>
          </w:rPr>
          <w:t>7</w:t>
        </w:r>
        <w:r w:rsidR="00785A01">
          <w:rPr>
            <w:noProof/>
            <w:webHidden/>
          </w:rPr>
          <w:fldChar w:fldCharType="end"/>
        </w:r>
      </w:hyperlink>
    </w:p>
    <w:p w14:paraId="0F13257B" w14:textId="52BA08BC" w:rsidR="00785A01" w:rsidRDefault="00000000" w:rsidP="00B74B1A">
      <w:pPr>
        <w:pStyle w:val="TOC3"/>
        <w:rPr>
          <w:rFonts w:asciiTheme="minorHAnsi" w:eastAsiaTheme="minorEastAsia" w:hAnsiTheme="minorHAnsi" w:cstheme="minorBidi"/>
          <w:noProof/>
          <w:kern w:val="2"/>
          <w:lang w:val="en-US" w:eastAsia="en-US"/>
          <w14:ligatures w14:val="standardContextual"/>
        </w:rPr>
      </w:pPr>
      <w:hyperlink w:anchor="_Toc147398205" w:history="1">
        <w:r w:rsidR="00785A01" w:rsidRPr="005914B2">
          <w:rPr>
            <w:rStyle w:val="Hyperlink"/>
            <w:noProof/>
          </w:rPr>
          <w:t>Indicazioni per l'esposizione alle radiofrequenze</w:t>
        </w:r>
        <w:r w:rsidR="00785A01">
          <w:rPr>
            <w:noProof/>
            <w:webHidden/>
          </w:rPr>
          <w:tab/>
        </w:r>
        <w:r w:rsidR="00785A01">
          <w:rPr>
            <w:noProof/>
            <w:webHidden/>
          </w:rPr>
          <w:fldChar w:fldCharType="begin"/>
        </w:r>
        <w:r w:rsidR="00785A01">
          <w:rPr>
            <w:noProof/>
            <w:webHidden/>
          </w:rPr>
          <w:instrText xml:space="preserve"> PAGEREF _Toc147398205 \h </w:instrText>
        </w:r>
        <w:r w:rsidR="00785A01">
          <w:rPr>
            <w:noProof/>
            <w:webHidden/>
          </w:rPr>
        </w:r>
        <w:r w:rsidR="00785A01">
          <w:rPr>
            <w:noProof/>
            <w:webHidden/>
          </w:rPr>
          <w:fldChar w:fldCharType="separate"/>
        </w:r>
        <w:r w:rsidR="00785A01">
          <w:rPr>
            <w:noProof/>
            <w:webHidden/>
          </w:rPr>
          <w:t>8</w:t>
        </w:r>
        <w:r w:rsidR="00785A01">
          <w:rPr>
            <w:noProof/>
            <w:webHidden/>
          </w:rPr>
          <w:fldChar w:fldCharType="end"/>
        </w:r>
      </w:hyperlink>
    </w:p>
    <w:p w14:paraId="6C919FF8" w14:textId="478443C2" w:rsidR="00785A01" w:rsidRDefault="00000000">
      <w:pPr>
        <w:pStyle w:val="TOC2"/>
        <w:rPr>
          <w:rFonts w:asciiTheme="minorHAnsi" w:eastAsiaTheme="minorEastAsia" w:hAnsiTheme="minorHAnsi" w:cstheme="minorBidi"/>
          <w:noProof/>
          <w:kern w:val="2"/>
          <w:lang w:val="en-US" w:eastAsia="en-US"/>
          <w14:ligatures w14:val="standardContextual"/>
        </w:rPr>
      </w:pPr>
      <w:hyperlink w:anchor="_Toc147398206" w:history="1">
        <w:r w:rsidR="00785A01" w:rsidRPr="005914B2">
          <w:rPr>
            <w:rStyle w:val="Hyperlink"/>
            <w:noProof/>
          </w:rPr>
          <w:t>Precauzioni specifiche per EMC</w:t>
        </w:r>
        <w:r w:rsidR="00785A01">
          <w:rPr>
            <w:noProof/>
            <w:webHidden/>
          </w:rPr>
          <w:tab/>
        </w:r>
        <w:r w:rsidR="00785A01">
          <w:rPr>
            <w:noProof/>
            <w:webHidden/>
          </w:rPr>
          <w:fldChar w:fldCharType="begin"/>
        </w:r>
        <w:r w:rsidR="00785A01">
          <w:rPr>
            <w:noProof/>
            <w:webHidden/>
          </w:rPr>
          <w:instrText xml:space="preserve"> PAGEREF _Toc147398206 \h </w:instrText>
        </w:r>
        <w:r w:rsidR="00785A01">
          <w:rPr>
            <w:noProof/>
            <w:webHidden/>
          </w:rPr>
        </w:r>
        <w:r w:rsidR="00785A01">
          <w:rPr>
            <w:noProof/>
            <w:webHidden/>
          </w:rPr>
          <w:fldChar w:fldCharType="separate"/>
        </w:r>
        <w:r w:rsidR="00785A01">
          <w:rPr>
            <w:noProof/>
            <w:webHidden/>
          </w:rPr>
          <w:t>9</w:t>
        </w:r>
        <w:r w:rsidR="00785A01">
          <w:rPr>
            <w:noProof/>
            <w:webHidden/>
          </w:rPr>
          <w:fldChar w:fldCharType="end"/>
        </w:r>
      </w:hyperlink>
    </w:p>
    <w:p w14:paraId="29B2E774" w14:textId="5B835F77" w:rsidR="00785A01" w:rsidRDefault="00000000">
      <w:pPr>
        <w:pStyle w:val="TOC1"/>
        <w:rPr>
          <w:rFonts w:asciiTheme="minorHAnsi" w:eastAsiaTheme="minorEastAsia" w:hAnsiTheme="minorHAnsi" w:cstheme="minorBidi"/>
          <w:noProof/>
          <w:kern w:val="2"/>
          <w:lang w:val="en-US" w:eastAsia="en-US"/>
          <w14:ligatures w14:val="standardContextual"/>
        </w:rPr>
      </w:pPr>
      <w:hyperlink w:anchor="_Toc147398207" w:history="1">
        <w:r w:rsidR="00785A01" w:rsidRPr="005914B2">
          <w:rPr>
            <w:rStyle w:val="Hyperlink"/>
            <w:noProof/>
          </w:rPr>
          <w:t>Requisiti FCC per il funzionamento negli Stati Uniti</w:t>
        </w:r>
        <w:r w:rsidR="00785A01">
          <w:rPr>
            <w:noProof/>
            <w:webHidden/>
          </w:rPr>
          <w:tab/>
        </w:r>
        <w:r w:rsidR="00785A01">
          <w:rPr>
            <w:noProof/>
            <w:webHidden/>
          </w:rPr>
          <w:fldChar w:fldCharType="begin"/>
        </w:r>
        <w:r w:rsidR="00785A01">
          <w:rPr>
            <w:noProof/>
            <w:webHidden/>
          </w:rPr>
          <w:instrText xml:space="preserve"> PAGEREF _Toc147398207 \h </w:instrText>
        </w:r>
        <w:r w:rsidR="00785A01">
          <w:rPr>
            <w:noProof/>
            <w:webHidden/>
          </w:rPr>
        </w:r>
        <w:r w:rsidR="00785A01">
          <w:rPr>
            <w:noProof/>
            <w:webHidden/>
          </w:rPr>
          <w:fldChar w:fldCharType="separate"/>
        </w:r>
        <w:r w:rsidR="00785A01">
          <w:rPr>
            <w:noProof/>
            <w:webHidden/>
          </w:rPr>
          <w:t>9</w:t>
        </w:r>
        <w:r w:rsidR="00785A01">
          <w:rPr>
            <w:noProof/>
            <w:webHidden/>
          </w:rPr>
          <w:fldChar w:fldCharType="end"/>
        </w:r>
      </w:hyperlink>
    </w:p>
    <w:p w14:paraId="4F661871" w14:textId="18CA50E3" w:rsidR="00785A01" w:rsidRDefault="00000000">
      <w:pPr>
        <w:pStyle w:val="TOC2"/>
        <w:rPr>
          <w:rFonts w:asciiTheme="minorHAnsi" w:eastAsiaTheme="minorEastAsia" w:hAnsiTheme="minorHAnsi" w:cstheme="minorBidi"/>
          <w:noProof/>
          <w:kern w:val="2"/>
          <w:lang w:val="en-US" w:eastAsia="en-US"/>
          <w14:ligatures w14:val="standardContextual"/>
        </w:rPr>
      </w:pPr>
      <w:hyperlink w:anchor="_Toc147398208" w:history="1">
        <w:r w:rsidR="00785A01" w:rsidRPr="005914B2">
          <w:rPr>
            <w:rStyle w:val="Hyperlink"/>
            <w:noProof/>
          </w:rPr>
          <w:t>Dichiarazione di conformità FCC</w:t>
        </w:r>
        <w:r w:rsidR="00785A01">
          <w:rPr>
            <w:noProof/>
            <w:webHidden/>
          </w:rPr>
          <w:tab/>
        </w:r>
        <w:r w:rsidR="00785A01">
          <w:rPr>
            <w:noProof/>
            <w:webHidden/>
          </w:rPr>
          <w:fldChar w:fldCharType="begin"/>
        </w:r>
        <w:r w:rsidR="00785A01">
          <w:rPr>
            <w:noProof/>
            <w:webHidden/>
          </w:rPr>
          <w:instrText xml:space="preserve"> PAGEREF _Toc147398208 \h </w:instrText>
        </w:r>
        <w:r w:rsidR="00785A01">
          <w:rPr>
            <w:noProof/>
            <w:webHidden/>
          </w:rPr>
        </w:r>
        <w:r w:rsidR="00785A01">
          <w:rPr>
            <w:noProof/>
            <w:webHidden/>
          </w:rPr>
          <w:fldChar w:fldCharType="separate"/>
        </w:r>
        <w:r w:rsidR="00785A01">
          <w:rPr>
            <w:noProof/>
            <w:webHidden/>
          </w:rPr>
          <w:t>9</w:t>
        </w:r>
        <w:r w:rsidR="00785A01">
          <w:rPr>
            <w:noProof/>
            <w:webHidden/>
          </w:rPr>
          <w:fldChar w:fldCharType="end"/>
        </w:r>
      </w:hyperlink>
    </w:p>
    <w:p w14:paraId="1AC495F2" w14:textId="6FF42A6D" w:rsidR="00785A01" w:rsidRDefault="00000000">
      <w:pPr>
        <w:pStyle w:val="TOC2"/>
        <w:rPr>
          <w:rFonts w:asciiTheme="minorHAnsi" w:eastAsiaTheme="minorEastAsia" w:hAnsiTheme="minorHAnsi" w:cstheme="minorBidi"/>
          <w:noProof/>
          <w:kern w:val="2"/>
          <w:lang w:val="en-US" w:eastAsia="en-US"/>
          <w14:ligatures w14:val="standardContextual"/>
        </w:rPr>
      </w:pPr>
      <w:hyperlink w:anchor="_Toc147398209" w:history="1">
        <w:r w:rsidR="00785A01" w:rsidRPr="005914B2">
          <w:rPr>
            <w:rStyle w:val="Hyperlink"/>
            <w:noProof/>
          </w:rPr>
          <w:t>Informazioni FCC destinate all'utente</w:t>
        </w:r>
        <w:r w:rsidR="00785A01">
          <w:rPr>
            <w:noProof/>
            <w:webHidden/>
          </w:rPr>
          <w:tab/>
        </w:r>
        <w:r w:rsidR="00785A01">
          <w:rPr>
            <w:noProof/>
            <w:webHidden/>
          </w:rPr>
          <w:fldChar w:fldCharType="begin"/>
        </w:r>
        <w:r w:rsidR="00785A01">
          <w:rPr>
            <w:noProof/>
            <w:webHidden/>
          </w:rPr>
          <w:instrText xml:space="preserve"> PAGEREF _Toc147398209 \h </w:instrText>
        </w:r>
        <w:r w:rsidR="00785A01">
          <w:rPr>
            <w:noProof/>
            <w:webHidden/>
          </w:rPr>
        </w:r>
        <w:r w:rsidR="00785A01">
          <w:rPr>
            <w:noProof/>
            <w:webHidden/>
          </w:rPr>
          <w:fldChar w:fldCharType="separate"/>
        </w:r>
        <w:r w:rsidR="00785A01">
          <w:rPr>
            <w:noProof/>
            <w:webHidden/>
          </w:rPr>
          <w:t>10</w:t>
        </w:r>
        <w:r w:rsidR="00785A01">
          <w:rPr>
            <w:noProof/>
            <w:webHidden/>
          </w:rPr>
          <w:fldChar w:fldCharType="end"/>
        </w:r>
      </w:hyperlink>
    </w:p>
    <w:p w14:paraId="02B9382A" w14:textId="20BF6A14" w:rsidR="00785A01" w:rsidRDefault="00000000">
      <w:pPr>
        <w:pStyle w:val="TOC2"/>
        <w:rPr>
          <w:rFonts w:asciiTheme="minorHAnsi" w:eastAsiaTheme="minorEastAsia" w:hAnsiTheme="minorHAnsi" w:cstheme="minorBidi"/>
          <w:noProof/>
          <w:kern w:val="2"/>
          <w:lang w:val="en-US" w:eastAsia="en-US"/>
          <w14:ligatures w14:val="standardContextual"/>
        </w:rPr>
      </w:pPr>
      <w:hyperlink w:anchor="_Toc147398210" w:history="1">
        <w:r w:rsidR="00785A01" w:rsidRPr="005914B2">
          <w:rPr>
            <w:rStyle w:val="Hyperlink"/>
            <w:noProof/>
          </w:rPr>
          <w:t>Istruzioni e avvertenze sulle frequenze radio FCC</w:t>
        </w:r>
        <w:r w:rsidR="00785A01">
          <w:rPr>
            <w:noProof/>
            <w:webHidden/>
          </w:rPr>
          <w:tab/>
        </w:r>
        <w:r w:rsidR="00785A01">
          <w:rPr>
            <w:noProof/>
            <w:webHidden/>
          </w:rPr>
          <w:fldChar w:fldCharType="begin"/>
        </w:r>
        <w:r w:rsidR="00785A01">
          <w:rPr>
            <w:noProof/>
            <w:webHidden/>
          </w:rPr>
          <w:instrText xml:space="preserve"> PAGEREF _Toc147398210 \h </w:instrText>
        </w:r>
        <w:r w:rsidR="00785A01">
          <w:rPr>
            <w:noProof/>
            <w:webHidden/>
          </w:rPr>
        </w:r>
        <w:r w:rsidR="00785A01">
          <w:rPr>
            <w:noProof/>
            <w:webHidden/>
          </w:rPr>
          <w:fldChar w:fldCharType="separate"/>
        </w:r>
        <w:r w:rsidR="00785A01">
          <w:rPr>
            <w:noProof/>
            <w:webHidden/>
          </w:rPr>
          <w:t>10</w:t>
        </w:r>
        <w:r w:rsidR="00785A01">
          <w:rPr>
            <w:noProof/>
            <w:webHidden/>
          </w:rPr>
          <w:fldChar w:fldCharType="end"/>
        </w:r>
      </w:hyperlink>
    </w:p>
    <w:p w14:paraId="16AC4F2B" w14:textId="3A7B6CE7" w:rsidR="00785A01" w:rsidRDefault="00000000" w:rsidP="00B74B1A">
      <w:pPr>
        <w:pStyle w:val="TOC3"/>
        <w:rPr>
          <w:rFonts w:asciiTheme="minorHAnsi" w:eastAsiaTheme="minorEastAsia" w:hAnsiTheme="minorHAnsi" w:cstheme="minorBidi"/>
          <w:noProof/>
          <w:kern w:val="2"/>
          <w:lang w:val="en-US" w:eastAsia="en-US"/>
          <w14:ligatures w14:val="standardContextual"/>
        </w:rPr>
      </w:pPr>
      <w:hyperlink w:anchor="_Toc147398211" w:history="1">
        <w:r w:rsidR="00785A01" w:rsidRPr="005914B2">
          <w:rPr>
            <w:rStyle w:val="Hyperlink"/>
            <w:noProof/>
          </w:rPr>
          <w:t>Utilizzo della selezione del codice del Paese (dispositivi WLAN)</w:t>
        </w:r>
        <w:r w:rsidR="00785A01">
          <w:rPr>
            <w:noProof/>
            <w:webHidden/>
          </w:rPr>
          <w:tab/>
        </w:r>
        <w:r w:rsidR="00785A01">
          <w:rPr>
            <w:noProof/>
            <w:webHidden/>
          </w:rPr>
          <w:fldChar w:fldCharType="begin"/>
        </w:r>
        <w:r w:rsidR="00785A01">
          <w:rPr>
            <w:noProof/>
            <w:webHidden/>
          </w:rPr>
          <w:instrText xml:space="preserve"> PAGEREF _Toc147398211 \h </w:instrText>
        </w:r>
        <w:r w:rsidR="00785A01">
          <w:rPr>
            <w:noProof/>
            <w:webHidden/>
          </w:rPr>
        </w:r>
        <w:r w:rsidR="00785A01">
          <w:rPr>
            <w:noProof/>
            <w:webHidden/>
          </w:rPr>
          <w:fldChar w:fldCharType="separate"/>
        </w:r>
        <w:r w:rsidR="00785A01">
          <w:rPr>
            <w:noProof/>
            <w:webHidden/>
          </w:rPr>
          <w:t>10</w:t>
        </w:r>
        <w:r w:rsidR="00785A01">
          <w:rPr>
            <w:noProof/>
            <w:webHidden/>
          </w:rPr>
          <w:fldChar w:fldCharType="end"/>
        </w:r>
      </w:hyperlink>
    </w:p>
    <w:p w14:paraId="6B65E908" w14:textId="50DBF95C" w:rsidR="00785A01" w:rsidRDefault="00000000" w:rsidP="00B74B1A">
      <w:pPr>
        <w:pStyle w:val="TOC3"/>
        <w:rPr>
          <w:rFonts w:asciiTheme="minorHAnsi" w:eastAsiaTheme="minorEastAsia" w:hAnsiTheme="minorHAnsi" w:cstheme="minorBidi"/>
          <w:noProof/>
          <w:kern w:val="2"/>
          <w:lang w:val="en-US" w:eastAsia="en-US"/>
          <w14:ligatures w14:val="standardContextual"/>
        </w:rPr>
      </w:pPr>
      <w:hyperlink w:anchor="_Toc147398212" w:history="1">
        <w:r w:rsidR="00785A01" w:rsidRPr="005914B2">
          <w:rPr>
            <w:rStyle w:val="Hyperlink"/>
            <w:noProof/>
          </w:rPr>
          <w:t>Dispositivi Wi-Fi da 5,9 e 6 GHz</w:t>
        </w:r>
        <w:r w:rsidR="00785A01">
          <w:rPr>
            <w:noProof/>
            <w:webHidden/>
          </w:rPr>
          <w:tab/>
        </w:r>
        <w:r w:rsidR="00785A01">
          <w:rPr>
            <w:noProof/>
            <w:webHidden/>
          </w:rPr>
          <w:fldChar w:fldCharType="begin"/>
        </w:r>
        <w:r w:rsidR="00785A01">
          <w:rPr>
            <w:noProof/>
            <w:webHidden/>
          </w:rPr>
          <w:instrText xml:space="preserve"> PAGEREF _Toc147398212 \h </w:instrText>
        </w:r>
        <w:r w:rsidR="00785A01">
          <w:rPr>
            <w:noProof/>
            <w:webHidden/>
          </w:rPr>
        </w:r>
        <w:r w:rsidR="00785A01">
          <w:rPr>
            <w:noProof/>
            <w:webHidden/>
          </w:rPr>
          <w:fldChar w:fldCharType="separate"/>
        </w:r>
        <w:r w:rsidR="00785A01">
          <w:rPr>
            <w:noProof/>
            <w:webHidden/>
          </w:rPr>
          <w:t>10</w:t>
        </w:r>
        <w:r w:rsidR="00785A01">
          <w:rPr>
            <w:noProof/>
            <w:webHidden/>
          </w:rPr>
          <w:fldChar w:fldCharType="end"/>
        </w:r>
      </w:hyperlink>
    </w:p>
    <w:p w14:paraId="3FA9C288" w14:textId="3F32CF4C" w:rsidR="00785A01" w:rsidRDefault="00000000">
      <w:pPr>
        <w:pStyle w:val="TOC2"/>
        <w:rPr>
          <w:rFonts w:asciiTheme="minorHAnsi" w:eastAsiaTheme="minorEastAsia" w:hAnsiTheme="minorHAnsi" w:cstheme="minorBidi"/>
          <w:noProof/>
          <w:kern w:val="2"/>
          <w:lang w:val="en-US" w:eastAsia="en-US"/>
          <w14:ligatures w14:val="standardContextual"/>
        </w:rPr>
      </w:pPr>
      <w:hyperlink w:anchor="_Toc147398213" w:history="1">
        <w:r w:rsidR="00785A01" w:rsidRPr="005914B2">
          <w:rPr>
            <w:rStyle w:val="Hyperlink"/>
            <w:noProof/>
          </w:rPr>
          <w:t>Dichiarazioni FCC sull'esposizione alle radiofrequenze e informative SAR</w:t>
        </w:r>
        <w:r w:rsidR="00785A01">
          <w:rPr>
            <w:noProof/>
            <w:webHidden/>
          </w:rPr>
          <w:tab/>
        </w:r>
        <w:r w:rsidR="00785A01">
          <w:rPr>
            <w:noProof/>
            <w:webHidden/>
          </w:rPr>
          <w:fldChar w:fldCharType="begin"/>
        </w:r>
        <w:r w:rsidR="00785A01">
          <w:rPr>
            <w:noProof/>
            <w:webHidden/>
          </w:rPr>
          <w:instrText xml:space="preserve"> PAGEREF _Toc147398213 \h </w:instrText>
        </w:r>
        <w:r w:rsidR="00785A01">
          <w:rPr>
            <w:noProof/>
            <w:webHidden/>
          </w:rPr>
        </w:r>
        <w:r w:rsidR="00785A01">
          <w:rPr>
            <w:noProof/>
            <w:webHidden/>
          </w:rPr>
          <w:fldChar w:fldCharType="separate"/>
        </w:r>
        <w:r w:rsidR="00785A01">
          <w:rPr>
            <w:noProof/>
            <w:webHidden/>
          </w:rPr>
          <w:t>10</w:t>
        </w:r>
        <w:r w:rsidR="00785A01">
          <w:rPr>
            <w:noProof/>
            <w:webHidden/>
          </w:rPr>
          <w:fldChar w:fldCharType="end"/>
        </w:r>
      </w:hyperlink>
    </w:p>
    <w:p w14:paraId="6E98A129" w14:textId="3DCD932C" w:rsidR="00785A01" w:rsidRDefault="00000000" w:rsidP="00B74B1A">
      <w:pPr>
        <w:pStyle w:val="TOC3"/>
        <w:rPr>
          <w:rFonts w:asciiTheme="minorHAnsi" w:eastAsiaTheme="minorEastAsia" w:hAnsiTheme="minorHAnsi" w:cstheme="minorBidi"/>
          <w:noProof/>
          <w:kern w:val="2"/>
          <w:lang w:val="en-US" w:eastAsia="en-US"/>
          <w14:ligatures w14:val="standardContextual"/>
        </w:rPr>
      </w:pPr>
      <w:hyperlink w:anchor="_Toc147398214" w:history="1">
        <w:r w:rsidR="00785A01" w:rsidRPr="005914B2">
          <w:rPr>
            <w:rStyle w:val="Hyperlink"/>
            <w:noProof/>
          </w:rPr>
          <w:t>Le informazioni contenute in questa sezione si applicano ai prodotti che trasmettono dati o comunicano in modalità wireless - Dichiarazione SAR</w:t>
        </w:r>
        <w:r w:rsidR="00785A01">
          <w:rPr>
            <w:noProof/>
            <w:webHidden/>
          </w:rPr>
          <w:tab/>
        </w:r>
        <w:r w:rsidR="00785A01">
          <w:rPr>
            <w:noProof/>
            <w:webHidden/>
          </w:rPr>
          <w:fldChar w:fldCharType="begin"/>
        </w:r>
        <w:r w:rsidR="00785A01">
          <w:rPr>
            <w:noProof/>
            <w:webHidden/>
          </w:rPr>
          <w:instrText xml:space="preserve"> PAGEREF _Toc147398214 \h </w:instrText>
        </w:r>
        <w:r w:rsidR="00785A01">
          <w:rPr>
            <w:noProof/>
            <w:webHidden/>
          </w:rPr>
        </w:r>
        <w:r w:rsidR="00785A01">
          <w:rPr>
            <w:noProof/>
            <w:webHidden/>
          </w:rPr>
          <w:fldChar w:fldCharType="separate"/>
        </w:r>
        <w:r w:rsidR="00785A01">
          <w:rPr>
            <w:noProof/>
            <w:webHidden/>
          </w:rPr>
          <w:t>10</w:t>
        </w:r>
        <w:r w:rsidR="00785A01">
          <w:rPr>
            <w:noProof/>
            <w:webHidden/>
          </w:rPr>
          <w:fldChar w:fldCharType="end"/>
        </w:r>
      </w:hyperlink>
    </w:p>
    <w:p w14:paraId="706BA637" w14:textId="5B92F594" w:rsidR="00785A01" w:rsidRDefault="00000000" w:rsidP="00B74B1A">
      <w:pPr>
        <w:pStyle w:val="TOC3"/>
        <w:rPr>
          <w:rFonts w:asciiTheme="minorHAnsi" w:eastAsiaTheme="minorEastAsia" w:hAnsiTheme="minorHAnsi" w:cstheme="minorBidi"/>
          <w:noProof/>
          <w:kern w:val="2"/>
          <w:lang w:val="en-US" w:eastAsia="en-US"/>
          <w14:ligatures w14:val="standardContextual"/>
        </w:rPr>
      </w:pPr>
      <w:hyperlink w:anchor="_Toc147398215" w:history="1">
        <w:r w:rsidR="00785A01" w:rsidRPr="005914B2">
          <w:rPr>
            <w:rStyle w:val="Hyperlink"/>
            <w:noProof/>
          </w:rPr>
          <w:t>Dichiarazione sull'esposizione massima consentita (MPE)</w:t>
        </w:r>
        <w:r w:rsidR="00785A01">
          <w:rPr>
            <w:noProof/>
            <w:webHidden/>
          </w:rPr>
          <w:tab/>
        </w:r>
        <w:r w:rsidR="00785A01">
          <w:rPr>
            <w:noProof/>
            <w:webHidden/>
          </w:rPr>
          <w:fldChar w:fldCharType="begin"/>
        </w:r>
        <w:r w:rsidR="00785A01">
          <w:rPr>
            <w:noProof/>
            <w:webHidden/>
          </w:rPr>
          <w:instrText xml:space="preserve"> PAGEREF _Toc147398215 \h </w:instrText>
        </w:r>
        <w:r w:rsidR="00785A01">
          <w:rPr>
            <w:noProof/>
            <w:webHidden/>
          </w:rPr>
        </w:r>
        <w:r w:rsidR="00785A01">
          <w:rPr>
            <w:noProof/>
            <w:webHidden/>
          </w:rPr>
          <w:fldChar w:fldCharType="separate"/>
        </w:r>
        <w:r w:rsidR="00785A01">
          <w:rPr>
            <w:noProof/>
            <w:webHidden/>
          </w:rPr>
          <w:t>12</w:t>
        </w:r>
        <w:r w:rsidR="00785A01">
          <w:rPr>
            <w:noProof/>
            <w:webHidden/>
          </w:rPr>
          <w:fldChar w:fldCharType="end"/>
        </w:r>
      </w:hyperlink>
    </w:p>
    <w:p w14:paraId="6CD483CA" w14:textId="6032CCAF" w:rsidR="00785A01" w:rsidRDefault="00000000">
      <w:pPr>
        <w:pStyle w:val="TOC2"/>
        <w:rPr>
          <w:rFonts w:asciiTheme="minorHAnsi" w:eastAsiaTheme="minorEastAsia" w:hAnsiTheme="minorHAnsi" w:cstheme="minorBidi"/>
          <w:noProof/>
          <w:kern w:val="2"/>
          <w:lang w:val="en-US" w:eastAsia="en-US"/>
          <w14:ligatures w14:val="standardContextual"/>
        </w:rPr>
      </w:pPr>
      <w:hyperlink w:anchor="_Toc147398216" w:history="1">
        <w:r w:rsidR="00785A01" w:rsidRPr="005914B2">
          <w:rPr>
            <w:rStyle w:val="Hyperlink"/>
            <w:noProof/>
          </w:rPr>
          <w:t>Precauzioni specifiche per EMC</w:t>
        </w:r>
        <w:r w:rsidR="00785A01">
          <w:rPr>
            <w:noProof/>
            <w:webHidden/>
          </w:rPr>
          <w:tab/>
        </w:r>
        <w:r w:rsidR="00785A01">
          <w:rPr>
            <w:noProof/>
            <w:webHidden/>
          </w:rPr>
          <w:fldChar w:fldCharType="begin"/>
        </w:r>
        <w:r w:rsidR="00785A01">
          <w:rPr>
            <w:noProof/>
            <w:webHidden/>
          </w:rPr>
          <w:instrText xml:space="preserve"> PAGEREF _Toc147398216 \h </w:instrText>
        </w:r>
        <w:r w:rsidR="00785A01">
          <w:rPr>
            <w:noProof/>
            <w:webHidden/>
          </w:rPr>
        </w:r>
        <w:r w:rsidR="00785A01">
          <w:rPr>
            <w:noProof/>
            <w:webHidden/>
          </w:rPr>
          <w:fldChar w:fldCharType="separate"/>
        </w:r>
        <w:r w:rsidR="00785A01">
          <w:rPr>
            <w:noProof/>
            <w:webHidden/>
          </w:rPr>
          <w:t>12</w:t>
        </w:r>
        <w:r w:rsidR="00785A01">
          <w:rPr>
            <w:noProof/>
            <w:webHidden/>
          </w:rPr>
          <w:fldChar w:fldCharType="end"/>
        </w:r>
      </w:hyperlink>
    </w:p>
    <w:p w14:paraId="2FD0C74F" w14:textId="2F4E379C" w:rsidR="00785A01" w:rsidRDefault="00000000" w:rsidP="00B74B1A">
      <w:pPr>
        <w:pStyle w:val="TOC3"/>
        <w:rPr>
          <w:rFonts w:asciiTheme="minorHAnsi" w:eastAsiaTheme="minorEastAsia" w:hAnsiTheme="minorHAnsi" w:cstheme="minorBidi"/>
          <w:noProof/>
          <w:kern w:val="2"/>
          <w:lang w:val="en-US" w:eastAsia="en-US"/>
          <w14:ligatures w14:val="standardContextual"/>
        </w:rPr>
      </w:pPr>
      <w:hyperlink w:anchor="_Toc147398217" w:history="1">
        <w:r w:rsidR="00785A01" w:rsidRPr="005914B2">
          <w:rPr>
            <w:rStyle w:val="Hyperlink"/>
            <w:noProof/>
          </w:rPr>
          <w:t>Prodotti di classe B</w:t>
        </w:r>
        <w:r w:rsidR="00785A01">
          <w:rPr>
            <w:noProof/>
            <w:webHidden/>
          </w:rPr>
          <w:tab/>
        </w:r>
        <w:r w:rsidR="00785A01">
          <w:rPr>
            <w:noProof/>
            <w:webHidden/>
          </w:rPr>
          <w:fldChar w:fldCharType="begin"/>
        </w:r>
        <w:r w:rsidR="00785A01">
          <w:rPr>
            <w:noProof/>
            <w:webHidden/>
          </w:rPr>
          <w:instrText xml:space="preserve"> PAGEREF _Toc147398217 \h </w:instrText>
        </w:r>
        <w:r w:rsidR="00785A01">
          <w:rPr>
            <w:noProof/>
            <w:webHidden/>
          </w:rPr>
        </w:r>
        <w:r w:rsidR="00785A01">
          <w:rPr>
            <w:noProof/>
            <w:webHidden/>
          </w:rPr>
          <w:fldChar w:fldCharType="separate"/>
        </w:r>
        <w:r w:rsidR="00785A01">
          <w:rPr>
            <w:noProof/>
            <w:webHidden/>
          </w:rPr>
          <w:t>12</w:t>
        </w:r>
        <w:r w:rsidR="00785A01">
          <w:rPr>
            <w:noProof/>
            <w:webHidden/>
          </w:rPr>
          <w:fldChar w:fldCharType="end"/>
        </w:r>
      </w:hyperlink>
    </w:p>
    <w:p w14:paraId="777ADCF7" w14:textId="3576832B" w:rsidR="00785A01" w:rsidRDefault="00000000" w:rsidP="00B74B1A">
      <w:pPr>
        <w:pStyle w:val="TOC3"/>
        <w:rPr>
          <w:rFonts w:asciiTheme="minorHAnsi" w:eastAsiaTheme="minorEastAsia" w:hAnsiTheme="minorHAnsi" w:cstheme="minorBidi"/>
          <w:noProof/>
          <w:kern w:val="2"/>
          <w:lang w:val="en-US" w:eastAsia="en-US"/>
          <w14:ligatures w14:val="standardContextual"/>
        </w:rPr>
      </w:pPr>
      <w:hyperlink w:anchor="_Toc147398218" w:history="1">
        <w:r w:rsidR="00785A01" w:rsidRPr="005914B2">
          <w:rPr>
            <w:rStyle w:val="Hyperlink"/>
            <w:noProof/>
          </w:rPr>
          <w:t>Prodotti di classe A</w:t>
        </w:r>
        <w:r w:rsidR="00785A01">
          <w:rPr>
            <w:noProof/>
            <w:webHidden/>
          </w:rPr>
          <w:tab/>
        </w:r>
        <w:r w:rsidR="00785A01">
          <w:rPr>
            <w:noProof/>
            <w:webHidden/>
          </w:rPr>
          <w:fldChar w:fldCharType="begin"/>
        </w:r>
        <w:r w:rsidR="00785A01">
          <w:rPr>
            <w:noProof/>
            <w:webHidden/>
          </w:rPr>
          <w:instrText xml:space="preserve"> PAGEREF _Toc147398218 \h </w:instrText>
        </w:r>
        <w:r w:rsidR="00785A01">
          <w:rPr>
            <w:noProof/>
            <w:webHidden/>
          </w:rPr>
        </w:r>
        <w:r w:rsidR="00785A01">
          <w:rPr>
            <w:noProof/>
            <w:webHidden/>
          </w:rPr>
          <w:fldChar w:fldCharType="separate"/>
        </w:r>
        <w:r w:rsidR="00785A01">
          <w:rPr>
            <w:noProof/>
            <w:webHidden/>
          </w:rPr>
          <w:t>12</w:t>
        </w:r>
        <w:r w:rsidR="00785A01">
          <w:rPr>
            <w:noProof/>
            <w:webHidden/>
          </w:rPr>
          <w:fldChar w:fldCharType="end"/>
        </w:r>
      </w:hyperlink>
    </w:p>
    <w:p w14:paraId="3F7BE392" w14:textId="2FD6A5BE" w:rsidR="00785A01" w:rsidRDefault="00000000">
      <w:pPr>
        <w:pStyle w:val="TOC1"/>
        <w:rPr>
          <w:rFonts w:asciiTheme="minorHAnsi" w:eastAsiaTheme="minorEastAsia" w:hAnsiTheme="minorHAnsi" w:cstheme="minorBidi"/>
          <w:noProof/>
          <w:kern w:val="2"/>
          <w:lang w:val="en-US" w:eastAsia="en-US"/>
          <w14:ligatures w14:val="standardContextual"/>
        </w:rPr>
      </w:pPr>
      <w:hyperlink w:anchor="_Toc147398219" w:history="1">
        <w:r w:rsidR="00785A01" w:rsidRPr="005914B2">
          <w:rPr>
            <w:rStyle w:val="Hyperlink"/>
            <w:noProof/>
          </w:rPr>
          <w:t>Disposizioni dell'ISED (Innovation, Science and Economic Development) canadese</w:t>
        </w:r>
        <w:r w:rsidR="00785A01">
          <w:rPr>
            <w:noProof/>
            <w:webHidden/>
          </w:rPr>
          <w:tab/>
        </w:r>
        <w:r w:rsidR="00785A01">
          <w:rPr>
            <w:noProof/>
            <w:webHidden/>
          </w:rPr>
          <w:fldChar w:fldCharType="begin"/>
        </w:r>
        <w:r w:rsidR="00785A01">
          <w:rPr>
            <w:noProof/>
            <w:webHidden/>
          </w:rPr>
          <w:instrText xml:space="preserve"> PAGEREF _Toc147398219 \h </w:instrText>
        </w:r>
        <w:r w:rsidR="00785A01">
          <w:rPr>
            <w:noProof/>
            <w:webHidden/>
          </w:rPr>
        </w:r>
        <w:r w:rsidR="00785A01">
          <w:rPr>
            <w:noProof/>
            <w:webHidden/>
          </w:rPr>
          <w:fldChar w:fldCharType="separate"/>
        </w:r>
        <w:r w:rsidR="00785A01">
          <w:rPr>
            <w:noProof/>
            <w:webHidden/>
          </w:rPr>
          <w:t>13</w:t>
        </w:r>
        <w:r w:rsidR="00785A01">
          <w:rPr>
            <w:noProof/>
            <w:webHidden/>
          </w:rPr>
          <w:fldChar w:fldCharType="end"/>
        </w:r>
      </w:hyperlink>
    </w:p>
    <w:p w14:paraId="0ED62AFD" w14:textId="5B0DBE6F" w:rsidR="00785A01" w:rsidRDefault="00000000">
      <w:pPr>
        <w:pStyle w:val="TOC2"/>
        <w:rPr>
          <w:rFonts w:asciiTheme="minorHAnsi" w:eastAsiaTheme="minorEastAsia" w:hAnsiTheme="minorHAnsi" w:cstheme="minorBidi"/>
          <w:noProof/>
          <w:kern w:val="2"/>
          <w:lang w:val="en-US" w:eastAsia="en-US"/>
          <w14:ligatures w14:val="standardContextual"/>
        </w:rPr>
      </w:pPr>
      <w:hyperlink w:anchor="_Toc147398220" w:history="1">
        <w:r w:rsidR="00785A01" w:rsidRPr="005914B2">
          <w:rPr>
            <w:rStyle w:val="Hyperlink"/>
            <w:noProof/>
          </w:rPr>
          <w:t>Istruzioni e avvertenze sulle frequenze radio</w:t>
        </w:r>
        <w:r w:rsidR="00785A01">
          <w:rPr>
            <w:noProof/>
            <w:webHidden/>
          </w:rPr>
          <w:tab/>
        </w:r>
        <w:r w:rsidR="00785A01">
          <w:rPr>
            <w:noProof/>
            <w:webHidden/>
          </w:rPr>
          <w:fldChar w:fldCharType="begin"/>
        </w:r>
        <w:r w:rsidR="00785A01">
          <w:rPr>
            <w:noProof/>
            <w:webHidden/>
          </w:rPr>
          <w:instrText xml:space="preserve"> PAGEREF _Toc147398220 \h </w:instrText>
        </w:r>
        <w:r w:rsidR="00785A01">
          <w:rPr>
            <w:noProof/>
            <w:webHidden/>
          </w:rPr>
        </w:r>
        <w:r w:rsidR="00785A01">
          <w:rPr>
            <w:noProof/>
            <w:webHidden/>
          </w:rPr>
          <w:fldChar w:fldCharType="separate"/>
        </w:r>
        <w:r w:rsidR="00785A01">
          <w:rPr>
            <w:noProof/>
            <w:webHidden/>
          </w:rPr>
          <w:t>13</w:t>
        </w:r>
        <w:r w:rsidR="00785A01">
          <w:rPr>
            <w:noProof/>
            <w:webHidden/>
          </w:rPr>
          <w:fldChar w:fldCharType="end"/>
        </w:r>
      </w:hyperlink>
    </w:p>
    <w:p w14:paraId="493BE24F" w14:textId="6BCAF50A" w:rsidR="00785A01" w:rsidRDefault="00000000">
      <w:pPr>
        <w:pStyle w:val="TOC2"/>
        <w:rPr>
          <w:rFonts w:asciiTheme="minorHAnsi" w:eastAsiaTheme="minorEastAsia" w:hAnsiTheme="minorHAnsi" w:cstheme="minorBidi"/>
          <w:noProof/>
          <w:kern w:val="2"/>
          <w:lang w:val="en-US" w:eastAsia="en-US"/>
          <w14:ligatures w14:val="standardContextual"/>
        </w:rPr>
      </w:pPr>
      <w:hyperlink w:anchor="_Toc147398221" w:history="1">
        <w:r w:rsidR="00785A01" w:rsidRPr="005914B2">
          <w:rPr>
            <w:rStyle w:val="Hyperlink"/>
            <w:noProof/>
          </w:rPr>
          <w:t>NOTA IMPORTANTE: Dichiarazione sull'esposizione alle radiazioni</w:t>
        </w:r>
        <w:r w:rsidR="00785A01">
          <w:rPr>
            <w:noProof/>
            <w:webHidden/>
          </w:rPr>
          <w:tab/>
        </w:r>
        <w:r w:rsidR="00785A01">
          <w:rPr>
            <w:noProof/>
            <w:webHidden/>
          </w:rPr>
          <w:fldChar w:fldCharType="begin"/>
        </w:r>
        <w:r w:rsidR="00785A01">
          <w:rPr>
            <w:noProof/>
            <w:webHidden/>
          </w:rPr>
          <w:instrText xml:space="preserve"> PAGEREF _Toc147398221 \h </w:instrText>
        </w:r>
        <w:r w:rsidR="00785A01">
          <w:rPr>
            <w:noProof/>
            <w:webHidden/>
          </w:rPr>
        </w:r>
        <w:r w:rsidR="00785A01">
          <w:rPr>
            <w:noProof/>
            <w:webHidden/>
          </w:rPr>
          <w:fldChar w:fldCharType="separate"/>
        </w:r>
        <w:r w:rsidR="00785A01">
          <w:rPr>
            <w:noProof/>
            <w:webHidden/>
          </w:rPr>
          <w:t>14</w:t>
        </w:r>
        <w:r w:rsidR="00785A01">
          <w:rPr>
            <w:noProof/>
            <w:webHidden/>
          </w:rPr>
          <w:fldChar w:fldCharType="end"/>
        </w:r>
      </w:hyperlink>
    </w:p>
    <w:p w14:paraId="1965C598" w14:textId="63ADCDC5" w:rsidR="00785A01" w:rsidRDefault="00000000" w:rsidP="00B74B1A">
      <w:pPr>
        <w:pStyle w:val="TOC3"/>
        <w:rPr>
          <w:rFonts w:asciiTheme="minorHAnsi" w:eastAsiaTheme="minorEastAsia" w:hAnsiTheme="minorHAnsi" w:cstheme="minorBidi"/>
          <w:noProof/>
          <w:kern w:val="2"/>
          <w:lang w:val="en-US" w:eastAsia="en-US"/>
          <w14:ligatures w14:val="standardContextual"/>
        </w:rPr>
      </w:pPr>
      <w:hyperlink w:anchor="_Toc147398222" w:history="1">
        <w:r w:rsidR="00785A01" w:rsidRPr="005914B2">
          <w:rPr>
            <w:rStyle w:val="Hyperlink"/>
            <w:noProof/>
          </w:rPr>
          <w:t>Avvertenza SAR:</w:t>
        </w:r>
        <w:r w:rsidR="00785A01">
          <w:rPr>
            <w:noProof/>
            <w:webHidden/>
          </w:rPr>
          <w:tab/>
        </w:r>
        <w:r w:rsidR="00785A01">
          <w:rPr>
            <w:noProof/>
            <w:webHidden/>
          </w:rPr>
          <w:fldChar w:fldCharType="begin"/>
        </w:r>
        <w:r w:rsidR="00785A01">
          <w:rPr>
            <w:noProof/>
            <w:webHidden/>
          </w:rPr>
          <w:instrText xml:space="preserve"> PAGEREF _Toc147398222 \h </w:instrText>
        </w:r>
        <w:r w:rsidR="00785A01">
          <w:rPr>
            <w:noProof/>
            <w:webHidden/>
          </w:rPr>
        </w:r>
        <w:r w:rsidR="00785A01">
          <w:rPr>
            <w:noProof/>
            <w:webHidden/>
          </w:rPr>
          <w:fldChar w:fldCharType="separate"/>
        </w:r>
        <w:r w:rsidR="00785A01">
          <w:rPr>
            <w:noProof/>
            <w:webHidden/>
          </w:rPr>
          <w:t>14</w:t>
        </w:r>
        <w:r w:rsidR="00785A01">
          <w:rPr>
            <w:noProof/>
            <w:webHidden/>
          </w:rPr>
          <w:fldChar w:fldCharType="end"/>
        </w:r>
      </w:hyperlink>
    </w:p>
    <w:p w14:paraId="705A2A56" w14:textId="15708FF2" w:rsidR="00785A01" w:rsidRDefault="00000000" w:rsidP="00B74B1A">
      <w:pPr>
        <w:pStyle w:val="TOC3"/>
        <w:rPr>
          <w:rFonts w:asciiTheme="minorHAnsi" w:eastAsiaTheme="minorEastAsia" w:hAnsiTheme="minorHAnsi" w:cstheme="minorBidi"/>
          <w:noProof/>
          <w:kern w:val="2"/>
          <w:lang w:val="en-US" w:eastAsia="en-US"/>
          <w14:ligatures w14:val="standardContextual"/>
        </w:rPr>
      </w:pPr>
      <w:hyperlink w:anchor="_Toc147398223" w:history="1">
        <w:r w:rsidR="00785A01" w:rsidRPr="005914B2">
          <w:rPr>
            <w:rStyle w:val="Hyperlink"/>
            <w:noProof/>
          </w:rPr>
          <w:t>Dichiarazione sull'esposizione massima consentita (MPE)</w:t>
        </w:r>
        <w:r w:rsidR="00785A01">
          <w:rPr>
            <w:noProof/>
            <w:webHidden/>
          </w:rPr>
          <w:tab/>
        </w:r>
        <w:r w:rsidR="00785A01">
          <w:rPr>
            <w:noProof/>
            <w:webHidden/>
          </w:rPr>
          <w:fldChar w:fldCharType="begin"/>
        </w:r>
        <w:r w:rsidR="00785A01">
          <w:rPr>
            <w:noProof/>
            <w:webHidden/>
          </w:rPr>
          <w:instrText xml:space="preserve"> PAGEREF _Toc147398223 \h </w:instrText>
        </w:r>
        <w:r w:rsidR="00785A01">
          <w:rPr>
            <w:noProof/>
            <w:webHidden/>
          </w:rPr>
        </w:r>
        <w:r w:rsidR="00785A01">
          <w:rPr>
            <w:noProof/>
            <w:webHidden/>
          </w:rPr>
          <w:fldChar w:fldCharType="separate"/>
        </w:r>
        <w:r w:rsidR="00785A01">
          <w:rPr>
            <w:noProof/>
            <w:webHidden/>
          </w:rPr>
          <w:t>14</w:t>
        </w:r>
        <w:r w:rsidR="00785A01">
          <w:rPr>
            <w:noProof/>
            <w:webHidden/>
          </w:rPr>
          <w:fldChar w:fldCharType="end"/>
        </w:r>
      </w:hyperlink>
    </w:p>
    <w:p w14:paraId="4E172871" w14:textId="69C81B61" w:rsidR="00785A01" w:rsidRDefault="00000000">
      <w:pPr>
        <w:pStyle w:val="TOC2"/>
        <w:rPr>
          <w:rFonts w:asciiTheme="minorHAnsi" w:eastAsiaTheme="minorEastAsia" w:hAnsiTheme="minorHAnsi" w:cstheme="minorBidi"/>
          <w:noProof/>
          <w:kern w:val="2"/>
          <w:lang w:val="en-US" w:eastAsia="en-US"/>
          <w14:ligatures w14:val="standardContextual"/>
        </w:rPr>
      </w:pPr>
      <w:hyperlink w:anchor="_Toc147398224" w:history="1">
        <w:r w:rsidR="00785A01" w:rsidRPr="005914B2">
          <w:rPr>
            <w:rStyle w:val="Hyperlink"/>
            <w:noProof/>
          </w:rPr>
          <w:t>Tabella di riduzione delle interferenze</w:t>
        </w:r>
        <w:r w:rsidR="00785A01">
          <w:rPr>
            <w:noProof/>
            <w:webHidden/>
          </w:rPr>
          <w:tab/>
        </w:r>
        <w:r w:rsidR="00785A01">
          <w:rPr>
            <w:noProof/>
            <w:webHidden/>
          </w:rPr>
          <w:fldChar w:fldCharType="begin"/>
        </w:r>
        <w:r w:rsidR="00785A01">
          <w:rPr>
            <w:noProof/>
            <w:webHidden/>
          </w:rPr>
          <w:instrText xml:space="preserve"> PAGEREF _Toc147398224 \h </w:instrText>
        </w:r>
        <w:r w:rsidR="00785A01">
          <w:rPr>
            <w:noProof/>
            <w:webHidden/>
          </w:rPr>
        </w:r>
        <w:r w:rsidR="00785A01">
          <w:rPr>
            <w:noProof/>
            <w:webHidden/>
          </w:rPr>
          <w:fldChar w:fldCharType="separate"/>
        </w:r>
        <w:r w:rsidR="00785A01">
          <w:rPr>
            <w:noProof/>
            <w:webHidden/>
          </w:rPr>
          <w:t>14</w:t>
        </w:r>
        <w:r w:rsidR="00785A01">
          <w:rPr>
            <w:noProof/>
            <w:webHidden/>
          </w:rPr>
          <w:fldChar w:fldCharType="end"/>
        </w:r>
      </w:hyperlink>
    </w:p>
    <w:p w14:paraId="697752FC" w14:textId="219E3777" w:rsidR="00785A01" w:rsidRDefault="00000000">
      <w:pPr>
        <w:pStyle w:val="TOC1"/>
        <w:rPr>
          <w:rFonts w:asciiTheme="minorHAnsi" w:eastAsiaTheme="minorEastAsia" w:hAnsiTheme="minorHAnsi" w:cstheme="minorBidi"/>
          <w:noProof/>
          <w:kern w:val="2"/>
          <w:lang w:val="en-US" w:eastAsia="en-US"/>
          <w14:ligatures w14:val="standardContextual"/>
        </w:rPr>
      </w:pPr>
      <w:hyperlink w:anchor="_Toc147398225" w:history="1">
        <w:r w:rsidR="00785A01" w:rsidRPr="005914B2">
          <w:rPr>
            <w:rStyle w:val="Hyperlink"/>
            <w:noProof/>
          </w:rPr>
          <w:t>REQUISITI SULL'ETICHETTA DELLA CONFEZIONE DELLA BATTERIA AGLI IONI DI LITIO E AL LITIO-METALLO</w:t>
        </w:r>
        <w:r w:rsidR="00785A01">
          <w:rPr>
            <w:noProof/>
            <w:webHidden/>
          </w:rPr>
          <w:tab/>
        </w:r>
        <w:r w:rsidR="00785A01">
          <w:rPr>
            <w:noProof/>
            <w:webHidden/>
          </w:rPr>
          <w:fldChar w:fldCharType="begin"/>
        </w:r>
        <w:r w:rsidR="00785A01">
          <w:rPr>
            <w:noProof/>
            <w:webHidden/>
          </w:rPr>
          <w:instrText xml:space="preserve"> PAGEREF _Toc147398225 \h </w:instrText>
        </w:r>
        <w:r w:rsidR="00785A01">
          <w:rPr>
            <w:noProof/>
            <w:webHidden/>
          </w:rPr>
        </w:r>
        <w:r w:rsidR="00785A01">
          <w:rPr>
            <w:noProof/>
            <w:webHidden/>
          </w:rPr>
          <w:fldChar w:fldCharType="separate"/>
        </w:r>
        <w:r w:rsidR="00785A01">
          <w:rPr>
            <w:noProof/>
            <w:webHidden/>
          </w:rPr>
          <w:t>15</w:t>
        </w:r>
        <w:r w:rsidR="00785A01">
          <w:rPr>
            <w:noProof/>
            <w:webHidden/>
          </w:rPr>
          <w:fldChar w:fldCharType="end"/>
        </w:r>
      </w:hyperlink>
    </w:p>
    <w:p w14:paraId="21B788E2" w14:textId="00E33C36" w:rsidR="00785A01" w:rsidRDefault="00000000" w:rsidP="00B74B1A">
      <w:pPr>
        <w:pStyle w:val="TOC3"/>
        <w:rPr>
          <w:rFonts w:asciiTheme="minorHAnsi" w:eastAsiaTheme="minorEastAsia" w:hAnsiTheme="minorHAnsi" w:cstheme="minorBidi"/>
          <w:noProof/>
          <w:kern w:val="2"/>
          <w:lang w:val="en-US" w:eastAsia="en-US"/>
          <w14:ligatures w14:val="standardContextual"/>
        </w:rPr>
      </w:pPr>
      <w:hyperlink w:anchor="_Toc147398226" w:history="1">
        <w:r w:rsidR="00785A01" w:rsidRPr="005914B2">
          <w:rPr>
            <w:rStyle w:val="Hyperlink"/>
            <w:noProof/>
          </w:rPr>
          <w:t>Batterie agli ioni di litio e al litio-metallo</w:t>
        </w:r>
        <w:r w:rsidR="00785A01">
          <w:rPr>
            <w:noProof/>
            <w:webHidden/>
          </w:rPr>
          <w:tab/>
        </w:r>
        <w:r w:rsidR="00785A01">
          <w:rPr>
            <w:noProof/>
            <w:webHidden/>
          </w:rPr>
          <w:fldChar w:fldCharType="begin"/>
        </w:r>
        <w:r w:rsidR="00785A01">
          <w:rPr>
            <w:noProof/>
            <w:webHidden/>
          </w:rPr>
          <w:instrText xml:space="preserve"> PAGEREF _Toc147398226 \h </w:instrText>
        </w:r>
        <w:r w:rsidR="00785A01">
          <w:rPr>
            <w:noProof/>
            <w:webHidden/>
          </w:rPr>
        </w:r>
        <w:r w:rsidR="00785A01">
          <w:rPr>
            <w:noProof/>
            <w:webHidden/>
          </w:rPr>
          <w:fldChar w:fldCharType="separate"/>
        </w:r>
        <w:r w:rsidR="00785A01">
          <w:rPr>
            <w:noProof/>
            <w:webHidden/>
          </w:rPr>
          <w:t>15</w:t>
        </w:r>
        <w:r w:rsidR="00785A01">
          <w:rPr>
            <w:noProof/>
            <w:webHidden/>
          </w:rPr>
          <w:fldChar w:fldCharType="end"/>
        </w:r>
      </w:hyperlink>
    </w:p>
    <w:p w14:paraId="190AF8D5" w14:textId="35F30F46" w:rsidR="00785A01" w:rsidRDefault="00000000" w:rsidP="00B74B1A">
      <w:pPr>
        <w:pStyle w:val="TOC3"/>
        <w:rPr>
          <w:rFonts w:asciiTheme="minorHAnsi" w:eastAsiaTheme="minorEastAsia" w:hAnsiTheme="minorHAnsi" w:cstheme="minorBidi"/>
          <w:noProof/>
          <w:kern w:val="2"/>
          <w:lang w:val="en-US" w:eastAsia="en-US"/>
          <w14:ligatures w14:val="standardContextual"/>
        </w:rPr>
      </w:pPr>
      <w:hyperlink w:anchor="_Toc147398227" w:history="1">
        <w:r w:rsidR="00785A01" w:rsidRPr="005914B2">
          <w:rPr>
            <w:rStyle w:val="Hyperlink"/>
            <w:noProof/>
          </w:rPr>
          <w:t>Requisiti per l'etichettatura di batterie agli ioni di litio e al litio-metallo</w:t>
        </w:r>
        <w:r w:rsidR="00785A01">
          <w:rPr>
            <w:noProof/>
            <w:webHidden/>
          </w:rPr>
          <w:tab/>
        </w:r>
        <w:r w:rsidR="00785A01">
          <w:rPr>
            <w:noProof/>
            <w:webHidden/>
          </w:rPr>
          <w:fldChar w:fldCharType="begin"/>
        </w:r>
        <w:r w:rsidR="00785A01">
          <w:rPr>
            <w:noProof/>
            <w:webHidden/>
          </w:rPr>
          <w:instrText xml:space="preserve"> PAGEREF _Toc147398227 \h </w:instrText>
        </w:r>
        <w:r w:rsidR="00785A01">
          <w:rPr>
            <w:noProof/>
            <w:webHidden/>
          </w:rPr>
        </w:r>
        <w:r w:rsidR="00785A01">
          <w:rPr>
            <w:noProof/>
            <w:webHidden/>
          </w:rPr>
          <w:fldChar w:fldCharType="separate"/>
        </w:r>
        <w:r w:rsidR="00785A01">
          <w:rPr>
            <w:noProof/>
            <w:webHidden/>
          </w:rPr>
          <w:t>15</w:t>
        </w:r>
        <w:r w:rsidR="00785A01">
          <w:rPr>
            <w:noProof/>
            <w:webHidden/>
          </w:rPr>
          <w:fldChar w:fldCharType="end"/>
        </w:r>
      </w:hyperlink>
    </w:p>
    <w:p w14:paraId="54F8B5BB" w14:textId="130BDAE7" w:rsidR="00785A01" w:rsidRDefault="00000000" w:rsidP="00B74B1A">
      <w:pPr>
        <w:pStyle w:val="TOC3"/>
        <w:rPr>
          <w:rFonts w:asciiTheme="minorHAnsi" w:eastAsiaTheme="minorEastAsia" w:hAnsiTheme="minorHAnsi" w:cstheme="minorBidi"/>
          <w:noProof/>
          <w:kern w:val="2"/>
          <w:lang w:val="en-US" w:eastAsia="en-US"/>
          <w14:ligatures w14:val="standardContextual"/>
        </w:rPr>
      </w:pPr>
      <w:hyperlink w:anchor="_Toc147398228" w:history="1">
        <w:r w:rsidR="00785A01" w:rsidRPr="005914B2">
          <w:rPr>
            <w:rStyle w:val="Hyperlink"/>
            <w:noProof/>
          </w:rPr>
          <w:t>Esenzioni dagli obblighi di etichettatura</w:t>
        </w:r>
        <w:r w:rsidR="00785A01">
          <w:rPr>
            <w:noProof/>
            <w:webHidden/>
          </w:rPr>
          <w:tab/>
        </w:r>
        <w:r w:rsidR="00785A01">
          <w:rPr>
            <w:noProof/>
            <w:webHidden/>
          </w:rPr>
          <w:fldChar w:fldCharType="begin"/>
        </w:r>
        <w:r w:rsidR="00785A01">
          <w:rPr>
            <w:noProof/>
            <w:webHidden/>
          </w:rPr>
          <w:instrText xml:space="preserve"> PAGEREF _Toc147398228 \h </w:instrText>
        </w:r>
        <w:r w:rsidR="00785A01">
          <w:rPr>
            <w:noProof/>
            <w:webHidden/>
          </w:rPr>
        </w:r>
        <w:r w:rsidR="00785A01">
          <w:rPr>
            <w:noProof/>
            <w:webHidden/>
          </w:rPr>
          <w:fldChar w:fldCharType="separate"/>
        </w:r>
        <w:r w:rsidR="00785A01">
          <w:rPr>
            <w:noProof/>
            <w:webHidden/>
          </w:rPr>
          <w:t>17</w:t>
        </w:r>
        <w:r w:rsidR="00785A01">
          <w:rPr>
            <w:noProof/>
            <w:webHidden/>
          </w:rPr>
          <w:fldChar w:fldCharType="end"/>
        </w:r>
      </w:hyperlink>
    </w:p>
    <w:p w14:paraId="6460A32B" w14:textId="5C644370" w:rsidR="00785A01" w:rsidRDefault="00000000" w:rsidP="00B74B1A">
      <w:pPr>
        <w:pStyle w:val="TOC3"/>
        <w:rPr>
          <w:rFonts w:asciiTheme="minorHAnsi" w:eastAsiaTheme="minorEastAsia" w:hAnsiTheme="minorHAnsi" w:cstheme="minorBidi"/>
          <w:noProof/>
          <w:kern w:val="2"/>
          <w:lang w:val="en-US" w:eastAsia="en-US"/>
          <w14:ligatures w14:val="standardContextual"/>
        </w:rPr>
      </w:pPr>
      <w:hyperlink w:anchor="_Toc147398229" w:history="1">
        <w:r w:rsidR="00785A01" w:rsidRPr="005914B2">
          <w:rPr>
            <w:rStyle w:val="Hyperlink"/>
            <w:noProof/>
          </w:rPr>
          <w:t>Avvertenza per prodotti monouso</w:t>
        </w:r>
        <w:r w:rsidR="00785A01">
          <w:rPr>
            <w:noProof/>
            <w:webHidden/>
          </w:rPr>
          <w:tab/>
        </w:r>
        <w:r w:rsidR="00785A01">
          <w:rPr>
            <w:noProof/>
            <w:webHidden/>
          </w:rPr>
          <w:fldChar w:fldCharType="begin"/>
        </w:r>
        <w:r w:rsidR="00785A01">
          <w:rPr>
            <w:noProof/>
            <w:webHidden/>
          </w:rPr>
          <w:instrText xml:space="preserve"> PAGEREF _Toc147398229 \h </w:instrText>
        </w:r>
        <w:r w:rsidR="00785A01">
          <w:rPr>
            <w:noProof/>
            <w:webHidden/>
          </w:rPr>
        </w:r>
        <w:r w:rsidR="00785A01">
          <w:rPr>
            <w:noProof/>
            <w:webHidden/>
          </w:rPr>
          <w:fldChar w:fldCharType="separate"/>
        </w:r>
        <w:r w:rsidR="00785A01">
          <w:rPr>
            <w:noProof/>
            <w:webHidden/>
          </w:rPr>
          <w:t>17</w:t>
        </w:r>
        <w:r w:rsidR="00785A01">
          <w:rPr>
            <w:noProof/>
            <w:webHidden/>
          </w:rPr>
          <w:fldChar w:fldCharType="end"/>
        </w:r>
      </w:hyperlink>
    </w:p>
    <w:p w14:paraId="6A609976" w14:textId="05169614" w:rsidR="00785A01" w:rsidRDefault="00000000">
      <w:pPr>
        <w:pStyle w:val="TOC1"/>
        <w:rPr>
          <w:rFonts w:asciiTheme="minorHAnsi" w:eastAsiaTheme="minorEastAsia" w:hAnsiTheme="minorHAnsi" w:cstheme="minorBidi"/>
          <w:noProof/>
          <w:kern w:val="2"/>
          <w:lang w:val="en-US" w:eastAsia="en-US"/>
          <w14:ligatures w14:val="standardContextual"/>
        </w:rPr>
      </w:pPr>
      <w:hyperlink w:anchor="_Toc147398230" w:history="1">
        <w:r w:rsidR="00785A01" w:rsidRPr="005914B2">
          <w:rPr>
            <w:rStyle w:val="Hyperlink"/>
            <w:noProof/>
          </w:rPr>
          <w:t>Informazioni sulla sicurezza e sulla compatibilità elettromagnetica (EMC) di dispositivi Powerline e prese pass-through</w:t>
        </w:r>
        <w:r w:rsidR="00785A01">
          <w:rPr>
            <w:noProof/>
            <w:webHidden/>
          </w:rPr>
          <w:tab/>
        </w:r>
        <w:r w:rsidR="00785A01">
          <w:rPr>
            <w:noProof/>
            <w:webHidden/>
          </w:rPr>
          <w:fldChar w:fldCharType="begin"/>
        </w:r>
        <w:r w:rsidR="00785A01">
          <w:rPr>
            <w:noProof/>
            <w:webHidden/>
          </w:rPr>
          <w:instrText xml:space="preserve"> PAGEREF _Toc147398230 \h </w:instrText>
        </w:r>
        <w:r w:rsidR="00785A01">
          <w:rPr>
            <w:noProof/>
            <w:webHidden/>
          </w:rPr>
        </w:r>
        <w:r w:rsidR="00785A01">
          <w:rPr>
            <w:noProof/>
            <w:webHidden/>
          </w:rPr>
          <w:fldChar w:fldCharType="separate"/>
        </w:r>
        <w:r w:rsidR="00785A01">
          <w:rPr>
            <w:noProof/>
            <w:webHidden/>
          </w:rPr>
          <w:t>17</w:t>
        </w:r>
        <w:r w:rsidR="00785A01">
          <w:rPr>
            <w:noProof/>
            <w:webHidden/>
          </w:rPr>
          <w:fldChar w:fldCharType="end"/>
        </w:r>
      </w:hyperlink>
    </w:p>
    <w:p w14:paraId="16EC32D7" w14:textId="28BE3B04" w:rsidR="00785A01" w:rsidRDefault="00000000">
      <w:pPr>
        <w:pStyle w:val="TOC2"/>
        <w:rPr>
          <w:rFonts w:asciiTheme="minorHAnsi" w:eastAsiaTheme="minorEastAsia" w:hAnsiTheme="minorHAnsi" w:cstheme="minorBidi"/>
          <w:noProof/>
          <w:kern w:val="2"/>
          <w:lang w:val="en-US" w:eastAsia="en-US"/>
          <w14:ligatures w14:val="standardContextual"/>
        </w:rPr>
      </w:pPr>
      <w:hyperlink w:anchor="_Toc147398231" w:history="1">
        <w:r w:rsidR="00785A01" w:rsidRPr="005914B2">
          <w:rPr>
            <w:rStyle w:val="Hyperlink"/>
            <w:noProof/>
          </w:rPr>
          <w:t>Indicazioni generali - Note per tutti i prodotti</w:t>
        </w:r>
        <w:r w:rsidR="00785A01">
          <w:rPr>
            <w:noProof/>
            <w:webHidden/>
          </w:rPr>
          <w:tab/>
        </w:r>
        <w:r w:rsidR="00785A01">
          <w:rPr>
            <w:noProof/>
            <w:webHidden/>
          </w:rPr>
          <w:fldChar w:fldCharType="begin"/>
        </w:r>
        <w:r w:rsidR="00785A01">
          <w:rPr>
            <w:noProof/>
            <w:webHidden/>
          </w:rPr>
          <w:instrText xml:space="preserve"> PAGEREF _Toc147398231 \h </w:instrText>
        </w:r>
        <w:r w:rsidR="00785A01">
          <w:rPr>
            <w:noProof/>
            <w:webHidden/>
          </w:rPr>
        </w:r>
        <w:r w:rsidR="00785A01">
          <w:rPr>
            <w:noProof/>
            <w:webHidden/>
          </w:rPr>
          <w:fldChar w:fldCharType="separate"/>
        </w:r>
        <w:r w:rsidR="00785A01">
          <w:rPr>
            <w:noProof/>
            <w:webHidden/>
          </w:rPr>
          <w:t>18</w:t>
        </w:r>
        <w:r w:rsidR="00785A01">
          <w:rPr>
            <w:noProof/>
            <w:webHidden/>
          </w:rPr>
          <w:fldChar w:fldCharType="end"/>
        </w:r>
      </w:hyperlink>
    </w:p>
    <w:p w14:paraId="7E6715F4" w14:textId="107DBA8E" w:rsidR="00785A01" w:rsidRDefault="00000000">
      <w:pPr>
        <w:pStyle w:val="TOC1"/>
        <w:rPr>
          <w:rFonts w:asciiTheme="minorHAnsi" w:eastAsiaTheme="minorEastAsia" w:hAnsiTheme="minorHAnsi" w:cstheme="minorBidi"/>
          <w:noProof/>
          <w:kern w:val="2"/>
          <w:lang w:val="en-US" w:eastAsia="en-US"/>
          <w14:ligatures w14:val="standardContextual"/>
        </w:rPr>
      </w:pPr>
      <w:hyperlink w:anchor="_Toc147398232" w:history="1">
        <w:r w:rsidR="00785A01" w:rsidRPr="005914B2">
          <w:rPr>
            <w:rStyle w:val="Hyperlink"/>
            <w:noProof/>
          </w:rPr>
          <w:t>Istruzioni di sicurezza per il montaggio su rack</w:t>
        </w:r>
        <w:r w:rsidR="00785A01">
          <w:rPr>
            <w:noProof/>
            <w:webHidden/>
          </w:rPr>
          <w:tab/>
        </w:r>
        <w:r w:rsidR="00785A01">
          <w:rPr>
            <w:noProof/>
            <w:webHidden/>
          </w:rPr>
          <w:fldChar w:fldCharType="begin"/>
        </w:r>
        <w:r w:rsidR="00785A01">
          <w:rPr>
            <w:noProof/>
            <w:webHidden/>
          </w:rPr>
          <w:instrText xml:space="preserve"> PAGEREF _Toc147398232 \h </w:instrText>
        </w:r>
        <w:r w:rsidR="00785A01">
          <w:rPr>
            <w:noProof/>
            <w:webHidden/>
          </w:rPr>
        </w:r>
        <w:r w:rsidR="00785A01">
          <w:rPr>
            <w:noProof/>
            <w:webHidden/>
          </w:rPr>
          <w:fldChar w:fldCharType="separate"/>
        </w:r>
        <w:r w:rsidR="00785A01">
          <w:rPr>
            <w:noProof/>
            <w:webHidden/>
          </w:rPr>
          <w:t>18</w:t>
        </w:r>
        <w:r w:rsidR="00785A01">
          <w:rPr>
            <w:noProof/>
            <w:webHidden/>
          </w:rPr>
          <w:fldChar w:fldCharType="end"/>
        </w:r>
      </w:hyperlink>
    </w:p>
    <w:p w14:paraId="1976BED2" w14:textId="53C22627" w:rsidR="001F545D" w:rsidRDefault="001F545D" w:rsidP="001A2EB6">
      <w:pPr>
        <w:ind w:left="720"/>
        <w:jc w:val="center"/>
      </w:pPr>
      <w:r w:rsidRPr="001A2EB6">
        <w:fldChar w:fldCharType="end"/>
      </w:r>
    </w:p>
    <w:p w14:paraId="7B8350DB" w14:textId="77777777" w:rsidR="00DF3509" w:rsidRDefault="00DF3509" w:rsidP="003608D0">
      <w:pPr>
        <w:pStyle w:val="BodyText"/>
        <w:tabs>
          <w:tab w:val="right" w:leader="dot" w:pos="10194"/>
        </w:tabs>
        <w:kinsoku w:val="0"/>
        <w:overflowPunct w:val="0"/>
        <w:spacing w:before="91"/>
        <w:ind w:left="840"/>
        <w:rPr>
          <w:spacing w:val="-5"/>
        </w:rPr>
      </w:pPr>
    </w:p>
    <w:p w14:paraId="77C1E834" w14:textId="77777777" w:rsidR="00DF3509" w:rsidRDefault="00DF3509">
      <w:pPr>
        <w:pStyle w:val="BodyText"/>
        <w:tabs>
          <w:tab w:val="right" w:leader="dot" w:pos="10194"/>
        </w:tabs>
        <w:kinsoku w:val="0"/>
        <w:overflowPunct w:val="0"/>
        <w:spacing w:before="91"/>
        <w:ind w:left="1020"/>
        <w:rPr>
          <w:spacing w:val="-5"/>
        </w:rPr>
        <w:sectPr w:rsidR="00DF3509">
          <w:footerReference w:type="default" r:id="rId9"/>
          <w:pgSz w:w="12240" w:h="15840"/>
          <w:pgMar w:top="1360" w:right="680" w:bottom="1140" w:left="600" w:header="0" w:footer="950" w:gutter="0"/>
          <w:cols w:space="720"/>
          <w:noEndnote/>
        </w:sectPr>
      </w:pPr>
    </w:p>
    <w:p w14:paraId="64F5FC76" w14:textId="77777777" w:rsidR="00DF3509" w:rsidRDefault="00DF3509">
      <w:pPr>
        <w:pStyle w:val="Heading1"/>
        <w:kinsoku w:val="0"/>
        <w:overflowPunct w:val="0"/>
        <w:spacing w:before="79"/>
        <w:rPr>
          <w:spacing w:val="-2"/>
        </w:rPr>
      </w:pPr>
      <w:bookmarkStart w:id="0" w:name="_bookmark0"/>
      <w:bookmarkStart w:id="1" w:name="_Toc147398194"/>
      <w:bookmarkEnd w:id="0"/>
      <w:r>
        <w:lastRenderedPageBreak/>
        <w:t>Informazioni e avvisi sulla sicurezza</w:t>
      </w:r>
      <w:bookmarkEnd w:id="1"/>
    </w:p>
    <w:p w14:paraId="4BE33886" w14:textId="0C4AF525" w:rsidR="00DF3509" w:rsidRDefault="00DF3509">
      <w:pPr>
        <w:pStyle w:val="BodyText"/>
        <w:kinsoku w:val="0"/>
        <w:overflowPunct w:val="0"/>
        <w:spacing w:before="108" w:line="276" w:lineRule="auto"/>
        <w:ind w:left="840" w:right="873"/>
        <w:rPr>
          <w:color w:val="0000FF"/>
        </w:rPr>
      </w:pPr>
      <w:r>
        <w:t xml:space="preserve">Seguire le avvertenze, le precauzioni e le note contenute nel documento informativo sulla sicurezza e sulle normative del dispositivo nella sezione relativa alla conformità alla sicurezza di </w:t>
      </w:r>
      <w:hyperlink r:id="rId10" w:history="1">
        <w:r>
          <w:rPr>
            <w:color w:val="0000FF"/>
            <w:u w:val="single"/>
          </w:rPr>
          <w:t>https://www.netgear.com/it/about/regulatory/</w:t>
        </w:r>
      </w:hyperlink>
    </w:p>
    <w:p w14:paraId="66FC379B" w14:textId="77777777" w:rsidR="00DF3509" w:rsidRDefault="00DF3509">
      <w:pPr>
        <w:pStyle w:val="Heading3"/>
        <w:kinsoku w:val="0"/>
        <w:overflowPunct w:val="0"/>
        <w:spacing w:before="409"/>
        <w:rPr>
          <w:spacing w:val="-2"/>
        </w:rPr>
      </w:pPr>
      <w:bookmarkStart w:id="2" w:name="_bookmark1"/>
      <w:bookmarkStart w:id="3" w:name="_Toc147398195"/>
      <w:bookmarkEnd w:id="2"/>
      <w:r>
        <w:t>Utilizzo sicuro della batteria</w:t>
      </w:r>
      <w:bookmarkEnd w:id="3"/>
    </w:p>
    <w:p w14:paraId="74EE27B9" w14:textId="6DEB359C" w:rsidR="00DF3509" w:rsidRDefault="00DF3509">
      <w:pPr>
        <w:pStyle w:val="BodyText"/>
        <w:kinsoku w:val="0"/>
        <w:overflowPunct w:val="0"/>
        <w:spacing w:before="89" w:line="280" w:lineRule="auto"/>
        <w:ind w:left="840"/>
        <w:rPr>
          <w:color w:val="0000FF"/>
          <w:spacing w:val="-2"/>
        </w:rPr>
      </w:pPr>
      <w:r>
        <w:t xml:space="preserve">Seguire le avvertenze, le precauzioni e le note contenute nel documento di avviso sulla sicurezza della batteria nella sezione relativa alla conformità alla sicurezza di </w:t>
      </w:r>
      <w:hyperlink r:id="rId11" w:history="1">
        <w:r>
          <w:rPr>
            <w:color w:val="0000FF"/>
            <w:u w:val="single"/>
          </w:rPr>
          <w:t>https://www.netgear.com/it/about/regulatory/</w:t>
        </w:r>
      </w:hyperlink>
    </w:p>
    <w:p w14:paraId="6F76CC0E" w14:textId="77777777" w:rsidR="00DF3509" w:rsidRDefault="00DF3509">
      <w:pPr>
        <w:pStyle w:val="BodyText"/>
        <w:kinsoku w:val="0"/>
        <w:overflowPunct w:val="0"/>
        <w:spacing w:before="8"/>
        <w:rPr>
          <w:sz w:val="16"/>
          <w:szCs w:val="16"/>
        </w:rPr>
      </w:pPr>
    </w:p>
    <w:p w14:paraId="3B7F2BFF" w14:textId="77777777" w:rsidR="00DF3509" w:rsidRDefault="00DF3509">
      <w:pPr>
        <w:pStyle w:val="BodyText"/>
        <w:kinsoku w:val="0"/>
        <w:overflowPunct w:val="0"/>
        <w:ind w:left="840" w:right="873"/>
      </w:pPr>
      <w:r>
        <w:t>Se l'alimentatore è stato esposto ad acqua, altri liquidi o umidità eccessiva, portarlo presso un centro di assistenza autorizzato per l'ispezione.</w:t>
      </w:r>
    </w:p>
    <w:p w14:paraId="18C7B9AB" w14:textId="77777777" w:rsidR="00DF3509" w:rsidRDefault="00DF3509">
      <w:pPr>
        <w:pStyle w:val="BodyText"/>
        <w:kinsoku w:val="0"/>
        <w:overflowPunct w:val="0"/>
        <w:spacing w:before="1"/>
      </w:pPr>
    </w:p>
    <w:p w14:paraId="412A9B67" w14:textId="77777777" w:rsidR="00DF3509" w:rsidRDefault="00DF3509">
      <w:pPr>
        <w:pStyle w:val="BodyText"/>
        <w:kinsoku w:val="0"/>
        <w:overflowPunct w:val="0"/>
        <w:ind w:left="840"/>
        <w:rPr>
          <w:spacing w:val="-2"/>
        </w:rPr>
      </w:pPr>
      <w:r>
        <w:t>L'apparecchio deve essere collegato unicamente a una presa elettrica vicina all'apparecchio e facilmente accessibile.</w:t>
      </w:r>
    </w:p>
    <w:p w14:paraId="1A98A6CC" w14:textId="77777777" w:rsidR="00DF3509" w:rsidRDefault="00DF3509">
      <w:pPr>
        <w:pStyle w:val="BodyText"/>
        <w:kinsoku w:val="0"/>
        <w:overflowPunct w:val="0"/>
        <w:rPr>
          <w:sz w:val="20"/>
          <w:szCs w:val="20"/>
        </w:rPr>
      </w:pPr>
    </w:p>
    <w:p w14:paraId="6D43948F" w14:textId="77777777" w:rsidR="00DF3509" w:rsidRDefault="00DF3509">
      <w:pPr>
        <w:pStyle w:val="Heading2"/>
        <w:kinsoku w:val="0"/>
        <w:overflowPunct w:val="0"/>
        <w:spacing w:before="163"/>
        <w:rPr>
          <w:spacing w:val="-2"/>
        </w:rPr>
      </w:pPr>
      <w:bookmarkStart w:id="4" w:name="_bookmark2"/>
      <w:bookmarkStart w:id="5" w:name="_Toc147398196"/>
      <w:bookmarkEnd w:id="4"/>
      <w:r>
        <w:t>Posizione dei marchi</w:t>
      </w:r>
      <w:bookmarkEnd w:id="5"/>
    </w:p>
    <w:p w14:paraId="54A7117B" w14:textId="77777777" w:rsidR="00DF3509" w:rsidRDefault="00DF3509">
      <w:pPr>
        <w:pStyle w:val="BodyText"/>
        <w:kinsoku w:val="0"/>
        <w:overflowPunct w:val="0"/>
        <w:spacing w:before="105" w:line="278" w:lineRule="auto"/>
        <w:ind w:left="840" w:right="873"/>
      </w:pPr>
      <w:r>
        <w:t>Le informazioni sui marchi per i prodotti Netgear, inclusi tutti gli switch Netgear e i prodotti ReadyNAS per montaggio su rack e la maggior parte dei router e dei satelliti wireless, si trovano nella parte inferiore dell'apparecchio.</w:t>
      </w:r>
    </w:p>
    <w:p w14:paraId="28568C4D" w14:textId="77777777" w:rsidR="00DF3509" w:rsidRDefault="00DF3509">
      <w:pPr>
        <w:pStyle w:val="BodyText"/>
        <w:kinsoku w:val="0"/>
        <w:overflowPunct w:val="0"/>
        <w:spacing w:before="2"/>
        <w:rPr>
          <w:sz w:val="17"/>
          <w:szCs w:val="17"/>
        </w:rPr>
      </w:pPr>
    </w:p>
    <w:p w14:paraId="1B51400A" w14:textId="77777777" w:rsidR="00DF3509" w:rsidRDefault="00DF3509">
      <w:pPr>
        <w:pStyle w:val="Heading2"/>
        <w:kinsoku w:val="0"/>
        <w:overflowPunct w:val="0"/>
        <w:spacing w:before="1"/>
        <w:rPr>
          <w:spacing w:val="-2"/>
        </w:rPr>
      </w:pPr>
      <w:bookmarkStart w:id="6" w:name="_bookmark3"/>
      <w:bookmarkStart w:id="7" w:name="_Use_in_locations"/>
      <w:bookmarkStart w:id="8" w:name="_Toc147398197"/>
      <w:bookmarkEnd w:id="6"/>
      <w:bookmarkEnd w:id="7"/>
      <w:r>
        <w:t>Utilizzare in luoghi in cui è improbabile vi siano presenti bambini</w:t>
      </w:r>
      <w:bookmarkEnd w:id="8"/>
    </w:p>
    <w:p w14:paraId="17127FD9" w14:textId="77777777" w:rsidR="00DF3509" w:rsidRDefault="00D22DB4" w:rsidP="00D22DB4">
      <w:pPr>
        <w:pStyle w:val="BodyText"/>
        <w:kinsoku w:val="0"/>
        <w:overflowPunct w:val="0"/>
        <w:spacing w:before="102" w:line="278" w:lineRule="auto"/>
        <w:ind w:left="840" w:right="873"/>
      </w:pPr>
      <w:r>
        <w:t xml:space="preserve">I seguenti prodotti non sono adatti all'uso in luoghi in cui potrebbero essere presenti dei bambini </w:t>
      </w:r>
    </w:p>
    <w:p w14:paraId="3BBF74DC" w14:textId="77777777" w:rsidR="00DF3509" w:rsidRDefault="00DF3509">
      <w:pPr>
        <w:pStyle w:val="BodyText"/>
        <w:kinsoku w:val="0"/>
        <w:overflowPunct w:val="0"/>
        <w:spacing w:before="8"/>
        <w:rPr>
          <w:sz w:val="17"/>
          <w:szCs w:val="17"/>
        </w:rPr>
      </w:pPr>
    </w:p>
    <w:tbl>
      <w:tblPr>
        <w:tblW w:w="0" w:type="auto"/>
        <w:jc w:val="center"/>
        <w:tblLayout w:type="fixed"/>
        <w:tblLook w:val="04A0" w:firstRow="1" w:lastRow="0" w:firstColumn="1" w:lastColumn="0" w:noHBand="0" w:noVBand="1"/>
      </w:tblPr>
      <w:tblGrid>
        <w:gridCol w:w="1984"/>
        <w:gridCol w:w="1644"/>
        <w:gridCol w:w="1815"/>
        <w:gridCol w:w="1814"/>
        <w:gridCol w:w="1815"/>
      </w:tblGrid>
      <w:tr w:rsidR="00B25BA3" w:rsidRPr="00B25BA3" w14:paraId="526217A1" w14:textId="77777777" w:rsidTr="00A06FF8">
        <w:trPr>
          <w:jc w:val="center"/>
        </w:trPr>
        <w:tc>
          <w:tcPr>
            <w:tcW w:w="1984" w:type="dxa"/>
          </w:tcPr>
          <w:p w14:paraId="3AF2EB46" w14:textId="77777777" w:rsidR="00D22DB4" w:rsidRPr="00B25BA3" w:rsidRDefault="00D22DB4" w:rsidP="001F545D">
            <w:pPr>
              <w:pStyle w:val="BodyText"/>
              <w:kinsoku w:val="0"/>
              <w:overflowPunct w:val="0"/>
              <w:spacing w:before="8"/>
              <w:rPr>
                <w:rFonts w:eastAsia="Times New Roman"/>
                <w:spacing w:val="-2"/>
              </w:rPr>
            </w:pPr>
            <w:r>
              <w:t>GSM4212P/PX/UX</w:t>
            </w:r>
          </w:p>
        </w:tc>
        <w:tc>
          <w:tcPr>
            <w:tcW w:w="1644" w:type="dxa"/>
          </w:tcPr>
          <w:p w14:paraId="14389D9F" w14:textId="77777777" w:rsidR="00D22DB4" w:rsidRPr="00B25BA3" w:rsidRDefault="00D22DB4" w:rsidP="001F545D">
            <w:pPr>
              <w:pStyle w:val="BodyText"/>
              <w:kinsoku w:val="0"/>
              <w:overflowPunct w:val="0"/>
              <w:spacing w:before="8"/>
              <w:rPr>
                <w:rFonts w:eastAsia="Times New Roman"/>
                <w:spacing w:val="-2"/>
              </w:rPr>
            </w:pPr>
            <w:r>
              <w:t>XSM4316</w:t>
            </w:r>
          </w:p>
        </w:tc>
        <w:tc>
          <w:tcPr>
            <w:tcW w:w="1815" w:type="dxa"/>
          </w:tcPr>
          <w:p w14:paraId="5B039149" w14:textId="77777777" w:rsidR="00D22DB4" w:rsidRPr="00B25BA3" w:rsidRDefault="00D22DB4" w:rsidP="001F545D">
            <w:pPr>
              <w:pStyle w:val="BodyText"/>
              <w:kinsoku w:val="0"/>
              <w:overflowPunct w:val="0"/>
              <w:spacing w:before="8"/>
              <w:rPr>
                <w:rFonts w:eastAsia="Times New Roman"/>
                <w:spacing w:val="-2"/>
              </w:rPr>
            </w:pPr>
            <w:r>
              <w:t>XSM4340FV/V/CV</w:t>
            </w:r>
          </w:p>
        </w:tc>
        <w:tc>
          <w:tcPr>
            <w:tcW w:w="1814" w:type="dxa"/>
          </w:tcPr>
          <w:p w14:paraId="32E98406" w14:textId="77777777" w:rsidR="00D22DB4" w:rsidRPr="00B25BA3" w:rsidRDefault="00D22DB4" w:rsidP="001F545D">
            <w:pPr>
              <w:pStyle w:val="BodyText"/>
              <w:kinsoku w:val="0"/>
              <w:overflowPunct w:val="0"/>
              <w:spacing w:before="8"/>
              <w:rPr>
                <w:rFonts w:eastAsia="Times New Roman"/>
                <w:spacing w:val="-2"/>
              </w:rPr>
            </w:pPr>
            <w:r>
              <w:t>CSM4532</w:t>
            </w:r>
          </w:p>
        </w:tc>
        <w:tc>
          <w:tcPr>
            <w:tcW w:w="1815" w:type="dxa"/>
          </w:tcPr>
          <w:p w14:paraId="437AA03D" w14:textId="77777777" w:rsidR="00D22DB4" w:rsidRPr="00B25BA3" w:rsidRDefault="00D22DB4" w:rsidP="001F545D">
            <w:pPr>
              <w:pStyle w:val="BodyText"/>
              <w:kinsoku w:val="0"/>
              <w:overflowPunct w:val="0"/>
              <w:spacing w:before="8"/>
              <w:rPr>
                <w:rFonts w:eastAsia="Times New Roman"/>
                <w:spacing w:val="-2"/>
              </w:rPr>
            </w:pPr>
            <w:r>
              <w:t>GSM4328</w:t>
            </w:r>
          </w:p>
        </w:tc>
      </w:tr>
      <w:tr w:rsidR="00B25BA3" w:rsidRPr="00B25BA3" w14:paraId="27E4291E" w14:textId="77777777" w:rsidTr="00A06FF8">
        <w:trPr>
          <w:jc w:val="center"/>
        </w:trPr>
        <w:tc>
          <w:tcPr>
            <w:tcW w:w="1984" w:type="dxa"/>
          </w:tcPr>
          <w:p w14:paraId="183162AB" w14:textId="77777777" w:rsidR="00D22DB4" w:rsidRPr="00B25BA3" w:rsidRDefault="00D22DB4" w:rsidP="001F545D">
            <w:pPr>
              <w:pStyle w:val="BodyText"/>
              <w:kinsoku w:val="0"/>
              <w:overflowPunct w:val="0"/>
              <w:spacing w:before="8"/>
              <w:rPr>
                <w:rFonts w:eastAsia="Times New Roman"/>
                <w:spacing w:val="-2"/>
              </w:rPr>
            </w:pPr>
            <w:r>
              <w:t>GSM4230P/PX/UP</w:t>
            </w:r>
          </w:p>
        </w:tc>
        <w:tc>
          <w:tcPr>
            <w:tcW w:w="1644" w:type="dxa"/>
          </w:tcPr>
          <w:p w14:paraId="39A2F22B" w14:textId="77777777" w:rsidR="00D22DB4" w:rsidRPr="00B25BA3" w:rsidRDefault="00D22DB4" w:rsidP="001F545D">
            <w:pPr>
              <w:pStyle w:val="BodyText"/>
              <w:kinsoku w:val="0"/>
              <w:overflowPunct w:val="0"/>
              <w:spacing w:before="8"/>
              <w:rPr>
                <w:rFonts w:eastAsia="Times New Roman"/>
                <w:spacing w:val="-2"/>
              </w:rPr>
            </w:pPr>
            <w:r>
              <w:t>XSM4324</w:t>
            </w:r>
          </w:p>
        </w:tc>
        <w:tc>
          <w:tcPr>
            <w:tcW w:w="1815" w:type="dxa"/>
          </w:tcPr>
          <w:p w14:paraId="3B31305E" w14:textId="77777777" w:rsidR="00D22DB4" w:rsidRPr="00B25BA3" w:rsidRDefault="00D22DB4" w:rsidP="001F545D">
            <w:pPr>
              <w:pStyle w:val="BodyText"/>
              <w:kinsoku w:val="0"/>
              <w:overflowPunct w:val="0"/>
              <w:spacing w:before="8"/>
              <w:rPr>
                <w:rFonts w:eastAsia="Times New Roman"/>
                <w:spacing w:val="-2"/>
              </w:rPr>
            </w:pPr>
            <w:r>
              <w:t>VSM4320C</w:t>
            </w:r>
          </w:p>
        </w:tc>
        <w:tc>
          <w:tcPr>
            <w:tcW w:w="1814" w:type="dxa"/>
          </w:tcPr>
          <w:p w14:paraId="69194A55" w14:textId="77777777" w:rsidR="00D22DB4" w:rsidRPr="00B25BA3" w:rsidRDefault="00D22DB4" w:rsidP="001F545D">
            <w:pPr>
              <w:pStyle w:val="BodyText"/>
              <w:kinsoku w:val="0"/>
              <w:overflowPunct w:val="0"/>
              <w:spacing w:before="8"/>
              <w:rPr>
                <w:rFonts w:eastAsia="Times New Roman"/>
                <w:spacing w:val="-2"/>
              </w:rPr>
            </w:pPr>
            <w:r>
              <w:t>XSM4556</w:t>
            </w:r>
          </w:p>
        </w:tc>
        <w:tc>
          <w:tcPr>
            <w:tcW w:w="1815" w:type="dxa"/>
          </w:tcPr>
          <w:p w14:paraId="0A4583F6" w14:textId="77777777" w:rsidR="00D22DB4" w:rsidRPr="00B25BA3" w:rsidRDefault="00D22DB4" w:rsidP="001F545D">
            <w:pPr>
              <w:pStyle w:val="BodyText"/>
              <w:kinsoku w:val="0"/>
              <w:overflowPunct w:val="0"/>
              <w:spacing w:before="8"/>
              <w:rPr>
                <w:rFonts w:eastAsia="Times New Roman"/>
                <w:spacing w:val="-2"/>
              </w:rPr>
            </w:pPr>
            <w:r>
              <w:t>GSM4352</w:t>
            </w:r>
          </w:p>
        </w:tc>
      </w:tr>
      <w:tr w:rsidR="00B25BA3" w:rsidRPr="00B25BA3" w14:paraId="77ABCF5E" w14:textId="77777777" w:rsidTr="00A06FF8">
        <w:trPr>
          <w:jc w:val="center"/>
        </w:trPr>
        <w:tc>
          <w:tcPr>
            <w:tcW w:w="1984" w:type="dxa"/>
          </w:tcPr>
          <w:p w14:paraId="770A38F0" w14:textId="77777777" w:rsidR="00D22DB4" w:rsidRPr="00B25BA3" w:rsidRDefault="00D22DB4" w:rsidP="001F545D">
            <w:pPr>
              <w:pStyle w:val="BodyText"/>
              <w:kinsoku w:val="0"/>
              <w:overflowPunct w:val="0"/>
              <w:spacing w:before="8"/>
              <w:rPr>
                <w:rFonts w:eastAsia="Times New Roman"/>
                <w:spacing w:val="-2"/>
              </w:rPr>
            </w:pPr>
            <w:r>
              <w:t>GSM4248P/PX/UX</w:t>
            </w:r>
          </w:p>
        </w:tc>
        <w:tc>
          <w:tcPr>
            <w:tcW w:w="1644" w:type="dxa"/>
          </w:tcPr>
          <w:p w14:paraId="5E37559B" w14:textId="77777777" w:rsidR="00D22DB4" w:rsidRPr="00B25BA3" w:rsidRDefault="00D22DB4" w:rsidP="001F545D">
            <w:pPr>
              <w:pStyle w:val="BodyText"/>
              <w:kinsoku w:val="0"/>
              <w:overflowPunct w:val="0"/>
              <w:spacing w:before="8"/>
              <w:rPr>
                <w:rFonts w:eastAsia="Times New Roman"/>
                <w:spacing w:val="-2"/>
              </w:rPr>
            </w:pPr>
            <w:r>
              <w:t>XSM4328FV/CV</w:t>
            </w:r>
          </w:p>
        </w:tc>
        <w:tc>
          <w:tcPr>
            <w:tcW w:w="1815" w:type="dxa"/>
          </w:tcPr>
          <w:p w14:paraId="0BDC166B" w14:textId="77777777" w:rsidR="00D22DB4" w:rsidRPr="00B25BA3" w:rsidRDefault="00D22DB4" w:rsidP="001F545D">
            <w:pPr>
              <w:pStyle w:val="BodyText"/>
              <w:kinsoku w:val="0"/>
              <w:overflowPunct w:val="0"/>
              <w:spacing w:before="8"/>
              <w:rPr>
                <w:rFonts w:eastAsia="Times New Roman"/>
                <w:spacing w:val="-2"/>
              </w:rPr>
            </w:pPr>
            <w:r>
              <w:t xml:space="preserve">XSM4344C: </w:t>
            </w:r>
          </w:p>
        </w:tc>
        <w:tc>
          <w:tcPr>
            <w:tcW w:w="1814" w:type="dxa"/>
          </w:tcPr>
          <w:p w14:paraId="1554CB0F" w14:textId="77777777" w:rsidR="00D22DB4" w:rsidRPr="00B25BA3" w:rsidRDefault="00D22DB4" w:rsidP="001F545D">
            <w:pPr>
              <w:pStyle w:val="BodyText"/>
              <w:kinsoku w:val="0"/>
              <w:overflowPunct w:val="0"/>
              <w:spacing w:before="8"/>
              <w:rPr>
                <w:rFonts w:eastAsia="Times New Roman"/>
                <w:spacing w:val="-2"/>
              </w:rPr>
            </w:pPr>
            <w:r>
              <w:t>XSM4316S/PS</w:t>
            </w:r>
          </w:p>
        </w:tc>
        <w:tc>
          <w:tcPr>
            <w:tcW w:w="1815" w:type="dxa"/>
          </w:tcPr>
          <w:p w14:paraId="70FEBD29" w14:textId="77777777" w:rsidR="00D22DB4" w:rsidRPr="00B25BA3" w:rsidRDefault="00D22DB4" w:rsidP="001F545D">
            <w:pPr>
              <w:pStyle w:val="BodyText"/>
              <w:kinsoku w:val="0"/>
              <w:overflowPunct w:val="0"/>
              <w:spacing w:before="8"/>
              <w:rPr>
                <w:rFonts w:eastAsia="Times New Roman"/>
                <w:spacing w:val="-2"/>
              </w:rPr>
            </w:pPr>
            <w:r>
              <w:t>XSM4324S/CS/FS</w:t>
            </w:r>
          </w:p>
        </w:tc>
      </w:tr>
      <w:tr w:rsidR="00B25BA3" w:rsidRPr="00B25BA3" w14:paraId="250D12AF" w14:textId="77777777" w:rsidTr="00A06FF8">
        <w:trPr>
          <w:jc w:val="center"/>
        </w:trPr>
        <w:tc>
          <w:tcPr>
            <w:tcW w:w="1984" w:type="dxa"/>
          </w:tcPr>
          <w:p w14:paraId="153F448F" w14:textId="77777777" w:rsidR="00D22DB4" w:rsidRPr="00B25BA3" w:rsidRDefault="00D22DB4" w:rsidP="001F545D">
            <w:pPr>
              <w:pStyle w:val="BodyText"/>
              <w:kinsoku w:val="0"/>
              <w:overflowPunct w:val="0"/>
              <w:spacing w:before="8"/>
              <w:rPr>
                <w:rFonts w:eastAsia="Times New Roman"/>
                <w:spacing w:val="-2"/>
              </w:rPr>
            </w:pPr>
            <w:r>
              <w:t>MSM4214X</w:t>
            </w:r>
          </w:p>
        </w:tc>
        <w:tc>
          <w:tcPr>
            <w:tcW w:w="1644" w:type="dxa"/>
          </w:tcPr>
          <w:p w14:paraId="3735DBB8" w14:textId="77777777" w:rsidR="00D22DB4" w:rsidRPr="00B25BA3" w:rsidRDefault="00D22DB4" w:rsidP="001F545D">
            <w:pPr>
              <w:pStyle w:val="BodyText"/>
              <w:kinsoku w:val="0"/>
              <w:overflowPunct w:val="0"/>
              <w:spacing w:before="8"/>
              <w:rPr>
                <w:rFonts w:eastAsia="Times New Roman"/>
                <w:spacing w:val="-2"/>
              </w:rPr>
            </w:pPr>
            <w:r>
              <w:t>MSM4352</w:t>
            </w:r>
          </w:p>
        </w:tc>
        <w:tc>
          <w:tcPr>
            <w:tcW w:w="1815" w:type="dxa"/>
          </w:tcPr>
          <w:p w14:paraId="283AFD68" w14:textId="77777777" w:rsidR="00D22DB4" w:rsidRPr="00B25BA3" w:rsidRDefault="00D22DB4" w:rsidP="001F545D">
            <w:pPr>
              <w:pStyle w:val="BodyText"/>
              <w:kinsoku w:val="0"/>
              <w:overflowPunct w:val="0"/>
              <w:spacing w:before="8"/>
              <w:rPr>
                <w:rFonts w:eastAsia="Times New Roman"/>
                <w:spacing w:val="-2"/>
              </w:rPr>
            </w:pPr>
            <w:r>
              <w:t>XSM4396S</w:t>
            </w:r>
          </w:p>
        </w:tc>
        <w:tc>
          <w:tcPr>
            <w:tcW w:w="1814" w:type="dxa"/>
          </w:tcPr>
          <w:p w14:paraId="7A185745" w14:textId="77777777" w:rsidR="00D22DB4" w:rsidRPr="00B25BA3" w:rsidRDefault="00D22DB4" w:rsidP="001F545D">
            <w:pPr>
              <w:pStyle w:val="BodyText"/>
              <w:kinsoku w:val="0"/>
              <w:overflowPunct w:val="0"/>
              <w:spacing w:before="8"/>
              <w:rPr>
                <w:rFonts w:eastAsia="Times New Roman"/>
                <w:spacing w:val="-2"/>
              </w:rPr>
            </w:pPr>
            <w:r>
              <w:t>GSM4328S/PS</w:t>
            </w:r>
          </w:p>
        </w:tc>
        <w:tc>
          <w:tcPr>
            <w:tcW w:w="1815" w:type="dxa"/>
          </w:tcPr>
          <w:p w14:paraId="12D8DFC4" w14:textId="77777777" w:rsidR="00D22DB4" w:rsidRPr="00B25BA3" w:rsidRDefault="00D22DB4" w:rsidP="001F545D">
            <w:pPr>
              <w:pStyle w:val="BodyText"/>
              <w:kinsoku w:val="0"/>
              <w:overflowPunct w:val="0"/>
              <w:spacing w:before="8"/>
              <w:rPr>
                <w:rFonts w:eastAsia="Times New Roman"/>
                <w:spacing w:val="-2"/>
              </w:rPr>
            </w:pPr>
            <w:r>
              <w:t>XSM4348S/CS/FS</w:t>
            </w:r>
          </w:p>
        </w:tc>
      </w:tr>
      <w:tr w:rsidR="00B25BA3" w:rsidRPr="00B25BA3" w14:paraId="723B3338" w14:textId="77777777" w:rsidTr="00A06FF8">
        <w:trPr>
          <w:jc w:val="center"/>
        </w:trPr>
        <w:tc>
          <w:tcPr>
            <w:tcW w:w="1984" w:type="dxa"/>
          </w:tcPr>
          <w:p w14:paraId="01928B0F" w14:textId="77777777" w:rsidR="00AD0AF0" w:rsidRPr="00B25BA3" w:rsidRDefault="00AD0AF0" w:rsidP="001F545D">
            <w:pPr>
              <w:pStyle w:val="BodyText"/>
              <w:kinsoku w:val="0"/>
              <w:overflowPunct w:val="0"/>
              <w:spacing w:before="8"/>
              <w:rPr>
                <w:rFonts w:eastAsia="Times New Roman"/>
                <w:spacing w:val="-2"/>
              </w:rPr>
            </w:pPr>
            <w:r>
              <w:t>XSM4216F</w:t>
            </w:r>
          </w:p>
        </w:tc>
        <w:tc>
          <w:tcPr>
            <w:tcW w:w="1644" w:type="dxa"/>
          </w:tcPr>
          <w:p w14:paraId="6DED7CDD" w14:textId="77777777" w:rsidR="00AD0AF0" w:rsidRPr="00B25BA3" w:rsidRDefault="00AD0AF0" w:rsidP="001F545D">
            <w:pPr>
              <w:pStyle w:val="BodyText"/>
              <w:kinsoku w:val="0"/>
              <w:overflowPunct w:val="0"/>
              <w:spacing w:before="8"/>
              <w:rPr>
                <w:rFonts w:eastAsia="Times New Roman"/>
                <w:spacing w:val="-2"/>
              </w:rPr>
            </w:pPr>
            <w:r>
              <w:t>GSM4352S/PS</w:t>
            </w:r>
          </w:p>
        </w:tc>
        <w:tc>
          <w:tcPr>
            <w:tcW w:w="1815" w:type="dxa"/>
          </w:tcPr>
          <w:p w14:paraId="4ADC0FE4" w14:textId="77777777" w:rsidR="00AD0AF0" w:rsidRPr="00B25BA3" w:rsidRDefault="00AD0AF0" w:rsidP="001F545D">
            <w:pPr>
              <w:pStyle w:val="BodyText"/>
              <w:kinsoku w:val="0"/>
              <w:overflowPunct w:val="0"/>
              <w:spacing w:before="8"/>
              <w:rPr>
                <w:rFonts w:eastAsia="Times New Roman"/>
                <w:spacing w:val="-2"/>
              </w:rPr>
            </w:pPr>
            <w:r>
              <w:t>GS524PP/UP</w:t>
            </w:r>
          </w:p>
        </w:tc>
        <w:tc>
          <w:tcPr>
            <w:tcW w:w="1814" w:type="dxa"/>
          </w:tcPr>
          <w:p w14:paraId="775A6887" w14:textId="77777777" w:rsidR="00AD0AF0" w:rsidRPr="00B25BA3" w:rsidRDefault="00AD0AF0" w:rsidP="001F545D">
            <w:pPr>
              <w:pStyle w:val="BodyText"/>
              <w:kinsoku w:val="0"/>
              <w:overflowPunct w:val="0"/>
              <w:spacing w:before="8"/>
              <w:rPr>
                <w:rFonts w:eastAsia="Times New Roman"/>
                <w:spacing w:val="-2"/>
              </w:rPr>
            </w:pPr>
            <w:r>
              <w:t>GS724Tv6</w:t>
            </w:r>
          </w:p>
        </w:tc>
        <w:tc>
          <w:tcPr>
            <w:tcW w:w="1815" w:type="dxa"/>
          </w:tcPr>
          <w:p w14:paraId="626906EA" w14:textId="77777777" w:rsidR="00AD0AF0" w:rsidRPr="00B25BA3" w:rsidRDefault="00AD0AF0" w:rsidP="001F545D">
            <w:pPr>
              <w:pStyle w:val="BodyText"/>
              <w:kinsoku w:val="0"/>
              <w:overflowPunct w:val="0"/>
              <w:spacing w:before="8"/>
              <w:rPr>
                <w:rFonts w:eastAsia="Times New Roman"/>
                <w:spacing w:val="-2"/>
              </w:rPr>
            </w:pPr>
            <w:r>
              <w:t>GS752TPv2/v3</w:t>
            </w:r>
          </w:p>
        </w:tc>
      </w:tr>
      <w:tr w:rsidR="00B25BA3" w:rsidRPr="00B25BA3" w14:paraId="76528A6A" w14:textId="77777777" w:rsidTr="00A06FF8">
        <w:trPr>
          <w:jc w:val="center"/>
        </w:trPr>
        <w:tc>
          <w:tcPr>
            <w:tcW w:w="1984" w:type="dxa"/>
          </w:tcPr>
          <w:p w14:paraId="6428E0FB" w14:textId="77777777" w:rsidR="00AD0AF0" w:rsidRPr="00B25BA3" w:rsidRDefault="00AD0AF0" w:rsidP="001F545D">
            <w:pPr>
              <w:pStyle w:val="BodyText"/>
              <w:kinsoku w:val="0"/>
              <w:overflowPunct w:val="0"/>
              <w:spacing w:before="8"/>
              <w:rPr>
                <w:rFonts w:eastAsia="Times New Roman"/>
                <w:spacing w:val="-2"/>
              </w:rPr>
            </w:pPr>
            <w:r>
              <w:t>JGS524Ev2</w:t>
            </w:r>
          </w:p>
        </w:tc>
        <w:tc>
          <w:tcPr>
            <w:tcW w:w="1644" w:type="dxa"/>
          </w:tcPr>
          <w:p w14:paraId="0F4BDDEB" w14:textId="77777777" w:rsidR="00AD0AF0" w:rsidRPr="00B25BA3" w:rsidRDefault="00AD0AF0" w:rsidP="001F545D">
            <w:pPr>
              <w:pStyle w:val="BodyText"/>
              <w:kinsoku w:val="0"/>
              <w:overflowPunct w:val="0"/>
              <w:spacing w:before="8"/>
              <w:rPr>
                <w:rFonts w:eastAsia="Times New Roman"/>
                <w:spacing w:val="-2"/>
              </w:rPr>
            </w:pPr>
            <w:r>
              <w:t>GS324T/TP</w:t>
            </w:r>
          </w:p>
        </w:tc>
        <w:tc>
          <w:tcPr>
            <w:tcW w:w="1815" w:type="dxa"/>
          </w:tcPr>
          <w:p w14:paraId="6C8D46F3" w14:textId="77777777" w:rsidR="00AD0AF0" w:rsidRPr="00B25BA3" w:rsidRDefault="00AD0AF0" w:rsidP="001F545D">
            <w:pPr>
              <w:pStyle w:val="BodyText"/>
              <w:kinsoku w:val="0"/>
              <w:overflowPunct w:val="0"/>
              <w:spacing w:before="8"/>
              <w:rPr>
                <w:rFonts w:eastAsia="Times New Roman"/>
                <w:spacing w:val="-2"/>
              </w:rPr>
            </w:pPr>
            <w:r>
              <w:t>GS524v3</w:t>
            </w:r>
          </w:p>
        </w:tc>
        <w:tc>
          <w:tcPr>
            <w:tcW w:w="1814" w:type="dxa"/>
          </w:tcPr>
          <w:p w14:paraId="02E7DC88" w14:textId="77777777" w:rsidR="00AD0AF0" w:rsidRPr="00B25BA3" w:rsidRDefault="00AD0AF0" w:rsidP="001F545D">
            <w:pPr>
              <w:pStyle w:val="BodyText"/>
              <w:kinsoku w:val="0"/>
              <w:overflowPunct w:val="0"/>
              <w:spacing w:before="8"/>
              <w:rPr>
                <w:rFonts w:eastAsia="Times New Roman"/>
                <w:spacing w:val="-2"/>
              </w:rPr>
            </w:pPr>
            <w:r>
              <w:t>GS724TPv2/v3</w:t>
            </w:r>
          </w:p>
        </w:tc>
        <w:tc>
          <w:tcPr>
            <w:tcW w:w="1815" w:type="dxa"/>
          </w:tcPr>
          <w:p w14:paraId="1403F173" w14:textId="77777777" w:rsidR="00AD0AF0" w:rsidRPr="00B25BA3" w:rsidRDefault="00AD0AF0" w:rsidP="001F545D">
            <w:pPr>
              <w:pStyle w:val="BodyText"/>
              <w:kinsoku w:val="0"/>
              <w:overflowPunct w:val="0"/>
              <w:spacing w:before="8"/>
              <w:rPr>
                <w:rFonts w:eastAsia="Times New Roman"/>
                <w:spacing w:val="-2"/>
              </w:rPr>
            </w:pPr>
            <w:r>
              <w:t>GS752TPP/v3</w:t>
            </w:r>
          </w:p>
        </w:tc>
      </w:tr>
      <w:tr w:rsidR="00B25BA3" w:rsidRPr="00B25BA3" w14:paraId="56D0C2CD" w14:textId="77777777" w:rsidTr="00A06FF8">
        <w:trPr>
          <w:jc w:val="center"/>
        </w:trPr>
        <w:tc>
          <w:tcPr>
            <w:tcW w:w="1984" w:type="dxa"/>
          </w:tcPr>
          <w:p w14:paraId="5794F9D8" w14:textId="77777777" w:rsidR="00AD0AF0" w:rsidRPr="00B25BA3" w:rsidRDefault="00AD0AF0" w:rsidP="001F545D">
            <w:pPr>
              <w:pStyle w:val="BodyText"/>
              <w:kinsoku w:val="0"/>
              <w:overflowPunct w:val="0"/>
              <w:spacing w:before="8"/>
              <w:rPr>
                <w:rFonts w:eastAsia="Times New Roman"/>
                <w:spacing w:val="-2"/>
              </w:rPr>
            </w:pPr>
            <w:r>
              <w:t>GS324v2</w:t>
            </w:r>
          </w:p>
        </w:tc>
        <w:tc>
          <w:tcPr>
            <w:tcW w:w="1644" w:type="dxa"/>
          </w:tcPr>
          <w:p w14:paraId="0941BEB2" w14:textId="77777777" w:rsidR="00AD0AF0" w:rsidRPr="00B25BA3" w:rsidRDefault="00AD0AF0" w:rsidP="001F545D">
            <w:pPr>
              <w:pStyle w:val="BodyText"/>
              <w:kinsoku w:val="0"/>
              <w:overflowPunct w:val="0"/>
              <w:spacing w:before="8"/>
              <w:rPr>
                <w:rFonts w:eastAsia="Times New Roman"/>
                <w:spacing w:val="-2"/>
              </w:rPr>
            </w:pPr>
            <w:r>
              <w:t>GS348/PP</w:t>
            </w:r>
          </w:p>
        </w:tc>
        <w:tc>
          <w:tcPr>
            <w:tcW w:w="1815" w:type="dxa"/>
          </w:tcPr>
          <w:p w14:paraId="3A3D635E" w14:textId="77777777" w:rsidR="00AD0AF0" w:rsidRPr="00B25BA3" w:rsidRDefault="00AD0AF0" w:rsidP="001F545D">
            <w:pPr>
              <w:pStyle w:val="BodyText"/>
              <w:kinsoku w:val="0"/>
              <w:overflowPunct w:val="0"/>
              <w:spacing w:before="8"/>
              <w:rPr>
                <w:rFonts w:eastAsia="Times New Roman"/>
                <w:spacing w:val="-2"/>
              </w:rPr>
            </w:pPr>
            <w:r>
              <w:t>GS716TP</w:t>
            </w:r>
          </w:p>
        </w:tc>
        <w:tc>
          <w:tcPr>
            <w:tcW w:w="1814" w:type="dxa"/>
          </w:tcPr>
          <w:p w14:paraId="6019E989" w14:textId="77777777" w:rsidR="00AD0AF0" w:rsidRPr="00B25BA3" w:rsidRDefault="00AD0AF0" w:rsidP="001F545D">
            <w:pPr>
              <w:pStyle w:val="BodyText"/>
              <w:kinsoku w:val="0"/>
              <w:overflowPunct w:val="0"/>
              <w:spacing w:before="8"/>
              <w:rPr>
                <w:rFonts w:eastAsia="Times New Roman"/>
                <w:spacing w:val="-2"/>
              </w:rPr>
            </w:pPr>
            <w:r>
              <w:t>GS728TPPv2/v3</w:t>
            </w:r>
          </w:p>
        </w:tc>
        <w:tc>
          <w:tcPr>
            <w:tcW w:w="1815" w:type="dxa"/>
          </w:tcPr>
          <w:p w14:paraId="5D21052F" w14:textId="77777777" w:rsidR="00AD0AF0" w:rsidRPr="00B25BA3" w:rsidRDefault="00AD0AF0" w:rsidP="001F545D">
            <w:pPr>
              <w:pStyle w:val="BodyText"/>
              <w:kinsoku w:val="0"/>
              <w:overflowPunct w:val="0"/>
              <w:spacing w:before="8"/>
              <w:rPr>
                <w:rFonts w:eastAsia="Times New Roman"/>
                <w:spacing w:val="-2"/>
              </w:rPr>
            </w:pPr>
            <w:r>
              <w:t>Tutti i prodotti ReadyNAS</w:t>
            </w:r>
          </w:p>
        </w:tc>
      </w:tr>
      <w:tr w:rsidR="00B25BA3" w:rsidRPr="00B25BA3" w14:paraId="668606A9" w14:textId="77777777" w:rsidTr="00A06FF8">
        <w:trPr>
          <w:jc w:val="center"/>
        </w:trPr>
        <w:tc>
          <w:tcPr>
            <w:tcW w:w="1984" w:type="dxa"/>
          </w:tcPr>
          <w:p w14:paraId="21CE0D70" w14:textId="77777777" w:rsidR="00AD0AF0" w:rsidRPr="00B25BA3" w:rsidRDefault="00AD0AF0" w:rsidP="001F545D">
            <w:pPr>
              <w:pStyle w:val="BodyText"/>
              <w:kinsoku w:val="0"/>
              <w:overflowPunct w:val="0"/>
              <w:spacing w:before="8"/>
              <w:rPr>
                <w:rFonts w:eastAsia="Times New Roman"/>
                <w:spacing w:val="-2"/>
              </w:rPr>
            </w:pPr>
            <w:r>
              <w:t>GS324P/PP</w:t>
            </w:r>
          </w:p>
        </w:tc>
        <w:tc>
          <w:tcPr>
            <w:tcW w:w="1644" w:type="dxa"/>
          </w:tcPr>
          <w:p w14:paraId="78E648CB" w14:textId="77777777" w:rsidR="00AD0AF0" w:rsidRPr="00B25BA3" w:rsidRDefault="00AD0AF0" w:rsidP="001F545D">
            <w:pPr>
              <w:pStyle w:val="BodyText"/>
              <w:kinsoku w:val="0"/>
              <w:overflowPunct w:val="0"/>
              <w:spacing w:before="8"/>
              <w:rPr>
                <w:rFonts w:eastAsia="Times New Roman"/>
                <w:spacing w:val="-2"/>
              </w:rPr>
            </w:pPr>
            <w:r>
              <w:t>XS724EM/TM</w:t>
            </w:r>
          </w:p>
        </w:tc>
        <w:tc>
          <w:tcPr>
            <w:tcW w:w="1815" w:type="dxa"/>
          </w:tcPr>
          <w:p w14:paraId="35837C0C" w14:textId="77777777" w:rsidR="00AD0AF0" w:rsidRPr="00B25BA3" w:rsidRDefault="00AD0AF0" w:rsidP="001F545D">
            <w:pPr>
              <w:pStyle w:val="BodyText"/>
              <w:kinsoku w:val="0"/>
              <w:overflowPunct w:val="0"/>
              <w:spacing w:before="8"/>
              <w:rPr>
                <w:rFonts w:eastAsia="Times New Roman"/>
                <w:spacing w:val="-2"/>
              </w:rPr>
            </w:pPr>
            <w:r>
              <w:t>GS724Tv4</w:t>
            </w:r>
          </w:p>
        </w:tc>
        <w:tc>
          <w:tcPr>
            <w:tcW w:w="1814" w:type="dxa"/>
          </w:tcPr>
          <w:p w14:paraId="103AAC35" w14:textId="77777777" w:rsidR="00AD0AF0" w:rsidRPr="00B25BA3" w:rsidRDefault="00AD0AF0" w:rsidP="001F545D">
            <w:pPr>
              <w:pStyle w:val="BodyText"/>
              <w:kinsoku w:val="0"/>
              <w:overflowPunct w:val="0"/>
              <w:spacing w:before="8"/>
              <w:rPr>
                <w:rFonts w:eastAsia="Times New Roman"/>
                <w:spacing w:val="-2"/>
              </w:rPr>
            </w:pPr>
            <w:r>
              <w:t>GS748Tv5/v6</w:t>
            </w:r>
          </w:p>
        </w:tc>
        <w:tc>
          <w:tcPr>
            <w:tcW w:w="1815" w:type="dxa"/>
          </w:tcPr>
          <w:p w14:paraId="35ED2A8C" w14:textId="77777777" w:rsidR="00AD0AF0" w:rsidRPr="00B25BA3" w:rsidRDefault="00AD0AF0" w:rsidP="001F545D">
            <w:pPr>
              <w:pStyle w:val="BodyText"/>
              <w:kinsoku w:val="0"/>
              <w:overflowPunct w:val="0"/>
              <w:spacing w:before="8"/>
              <w:rPr>
                <w:rFonts w:eastAsia="Times New Roman"/>
                <w:spacing w:val="-2"/>
              </w:rPr>
            </w:pPr>
          </w:p>
        </w:tc>
      </w:tr>
    </w:tbl>
    <w:p w14:paraId="3EBA7E60" w14:textId="77777777" w:rsidR="003554A3" w:rsidRPr="003608D0" w:rsidRDefault="003554A3" w:rsidP="00AD0AF0">
      <w:pPr>
        <w:pStyle w:val="BodyText"/>
        <w:kinsoku w:val="0"/>
        <w:overflowPunct w:val="0"/>
        <w:spacing w:before="8"/>
        <w:rPr>
          <w:spacing w:val="-2"/>
        </w:rPr>
      </w:pPr>
    </w:p>
    <w:p w14:paraId="138F01D1" w14:textId="77777777" w:rsidR="003554A3" w:rsidRDefault="003554A3">
      <w:pPr>
        <w:pStyle w:val="BodyText"/>
        <w:kinsoku w:val="0"/>
        <w:overflowPunct w:val="0"/>
        <w:spacing w:before="8"/>
        <w:rPr>
          <w:sz w:val="17"/>
          <w:szCs w:val="17"/>
        </w:rPr>
      </w:pPr>
    </w:p>
    <w:p w14:paraId="704579B4" w14:textId="77777777" w:rsidR="00DF3509" w:rsidRDefault="00DF3509">
      <w:pPr>
        <w:pStyle w:val="Heading2"/>
        <w:kinsoku w:val="0"/>
        <w:overflowPunct w:val="0"/>
        <w:rPr>
          <w:spacing w:val="-2"/>
        </w:rPr>
      </w:pPr>
      <w:bookmarkStart w:id="9" w:name="_bookmark4"/>
      <w:bookmarkStart w:id="10" w:name="_Toc147398198"/>
      <w:bookmarkEnd w:id="9"/>
      <w:r>
        <w:t>Avvisi per l'accesso limitato</w:t>
      </w:r>
      <w:bookmarkEnd w:id="10"/>
    </w:p>
    <w:p w14:paraId="345AD2DF" w14:textId="77777777" w:rsidR="00DF3509" w:rsidRDefault="00AD0AF0" w:rsidP="003608D0">
      <w:pPr>
        <w:pStyle w:val="BodyText"/>
        <w:kinsoku w:val="0"/>
        <w:overflowPunct w:val="0"/>
        <w:spacing w:before="102" w:line="278" w:lineRule="auto"/>
        <w:ind w:left="840" w:right="873"/>
        <w:rPr>
          <w:spacing w:val="-2"/>
        </w:rPr>
      </w:pPr>
      <w:r>
        <w:t>I prodotti ReadyNAS sono pensati per essere installati in un ambiente ad accesso limitato e per essere utilizzati esclusivamente da personale di assistenza qualificato.</w:t>
      </w:r>
    </w:p>
    <w:p w14:paraId="1B587ED2" w14:textId="77777777" w:rsidR="00DF3509" w:rsidRDefault="00DF3509">
      <w:pPr>
        <w:pStyle w:val="BodyText"/>
        <w:kinsoku w:val="0"/>
        <w:overflowPunct w:val="0"/>
        <w:rPr>
          <w:sz w:val="20"/>
          <w:szCs w:val="20"/>
        </w:rPr>
      </w:pPr>
    </w:p>
    <w:p w14:paraId="2D05EE8B" w14:textId="77777777" w:rsidR="00DF3509" w:rsidRDefault="00DF3509">
      <w:pPr>
        <w:pStyle w:val="Heading2"/>
        <w:kinsoku w:val="0"/>
        <w:overflowPunct w:val="0"/>
        <w:spacing w:before="1"/>
        <w:rPr>
          <w:spacing w:val="-2"/>
        </w:rPr>
      </w:pPr>
      <w:bookmarkStart w:id="11" w:name="_bookmark5"/>
      <w:bookmarkStart w:id="12" w:name="_Toc147398199"/>
      <w:bookmarkEnd w:id="11"/>
      <w:r>
        <w:t>Avviso per la TV via cavo coassiale e la connessione a Internet (su modelli selezionati)</w:t>
      </w:r>
      <w:bookmarkEnd w:id="12"/>
    </w:p>
    <w:p w14:paraId="579D236F" w14:textId="77777777" w:rsidR="00DF3509" w:rsidRPr="003608D0" w:rsidRDefault="00DF3509" w:rsidP="003608D0">
      <w:pPr>
        <w:pStyle w:val="BodyText"/>
        <w:kinsoku w:val="0"/>
        <w:overflowPunct w:val="0"/>
        <w:spacing w:before="102" w:line="278" w:lineRule="auto"/>
        <w:ind w:left="840" w:right="873"/>
      </w:pPr>
      <w:r>
        <w:t>Le informazioni contenute in questa sezione si applicano ai prodotti NETGEAR che contengono un sintetizzatore TV. Nota per l'installatore del sistema CATV: Questo promemoria viene fornito per richiamare l'attenzione dell'installatore del sistema CATV alla Sezione 820-93 del Codice elettrico nazionale, che fornisce le linee guida per una messa a terra corretta e specifica in particolare che la schermatura del cavo coassiale deve essere collegata al sistema di messa a terra dell'edificio il più vicino possibile al punto di ingresso del cavo.</w:t>
      </w:r>
    </w:p>
    <w:p w14:paraId="42654A77" w14:textId="77777777" w:rsidR="00DF3509" w:rsidRDefault="00DF3509">
      <w:pPr>
        <w:pStyle w:val="BodyText"/>
        <w:kinsoku w:val="0"/>
        <w:overflowPunct w:val="0"/>
        <w:spacing w:before="39" w:line="276" w:lineRule="auto"/>
        <w:ind w:left="840" w:right="873"/>
        <w:rPr>
          <w:spacing w:val="-2"/>
          <w:sz w:val="23"/>
          <w:szCs w:val="23"/>
        </w:rPr>
        <w:sectPr w:rsidR="00DF3509">
          <w:pgSz w:w="12240" w:h="15840"/>
          <w:pgMar w:top="1360" w:right="680" w:bottom="1140" w:left="600" w:header="0" w:footer="950" w:gutter="0"/>
          <w:cols w:space="720"/>
          <w:noEndnote/>
        </w:sectPr>
      </w:pPr>
    </w:p>
    <w:p w14:paraId="42E69BB6" w14:textId="77777777" w:rsidR="00DF3509" w:rsidRDefault="00DF3509">
      <w:pPr>
        <w:pStyle w:val="Heading1"/>
        <w:kinsoku w:val="0"/>
        <w:overflowPunct w:val="0"/>
        <w:spacing w:before="79"/>
        <w:rPr>
          <w:spacing w:val="-2"/>
        </w:rPr>
      </w:pPr>
      <w:bookmarkStart w:id="13" w:name="_bookmark6"/>
      <w:bookmarkStart w:id="14" w:name="_Toc147398200"/>
      <w:bookmarkEnd w:id="13"/>
      <w:r>
        <w:lastRenderedPageBreak/>
        <w:t>Informazioni sulla conformità normativa</w:t>
      </w:r>
      <w:bookmarkEnd w:id="14"/>
    </w:p>
    <w:p w14:paraId="23F05ED9" w14:textId="77777777" w:rsidR="00DF3509" w:rsidRDefault="00DF3509">
      <w:pPr>
        <w:pStyle w:val="BodyText"/>
        <w:kinsoku w:val="0"/>
        <w:overflowPunct w:val="0"/>
        <w:spacing w:before="108" w:line="278" w:lineRule="auto"/>
        <w:ind w:left="840" w:right="873"/>
      </w:pPr>
      <w:r>
        <w:t>Questo documento include i requisiti utente per il funzionamento dei prodotti NETGEAR in conformità con le leggi nazionali, compresi l'uso dello spettro radio e il funzionamento dei dispositivi radio. Il mancato rispetto da parte dell'utente finale dei requisiti applicabili potrebbe causare attività illecite e azioni legali ai danni dell'utente finale da parte del potere legislativo nazionale applicabile.</w:t>
      </w:r>
    </w:p>
    <w:p w14:paraId="57737A7B" w14:textId="77777777" w:rsidR="00DF3509" w:rsidRDefault="00DF3509">
      <w:pPr>
        <w:pStyle w:val="BodyText"/>
        <w:kinsoku w:val="0"/>
        <w:overflowPunct w:val="0"/>
        <w:spacing w:before="7"/>
        <w:rPr>
          <w:sz w:val="16"/>
          <w:szCs w:val="16"/>
        </w:rPr>
      </w:pPr>
    </w:p>
    <w:p w14:paraId="042E9DC0" w14:textId="77777777" w:rsidR="00DF3509" w:rsidRDefault="00DF3509">
      <w:pPr>
        <w:pStyle w:val="BodyText"/>
        <w:kinsoku w:val="0"/>
        <w:overflowPunct w:val="0"/>
        <w:spacing w:before="1" w:line="280" w:lineRule="auto"/>
        <w:ind w:left="840" w:right="873"/>
      </w:pPr>
      <w:r>
        <w:t>Il firmware del prodotto wireless NETGEAR limita il funzionamento esclusivamente ai canali consentiti in un'area geografica o in un Paese specifico. Pertanto, tutte le opzioni descritte nel presente documento potrebbero non essere disponibili nella versione del prodotto in uso.</w:t>
      </w:r>
    </w:p>
    <w:p w14:paraId="0B6672CB" w14:textId="77777777" w:rsidR="00DF3509" w:rsidRDefault="00DF3509">
      <w:pPr>
        <w:pStyle w:val="BodyText"/>
        <w:kinsoku w:val="0"/>
        <w:overflowPunct w:val="0"/>
        <w:spacing w:before="10"/>
        <w:rPr>
          <w:sz w:val="16"/>
          <w:szCs w:val="16"/>
        </w:rPr>
      </w:pPr>
    </w:p>
    <w:p w14:paraId="744E9761" w14:textId="77777777" w:rsidR="00DF3509" w:rsidRDefault="00DF3509">
      <w:pPr>
        <w:pStyle w:val="BodyText"/>
        <w:kinsoku w:val="0"/>
        <w:overflowPunct w:val="0"/>
        <w:ind w:left="840"/>
        <w:rPr>
          <w:spacing w:val="-2"/>
        </w:rPr>
      </w:pPr>
      <w:r>
        <w:t>Questo documento si applica ai dispositivi di classe A e classe B:</w:t>
      </w:r>
    </w:p>
    <w:p w14:paraId="061268F1" w14:textId="77777777" w:rsidR="00DF3509" w:rsidRDefault="00DF3509">
      <w:pPr>
        <w:pStyle w:val="BodyText"/>
        <w:kinsoku w:val="0"/>
        <w:overflowPunct w:val="0"/>
        <w:rPr>
          <w:sz w:val="20"/>
          <w:szCs w:val="20"/>
        </w:rPr>
      </w:pPr>
    </w:p>
    <w:p w14:paraId="0B508D0B" w14:textId="77777777" w:rsidR="00DF3509" w:rsidRDefault="00DF3509">
      <w:pPr>
        <w:pStyle w:val="ListParagraph"/>
        <w:numPr>
          <w:ilvl w:val="0"/>
          <w:numId w:val="6"/>
        </w:numPr>
        <w:tabs>
          <w:tab w:val="left" w:pos="1560"/>
        </w:tabs>
        <w:kinsoku w:val="0"/>
        <w:overflowPunct w:val="0"/>
        <w:spacing w:line="271" w:lineRule="auto"/>
        <w:ind w:right="949"/>
        <w:jc w:val="both"/>
        <w:rPr>
          <w:sz w:val="18"/>
          <w:szCs w:val="18"/>
        </w:rPr>
      </w:pPr>
      <w:r>
        <w:rPr>
          <w:sz w:val="18"/>
        </w:rPr>
        <w:t>I dispositivi di classe A sono destinati all'uso in un ambiente commerciale o industriale. Non sono destinati all'uso in una casa né sono disponibili per un uso pubblico generale.</w:t>
      </w:r>
    </w:p>
    <w:p w14:paraId="2C3F87E9" w14:textId="77777777" w:rsidR="00DF3509" w:rsidRDefault="00DF3509">
      <w:pPr>
        <w:pStyle w:val="ListParagraph"/>
        <w:numPr>
          <w:ilvl w:val="0"/>
          <w:numId w:val="6"/>
        </w:numPr>
        <w:tabs>
          <w:tab w:val="left" w:pos="1560"/>
        </w:tabs>
        <w:kinsoku w:val="0"/>
        <w:overflowPunct w:val="0"/>
        <w:spacing w:before="4" w:line="273" w:lineRule="auto"/>
        <w:ind w:right="1015"/>
        <w:jc w:val="both"/>
        <w:rPr>
          <w:sz w:val="18"/>
          <w:szCs w:val="18"/>
        </w:rPr>
      </w:pPr>
      <w:r>
        <w:rPr>
          <w:sz w:val="18"/>
        </w:rPr>
        <w:t>I dispositivi di classe B sono destinati all'uso in ambiti residenziali e possono essere utilizzati anche in applicazioni commerciali e industriali. Esempi di dispositivi di classe B sono telefoni, personal computer e gateway di dati residenziali.</w:t>
      </w:r>
    </w:p>
    <w:p w14:paraId="1C4DAFDE" w14:textId="77777777" w:rsidR="00DF3509" w:rsidRDefault="00DF3509">
      <w:pPr>
        <w:pStyle w:val="ListParagraph"/>
        <w:numPr>
          <w:ilvl w:val="0"/>
          <w:numId w:val="6"/>
        </w:numPr>
        <w:tabs>
          <w:tab w:val="left" w:pos="1559"/>
        </w:tabs>
        <w:kinsoku w:val="0"/>
        <w:overflowPunct w:val="0"/>
        <w:spacing w:before="5" w:line="219" w:lineRule="exact"/>
        <w:ind w:left="1559" w:hanging="359"/>
        <w:jc w:val="both"/>
        <w:rPr>
          <w:spacing w:val="-2"/>
          <w:sz w:val="18"/>
          <w:szCs w:val="18"/>
        </w:rPr>
      </w:pPr>
      <w:r>
        <w:rPr>
          <w:sz w:val="18"/>
        </w:rPr>
        <w:t>I fusibili devono essere installati soltanto da tecnici qualificati.</w:t>
      </w:r>
    </w:p>
    <w:p w14:paraId="6B60904B" w14:textId="77777777" w:rsidR="00DF3509" w:rsidRDefault="00DF3509">
      <w:pPr>
        <w:pStyle w:val="ListParagraph"/>
        <w:numPr>
          <w:ilvl w:val="0"/>
          <w:numId w:val="6"/>
        </w:numPr>
        <w:tabs>
          <w:tab w:val="left" w:pos="1559"/>
        </w:tabs>
        <w:kinsoku w:val="0"/>
        <w:overflowPunct w:val="0"/>
        <w:spacing w:line="219" w:lineRule="exact"/>
        <w:ind w:left="1559" w:hanging="359"/>
        <w:jc w:val="both"/>
        <w:rPr>
          <w:spacing w:val="-2"/>
          <w:sz w:val="18"/>
          <w:szCs w:val="18"/>
        </w:rPr>
      </w:pPr>
      <w:r>
        <w:rPr>
          <w:sz w:val="18"/>
        </w:rPr>
        <w:t>NETGEAR consiglia l'uso di cavi telefonici da 26 AWG o più grandi.</w:t>
      </w:r>
    </w:p>
    <w:p w14:paraId="728C735F" w14:textId="77777777" w:rsidR="00DF3509" w:rsidRDefault="00DF3509">
      <w:pPr>
        <w:pStyle w:val="BodyText"/>
        <w:kinsoku w:val="0"/>
        <w:overflowPunct w:val="0"/>
        <w:rPr>
          <w:sz w:val="22"/>
          <w:szCs w:val="22"/>
        </w:rPr>
      </w:pPr>
    </w:p>
    <w:p w14:paraId="1132F388" w14:textId="77777777" w:rsidR="00DF3509" w:rsidRDefault="00DF3509">
      <w:pPr>
        <w:pStyle w:val="Heading2"/>
        <w:kinsoku w:val="0"/>
        <w:overflowPunct w:val="0"/>
        <w:spacing w:before="183"/>
        <w:rPr>
          <w:spacing w:val="-5"/>
        </w:rPr>
      </w:pPr>
      <w:bookmarkStart w:id="15" w:name="_bookmark7"/>
      <w:bookmarkStart w:id="16" w:name="_Toc147398201"/>
      <w:bookmarkEnd w:id="15"/>
      <w:r>
        <w:t>Apparecchiatura certificata per uso esterno</w:t>
      </w:r>
      <w:bookmarkEnd w:id="16"/>
    </w:p>
    <w:p w14:paraId="6AB57129" w14:textId="77777777" w:rsidR="00DF3509" w:rsidRDefault="00DF3509">
      <w:pPr>
        <w:pStyle w:val="BodyText"/>
        <w:kinsoku w:val="0"/>
        <w:overflowPunct w:val="0"/>
        <w:spacing w:before="108"/>
        <w:ind w:left="840"/>
        <w:rPr>
          <w:spacing w:val="-2"/>
        </w:rPr>
      </w:pPr>
      <w:r>
        <w:t>I prodotti NETGEAR sono destinati all'uso in ambienti interni con la seguente eccezione.</w:t>
      </w:r>
    </w:p>
    <w:p w14:paraId="4DC31A0B" w14:textId="77777777" w:rsidR="00DF3509" w:rsidRDefault="00DF3509">
      <w:pPr>
        <w:pStyle w:val="BodyText"/>
        <w:kinsoku w:val="0"/>
        <w:overflowPunct w:val="0"/>
        <w:ind w:left="840"/>
        <w:rPr>
          <w:spacing w:val="-4"/>
        </w:rPr>
      </w:pPr>
      <w:r>
        <w:t>I seguenti prodotti sono certificati per l'uso all'aperto:</w:t>
      </w:r>
    </w:p>
    <w:p w14:paraId="50CB0444" w14:textId="77777777" w:rsidR="00DF3509" w:rsidRDefault="00DF3509">
      <w:pPr>
        <w:pStyle w:val="BodyText"/>
        <w:kinsoku w:val="0"/>
        <w:overflowPunct w:val="0"/>
        <w:spacing w:after="32"/>
        <w:ind w:left="840"/>
        <w:rPr>
          <w:rFonts w:ascii="Cambria" w:hAnsi="Cambria" w:cs="Cambria"/>
          <w:i/>
          <w:iCs/>
          <w:color w:val="365F91"/>
          <w:spacing w:val="-5"/>
        </w:rPr>
      </w:pPr>
      <w:r>
        <w:rPr>
          <w:rFonts w:ascii="Cambria" w:hAnsi="Cambria"/>
          <w:i/>
          <w:color w:val="365F91"/>
        </w:rPr>
        <w:t>Tabella 1: Prodotti certificati per l'uso all'aperto</w:t>
      </w:r>
    </w:p>
    <w:tbl>
      <w:tblPr>
        <w:tblW w:w="0" w:type="auto"/>
        <w:tblInd w:w="850" w:type="dxa"/>
        <w:tblLayout w:type="fixed"/>
        <w:tblCellMar>
          <w:left w:w="0" w:type="dxa"/>
          <w:right w:w="0" w:type="dxa"/>
        </w:tblCellMar>
        <w:tblLook w:val="0000" w:firstRow="0" w:lastRow="0" w:firstColumn="0" w:lastColumn="0" w:noHBand="0" w:noVBand="0"/>
      </w:tblPr>
      <w:tblGrid>
        <w:gridCol w:w="2338"/>
        <w:gridCol w:w="2339"/>
        <w:gridCol w:w="2339"/>
        <w:gridCol w:w="2339"/>
      </w:tblGrid>
      <w:tr w:rsidR="006F7E86" w:rsidRPr="001F545D" w14:paraId="7A8F4B2E" w14:textId="77777777">
        <w:trPr>
          <w:trHeight w:val="205"/>
        </w:trPr>
        <w:tc>
          <w:tcPr>
            <w:tcW w:w="2338" w:type="dxa"/>
            <w:tcBorders>
              <w:top w:val="single" w:sz="4" w:space="0" w:color="000000"/>
              <w:left w:val="single" w:sz="4" w:space="0" w:color="000000"/>
              <w:bottom w:val="single" w:sz="4" w:space="0" w:color="000000"/>
              <w:right w:val="single" w:sz="4" w:space="0" w:color="000000"/>
            </w:tcBorders>
          </w:tcPr>
          <w:p w14:paraId="176F909A"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sz w:val="18"/>
              </w:rPr>
              <w:t>RBS50Y</w:t>
            </w:r>
          </w:p>
        </w:tc>
        <w:tc>
          <w:tcPr>
            <w:tcW w:w="2339" w:type="dxa"/>
            <w:tcBorders>
              <w:top w:val="single" w:sz="4" w:space="0" w:color="000000"/>
              <w:left w:val="single" w:sz="4" w:space="0" w:color="000000"/>
              <w:bottom w:val="single" w:sz="4" w:space="0" w:color="000000"/>
              <w:right w:val="single" w:sz="4" w:space="0" w:color="000000"/>
            </w:tcBorders>
          </w:tcPr>
          <w:p w14:paraId="2E0B2D00"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sz w:val="18"/>
              </w:rPr>
              <w:t>WAX608Y</w:t>
            </w:r>
          </w:p>
        </w:tc>
        <w:tc>
          <w:tcPr>
            <w:tcW w:w="2339" w:type="dxa"/>
            <w:tcBorders>
              <w:top w:val="single" w:sz="4" w:space="0" w:color="000000"/>
              <w:left w:val="single" w:sz="4" w:space="0" w:color="000000"/>
              <w:bottom w:val="single" w:sz="4" w:space="0" w:color="000000"/>
              <w:right w:val="single" w:sz="4" w:space="0" w:color="000000"/>
            </w:tcBorders>
          </w:tcPr>
          <w:p w14:paraId="7DCA36A8" w14:textId="77777777" w:rsidR="006F7E86" w:rsidRPr="001F545D" w:rsidRDefault="006F7E86" w:rsidP="003608D0">
            <w:pPr>
              <w:pStyle w:val="TableParagraph"/>
              <w:kinsoku w:val="0"/>
              <w:overflowPunct w:val="0"/>
              <w:spacing w:line="188" w:lineRule="exact"/>
              <w:ind w:left="106"/>
              <w:rPr>
                <w:rFonts w:ascii="Times New Roman" w:hAnsi="Times New Roman" w:cs="Times New Roman"/>
                <w:sz w:val="14"/>
                <w:szCs w:val="14"/>
              </w:rPr>
            </w:pPr>
            <w:r>
              <w:rPr>
                <w:sz w:val="18"/>
              </w:rPr>
              <w:t>WAX610Y</w:t>
            </w:r>
          </w:p>
        </w:tc>
        <w:tc>
          <w:tcPr>
            <w:tcW w:w="2339" w:type="dxa"/>
            <w:tcBorders>
              <w:top w:val="single" w:sz="4" w:space="0" w:color="000000"/>
              <w:left w:val="single" w:sz="4" w:space="0" w:color="000000"/>
              <w:bottom w:val="single" w:sz="4" w:space="0" w:color="000000"/>
              <w:right w:val="single" w:sz="4" w:space="0" w:color="000000"/>
            </w:tcBorders>
          </w:tcPr>
          <w:p w14:paraId="519FCD2E"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r>
      <w:tr w:rsidR="006F7E86" w:rsidRPr="001F545D" w14:paraId="283C6807" w14:textId="77777777">
        <w:trPr>
          <w:trHeight w:val="208"/>
        </w:trPr>
        <w:tc>
          <w:tcPr>
            <w:tcW w:w="2338" w:type="dxa"/>
            <w:tcBorders>
              <w:top w:val="single" w:sz="4" w:space="0" w:color="000000"/>
              <w:left w:val="single" w:sz="4" w:space="0" w:color="000000"/>
              <w:bottom w:val="single" w:sz="4" w:space="0" w:color="000000"/>
              <w:right w:val="single" w:sz="4" w:space="0" w:color="000000"/>
            </w:tcBorders>
          </w:tcPr>
          <w:p w14:paraId="66440C02"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sz w:val="18"/>
              </w:rPr>
              <w:t>MR1100</w:t>
            </w:r>
          </w:p>
        </w:tc>
        <w:tc>
          <w:tcPr>
            <w:tcW w:w="2339" w:type="dxa"/>
            <w:tcBorders>
              <w:top w:val="single" w:sz="4" w:space="0" w:color="000000"/>
              <w:left w:val="single" w:sz="4" w:space="0" w:color="000000"/>
              <w:bottom w:val="single" w:sz="4" w:space="0" w:color="000000"/>
              <w:right w:val="single" w:sz="4" w:space="0" w:color="000000"/>
            </w:tcBorders>
          </w:tcPr>
          <w:p w14:paraId="5B8DA2EF"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sz w:val="18"/>
              </w:rPr>
              <w:t>MR2100</w:t>
            </w:r>
          </w:p>
        </w:tc>
        <w:tc>
          <w:tcPr>
            <w:tcW w:w="2339" w:type="dxa"/>
            <w:tcBorders>
              <w:top w:val="single" w:sz="4" w:space="0" w:color="000000"/>
              <w:left w:val="single" w:sz="4" w:space="0" w:color="000000"/>
              <w:bottom w:val="single" w:sz="4" w:space="0" w:color="000000"/>
              <w:right w:val="single" w:sz="4" w:space="0" w:color="000000"/>
            </w:tcBorders>
          </w:tcPr>
          <w:p w14:paraId="63B08E7A"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MR5100</w:t>
            </w:r>
          </w:p>
        </w:tc>
        <w:tc>
          <w:tcPr>
            <w:tcW w:w="2339" w:type="dxa"/>
            <w:tcBorders>
              <w:top w:val="single" w:sz="4" w:space="0" w:color="000000"/>
              <w:left w:val="single" w:sz="4" w:space="0" w:color="000000"/>
              <w:bottom w:val="single" w:sz="4" w:space="0" w:color="000000"/>
              <w:right w:val="single" w:sz="4" w:space="0" w:color="000000"/>
            </w:tcBorders>
          </w:tcPr>
          <w:p w14:paraId="0756CE7E"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MR5200</w:t>
            </w:r>
          </w:p>
        </w:tc>
      </w:tr>
      <w:tr w:rsidR="006F7E86" w:rsidRPr="001F545D" w14:paraId="78610246" w14:textId="77777777">
        <w:trPr>
          <w:trHeight w:val="206"/>
        </w:trPr>
        <w:tc>
          <w:tcPr>
            <w:tcW w:w="2338" w:type="dxa"/>
            <w:tcBorders>
              <w:top w:val="single" w:sz="4" w:space="0" w:color="000000"/>
              <w:left w:val="single" w:sz="4" w:space="0" w:color="000000"/>
              <w:bottom w:val="single" w:sz="4" w:space="0" w:color="000000"/>
              <w:right w:val="single" w:sz="4" w:space="0" w:color="000000"/>
            </w:tcBorders>
          </w:tcPr>
          <w:p w14:paraId="306FAD7C"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MR6110</w:t>
            </w:r>
          </w:p>
        </w:tc>
        <w:tc>
          <w:tcPr>
            <w:tcW w:w="2339" w:type="dxa"/>
            <w:tcBorders>
              <w:top w:val="single" w:sz="4" w:space="0" w:color="000000"/>
              <w:left w:val="single" w:sz="4" w:space="0" w:color="000000"/>
              <w:bottom w:val="single" w:sz="4" w:space="0" w:color="000000"/>
              <w:right w:val="single" w:sz="4" w:space="0" w:color="000000"/>
            </w:tcBorders>
          </w:tcPr>
          <w:p w14:paraId="475F38D3"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MR6150</w:t>
            </w:r>
          </w:p>
        </w:tc>
        <w:tc>
          <w:tcPr>
            <w:tcW w:w="2339" w:type="dxa"/>
            <w:tcBorders>
              <w:top w:val="single" w:sz="4" w:space="0" w:color="000000"/>
              <w:left w:val="single" w:sz="4" w:space="0" w:color="000000"/>
              <w:bottom w:val="single" w:sz="4" w:space="0" w:color="000000"/>
              <w:right w:val="single" w:sz="4" w:space="0" w:color="000000"/>
            </w:tcBorders>
          </w:tcPr>
          <w:p w14:paraId="2B13DB22"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MR6220</w:t>
            </w:r>
          </w:p>
        </w:tc>
        <w:tc>
          <w:tcPr>
            <w:tcW w:w="2339" w:type="dxa"/>
            <w:tcBorders>
              <w:top w:val="single" w:sz="4" w:space="0" w:color="000000"/>
              <w:left w:val="single" w:sz="4" w:space="0" w:color="000000"/>
              <w:bottom w:val="single" w:sz="4" w:space="0" w:color="000000"/>
              <w:right w:val="single" w:sz="4" w:space="0" w:color="000000"/>
            </w:tcBorders>
          </w:tcPr>
          <w:p w14:paraId="33CA7115"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MR6400</w:t>
            </w:r>
          </w:p>
        </w:tc>
      </w:tr>
      <w:tr w:rsidR="006F7E86" w:rsidRPr="001F545D" w14:paraId="1631B53B" w14:textId="77777777">
        <w:trPr>
          <w:trHeight w:val="208"/>
        </w:trPr>
        <w:tc>
          <w:tcPr>
            <w:tcW w:w="2338" w:type="dxa"/>
            <w:tcBorders>
              <w:top w:val="single" w:sz="4" w:space="0" w:color="000000"/>
              <w:left w:val="single" w:sz="4" w:space="0" w:color="000000"/>
              <w:bottom w:val="single" w:sz="4" w:space="0" w:color="000000"/>
              <w:right w:val="single" w:sz="4" w:space="0" w:color="000000"/>
            </w:tcBorders>
          </w:tcPr>
          <w:p w14:paraId="3CA13ADB"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sz w:val="18"/>
              </w:rPr>
              <w:t>MR6500</w:t>
            </w:r>
          </w:p>
        </w:tc>
        <w:tc>
          <w:tcPr>
            <w:tcW w:w="2339" w:type="dxa"/>
            <w:tcBorders>
              <w:top w:val="single" w:sz="4" w:space="0" w:color="000000"/>
              <w:left w:val="single" w:sz="4" w:space="0" w:color="000000"/>
              <w:bottom w:val="single" w:sz="4" w:space="0" w:color="000000"/>
              <w:right w:val="single" w:sz="4" w:space="0" w:color="000000"/>
            </w:tcBorders>
          </w:tcPr>
          <w:p w14:paraId="105BAE1E"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sz w:val="18"/>
              </w:rPr>
              <w:t>MR6520</w:t>
            </w:r>
          </w:p>
        </w:tc>
        <w:tc>
          <w:tcPr>
            <w:tcW w:w="2339" w:type="dxa"/>
            <w:tcBorders>
              <w:top w:val="single" w:sz="4" w:space="0" w:color="000000"/>
              <w:left w:val="single" w:sz="4" w:space="0" w:color="000000"/>
              <w:bottom w:val="single" w:sz="4" w:space="0" w:color="000000"/>
              <w:right w:val="single" w:sz="4" w:space="0" w:color="000000"/>
            </w:tcBorders>
          </w:tcPr>
          <w:p w14:paraId="28335E1C" w14:textId="77777777" w:rsidR="006F7E86" w:rsidRPr="001F545D" w:rsidRDefault="006F7E86" w:rsidP="006F7E86">
            <w:pPr>
              <w:pStyle w:val="TableParagraph"/>
              <w:kinsoku w:val="0"/>
              <w:overflowPunct w:val="0"/>
              <w:spacing w:line="188" w:lineRule="exact"/>
              <w:ind w:left="106"/>
              <w:rPr>
                <w:rFonts w:eastAsia="Times New Roman"/>
                <w:spacing w:val="-2"/>
                <w:sz w:val="18"/>
                <w:szCs w:val="18"/>
              </w:rPr>
            </w:pPr>
            <w:r>
              <w:rPr>
                <w:sz w:val="18"/>
              </w:rPr>
              <w:t>MR6550</w:t>
            </w:r>
          </w:p>
        </w:tc>
        <w:tc>
          <w:tcPr>
            <w:tcW w:w="2339" w:type="dxa"/>
            <w:tcBorders>
              <w:top w:val="single" w:sz="4" w:space="0" w:color="000000"/>
              <w:left w:val="single" w:sz="4" w:space="0" w:color="000000"/>
              <w:bottom w:val="single" w:sz="4" w:space="0" w:color="000000"/>
              <w:right w:val="single" w:sz="4" w:space="0" w:color="000000"/>
            </w:tcBorders>
          </w:tcPr>
          <w:p w14:paraId="55AE2E43"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p>
        </w:tc>
      </w:tr>
      <w:tr w:rsidR="006F7E86" w:rsidRPr="001F545D" w14:paraId="67F9D2D0" w14:textId="77777777">
        <w:trPr>
          <w:trHeight w:val="205"/>
        </w:trPr>
        <w:tc>
          <w:tcPr>
            <w:tcW w:w="2338" w:type="dxa"/>
            <w:tcBorders>
              <w:top w:val="single" w:sz="4" w:space="0" w:color="000000"/>
              <w:left w:val="single" w:sz="4" w:space="0" w:color="000000"/>
              <w:bottom w:val="single" w:sz="4" w:space="0" w:color="000000"/>
              <w:right w:val="single" w:sz="4" w:space="0" w:color="000000"/>
            </w:tcBorders>
          </w:tcPr>
          <w:p w14:paraId="0C0259B3"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sz w:val="18"/>
              </w:rPr>
              <w:t>A6100</w:t>
            </w:r>
          </w:p>
        </w:tc>
        <w:tc>
          <w:tcPr>
            <w:tcW w:w="2339" w:type="dxa"/>
            <w:tcBorders>
              <w:top w:val="single" w:sz="4" w:space="0" w:color="000000"/>
              <w:left w:val="single" w:sz="4" w:space="0" w:color="000000"/>
              <w:bottom w:val="single" w:sz="4" w:space="0" w:color="000000"/>
              <w:right w:val="single" w:sz="4" w:space="0" w:color="000000"/>
            </w:tcBorders>
          </w:tcPr>
          <w:p w14:paraId="5137E385"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sz w:val="18"/>
              </w:rPr>
              <w:t>A6150</w:t>
            </w:r>
          </w:p>
        </w:tc>
        <w:tc>
          <w:tcPr>
            <w:tcW w:w="2339" w:type="dxa"/>
            <w:tcBorders>
              <w:top w:val="single" w:sz="4" w:space="0" w:color="000000"/>
              <w:left w:val="single" w:sz="4" w:space="0" w:color="000000"/>
              <w:bottom w:val="single" w:sz="4" w:space="0" w:color="000000"/>
              <w:right w:val="single" w:sz="4" w:space="0" w:color="000000"/>
            </w:tcBorders>
          </w:tcPr>
          <w:p w14:paraId="682047B2" w14:textId="77777777" w:rsidR="006F7E86" w:rsidRPr="001F545D" w:rsidRDefault="006F7E86" w:rsidP="006F7E86">
            <w:pPr>
              <w:pStyle w:val="TableParagraph"/>
              <w:kinsoku w:val="0"/>
              <w:overflowPunct w:val="0"/>
              <w:spacing w:line="186" w:lineRule="exact"/>
              <w:ind w:left="106"/>
              <w:rPr>
                <w:rFonts w:eastAsia="Times New Roman"/>
                <w:spacing w:val="-2"/>
                <w:sz w:val="18"/>
                <w:szCs w:val="18"/>
              </w:rPr>
            </w:pPr>
            <w:r>
              <w:rPr>
                <w:sz w:val="18"/>
              </w:rPr>
              <w:t>A6210</w:t>
            </w:r>
          </w:p>
        </w:tc>
        <w:tc>
          <w:tcPr>
            <w:tcW w:w="2339" w:type="dxa"/>
            <w:tcBorders>
              <w:top w:val="single" w:sz="4" w:space="0" w:color="000000"/>
              <w:left w:val="single" w:sz="4" w:space="0" w:color="000000"/>
              <w:bottom w:val="single" w:sz="4" w:space="0" w:color="000000"/>
              <w:right w:val="single" w:sz="4" w:space="0" w:color="000000"/>
            </w:tcBorders>
          </w:tcPr>
          <w:p w14:paraId="396B6476" w14:textId="77777777" w:rsidR="006F7E86" w:rsidRPr="001F545D" w:rsidRDefault="006F7E86" w:rsidP="006F7E86">
            <w:pPr>
              <w:pStyle w:val="TableParagraph"/>
              <w:kinsoku w:val="0"/>
              <w:overflowPunct w:val="0"/>
              <w:spacing w:line="186" w:lineRule="exact"/>
              <w:ind w:left="105"/>
              <w:rPr>
                <w:rFonts w:eastAsia="Times New Roman"/>
                <w:spacing w:val="-2"/>
                <w:sz w:val="18"/>
                <w:szCs w:val="18"/>
              </w:rPr>
            </w:pPr>
            <w:r>
              <w:rPr>
                <w:sz w:val="18"/>
              </w:rPr>
              <w:t>A7000</w:t>
            </w:r>
          </w:p>
        </w:tc>
      </w:tr>
      <w:tr w:rsidR="006F7E86" w:rsidRPr="001F545D" w14:paraId="2F541ED0" w14:textId="77777777">
        <w:trPr>
          <w:trHeight w:val="208"/>
        </w:trPr>
        <w:tc>
          <w:tcPr>
            <w:tcW w:w="2338" w:type="dxa"/>
            <w:tcBorders>
              <w:top w:val="single" w:sz="4" w:space="0" w:color="000000"/>
              <w:left w:val="single" w:sz="4" w:space="0" w:color="000000"/>
              <w:bottom w:val="single" w:sz="4" w:space="0" w:color="000000"/>
              <w:right w:val="single" w:sz="4" w:space="0" w:color="000000"/>
            </w:tcBorders>
          </w:tcPr>
          <w:p w14:paraId="76196E7E" w14:textId="77777777" w:rsidR="006F7E86" w:rsidRPr="001F545D" w:rsidRDefault="006F7E86" w:rsidP="003608D0">
            <w:pPr>
              <w:pStyle w:val="TableParagraph"/>
              <w:kinsoku w:val="0"/>
              <w:overflowPunct w:val="0"/>
              <w:spacing w:line="188" w:lineRule="exact"/>
              <w:ind w:left="106"/>
              <w:rPr>
                <w:rFonts w:ascii="Times New Roman" w:hAnsi="Times New Roman" w:cs="Times New Roman"/>
                <w:sz w:val="14"/>
                <w:szCs w:val="14"/>
              </w:rPr>
            </w:pPr>
            <w:r>
              <w:rPr>
                <w:sz w:val="18"/>
              </w:rPr>
              <w:t>A8000</w:t>
            </w:r>
          </w:p>
        </w:tc>
        <w:tc>
          <w:tcPr>
            <w:tcW w:w="2339" w:type="dxa"/>
            <w:tcBorders>
              <w:top w:val="single" w:sz="4" w:space="0" w:color="000000"/>
              <w:left w:val="single" w:sz="4" w:space="0" w:color="000000"/>
              <w:bottom w:val="single" w:sz="4" w:space="0" w:color="000000"/>
              <w:right w:val="single" w:sz="4" w:space="0" w:color="000000"/>
            </w:tcBorders>
          </w:tcPr>
          <w:p w14:paraId="48B0DE6B"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c>
          <w:tcPr>
            <w:tcW w:w="2339" w:type="dxa"/>
            <w:tcBorders>
              <w:top w:val="single" w:sz="4" w:space="0" w:color="000000"/>
              <w:left w:val="single" w:sz="4" w:space="0" w:color="000000"/>
              <w:bottom w:val="single" w:sz="4" w:space="0" w:color="000000"/>
              <w:right w:val="single" w:sz="4" w:space="0" w:color="000000"/>
            </w:tcBorders>
          </w:tcPr>
          <w:p w14:paraId="44519872"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c>
          <w:tcPr>
            <w:tcW w:w="2339" w:type="dxa"/>
            <w:tcBorders>
              <w:top w:val="single" w:sz="4" w:space="0" w:color="000000"/>
              <w:left w:val="single" w:sz="4" w:space="0" w:color="000000"/>
              <w:bottom w:val="single" w:sz="4" w:space="0" w:color="000000"/>
              <w:right w:val="single" w:sz="4" w:space="0" w:color="000000"/>
            </w:tcBorders>
          </w:tcPr>
          <w:p w14:paraId="095224A2"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r>
    </w:tbl>
    <w:p w14:paraId="492EE1BC" w14:textId="77777777" w:rsidR="00DF3509" w:rsidRDefault="00DF3509">
      <w:pPr>
        <w:pStyle w:val="BodyText"/>
        <w:kinsoku w:val="0"/>
        <w:overflowPunct w:val="0"/>
        <w:rPr>
          <w:rFonts w:ascii="Cambria" w:hAnsi="Cambria" w:cs="Cambria"/>
          <w:i/>
          <w:iCs/>
          <w:sz w:val="20"/>
          <w:szCs w:val="20"/>
        </w:rPr>
      </w:pPr>
    </w:p>
    <w:p w14:paraId="2696D0C6" w14:textId="77777777" w:rsidR="00DF3509" w:rsidRDefault="00DF3509">
      <w:pPr>
        <w:pStyle w:val="BodyText"/>
        <w:kinsoku w:val="0"/>
        <w:overflowPunct w:val="0"/>
        <w:spacing w:line="276" w:lineRule="auto"/>
        <w:ind w:left="840" w:right="873"/>
      </w:pPr>
      <w:r>
        <w:t>Precauzioni per l'</w:t>
      </w:r>
      <w:r>
        <w:rPr>
          <w:b/>
        </w:rPr>
        <w:t>installazione</w:t>
      </w:r>
      <w:r>
        <w:t xml:space="preserve"> di questi apparecchi all'aperto: tenere presente che le installazioni all'aperto richiedono particolare attenzione e devono essere gestite esclusivamente da personale di installazione specializzato e qualificato. A nessun altro utente è consentito installare prodotti wireless NETGEAR all'esterno quando per l'uso è necessario installare antenne esterne e predisporre un'alimentazione e una messa a terra.</w:t>
      </w:r>
    </w:p>
    <w:p w14:paraId="02D40FDA" w14:textId="77777777" w:rsidR="006F7E86" w:rsidRDefault="00DF3509">
      <w:pPr>
        <w:pStyle w:val="BodyText"/>
        <w:kinsoku w:val="0"/>
        <w:overflowPunct w:val="0"/>
        <w:spacing w:before="1" w:line="276" w:lineRule="auto"/>
        <w:ind w:left="840" w:right="779"/>
      </w:pPr>
      <w:r>
        <w:t xml:space="preserve">Prestare particolare attenzione alle frequenze operative consentite. Contattare NETGEAR per istruzioni su come contattare un installatore per il funzionamento all'aperto se il prodotto richiede particolari considerazioni per le installazioni all'aperto. </w:t>
      </w:r>
    </w:p>
    <w:p w14:paraId="1C70E275" w14:textId="77777777" w:rsidR="006F7E86" w:rsidRDefault="006F7E86">
      <w:pPr>
        <w:pStyle w:val="BodyText"/>
        <w:kinsoku w:val="0"/>
        <w:overflowPunct w:val="0"/>
        <w:spacing w:before="1" w:line="276" w:lineRule="auto"/>
        <w:ind w:left="840" w:right="779"/>
      </w:pPr>
    </w:p>
    <w:p w14:paraId="31AC6831" w14:textId="264AA840" w:rsidR="00DF3509" w:rsidRDefault="00DF3509">
      <w:pPr>
        <w:pStyle w:val="BodyText"/>
        <w:kinsoku w:val="0"/>
        <w:overflowPunct w:val="0"/>
        <w:spacing w:before="1" w:line="276" w:lineRule="auto"/>
        <w:ind w:left="840" w:right="779"/>
      </w:pPr>
      <w:r>
        <w:t xml:space="preserve">Per informazioni dettagliate relative alle installazioni in Francia, l'utente deve contattare l'autorità per l'utilizzo dello spettro radio nazionale in Francia </w:t>
      </w:r>
      <w:hyperlink r:id="rId12" w:history="1">
        <w:r>
          <w:t>(htt</w:t>
        </w:r>
      </w:hyperlink>
      <w:r>
        <w:t>p</w:t>
      </w:r>
      <w:hyperlink r:id="rId13" w:history="1">
        <w:r>
          <w:t>://www.arcep.fr/</w:t>
        </w:r>
      </w:hyperlink>
      <w:r>
        <w:t>)</w:t>
      </w:r>
    </w:p>
    <w:p w14:paraId="3E25E76F" w14:textId="77777777" w:rsidR="00C5519F" w:rsidRPr="003608D0" w:rsidRDefault="00DF3509" w:rsidP="003608D0">
      <w:pPr>
        <w:pStyle w:val="BodyText"/>
        <w:kinsoku w:val="0"/>
        <w:overflowPunct w:val="0"/>
        <w:spacing w:before="120" w:line="276" w:lineRule="auto"/>
        <w:ind w:left="839" w:right="777"/>
        <w:rPr>
          <w:spacing w:val="-5"/>
        </w:rPr>
      </w:pPr>
      <w:r>
        <w:t xml:space="preserve">In alcuni Paesi, il dispositivo è limitato all'uso in ambienti interni quando si utilizza nelle seguenti gamme di frequenza: </w:t>
      </w:r>
    </w:p>
    <w:p w14:paraId="4F2C59AD" w14:textId="77777777" w:rsidR="00DF3509" w:rsidRDefault="00DF3509" w:rsidP="003608D0">
      <w:pPr>
        <w:pStyle w:val="BodyText"/>
        <w:kinsoku w:val="0"/>
        <w:overflowPunct w:val="0"/>
        <w:spacing w:line="280" w:lineRule="atLeast"/>
        <w:ind w:left="2160" w:right="1746" w:hanging="720"/>
      </w:pPr>
      <w:r>
        <w:t>da 5150 a 5350 MHz</w:t>
      </w:r>
    </w:p>
    <w:p w14:paraId="73791F35" w14:textId="77777777" w:rsidR="00DF3509" w:rsidRPr="00D64177" w:rsidRDefault="00DF3509" w:rsidP="00C5519F">
      <w:pPr>
        <w:pStyle w:val="BodyText"/>
        <w:kinsoku w:val="0"/>
        <w:overflowPunct w:val="0"/>
        <w:spacing w:before="8"/>
        <w:ind w:left="1440"/>
        <w:rPr>
          <w:spacing w:val="-5"/>
        </w:rPr>
      </w:pPr>
      <w:r>
        <w:t>da 5925 a 7125 MHz</w:t>
      </w:r>
    </w:p>
    <w:p w14:paraId="08AF1A89" w14:textId="77777777" w:rsidR="00C5519F" w:rsidRPr="00D64177" w:rsidRDefault="00C5519F" w:rsidP="003608D0">
      <w:pPr>
        <w:pStyle w:val="BodyText"/>
        <w:kinsoku w:val="0"/>
        <w:overflowPunct w:val="0"/>
        <w:spacing w:before="120" w:line="276" w:lineRule="auto"/>
        <w:ind w:left="839" w:right="777"/>
        <w:rPr>
          <w:spacing w:val="-5"/>
        </w:rPr>
      </w:pPr>
      <w:r>
        <w:t xml:space="preserve">Per i dettagli, consultare l'autorità nazionale. </w:t>
      </w:r>
    </w:p>
    <w:p w14:paraId="4099AAFF" w14:textId="77777777" w:rsidR="00DF3509" w:rsidRPr="00D64177" w:rsidRDefault="00DF3509" w:rsidP="003608D0">
      <w:pPr>
        <w:pStyle w:val="BodyText"/>
        <w:kinsoku w:val="0"/>
        <w:overflowPunct w:val="0"/>
        <w:spacing w:before="120" w:line="278" w:lineRule="auto"/>
        <w:ind w:left="839" w:right="873"/>
      </w:pPr>
      <w:r>
        <w:t>Le normative FCC e ISED limitano l'utilizzo di questo dispositivo agli ambienti interni esclusivamente per la modalità Access Point nelle frequenze da 5850 a 7125 MHz.</w:t>
      </w:r>
    </w:p>
    <w:p w14:paraId="6241DF70" w14:textId="77777777" w:rsidR="00DF3509" w:rsidRPr="00D64177" w:rsidRDefault="00DF3509">
      <w:pPr>
        <w:pStyle w:val="BodyText"/>
        <w:kinsoku w:val="0"/>
        <w:overflowPunct w:val="0"/>
        <w:spacing w:before="2"/>
        <w:rPr>
          <w:sz w:val="17"/>
          <w:szCs w:val="17"/>
        </w:rPr>
      </w:pPr>
    </w:p>
    <w:p w14:paraId="1425AD9F" w14:textId="77777777" w:rsidR="00DF3509" w:rsidRDefault="00DF3509">
      <w:pPr>
        <w:pStyle w:val="Heading2"/>
        <w:kinsoku w:val="0"/>
        <w:overflowPunct w:val="0"/>
        <w:spacing w:before="1"/>
        <w:rPr>
          <w:spacing w:val="-2"/>
        </w:rPr>
      </w:pPr>
      <w:bookmarkStart w:id="17" w:name="_bookmark8"/>
      <w:bookmarkStart w:id="18" w:name="_Toc147398202"/>
      <w:bookmarkEnd w:id="17"/>
      <w:r>
        <w:t>Apparecchiature con antenne esterne</w:t>
      </w:r>
      <w:bookmarkEnd w:id="18"/>
    </w:p>
    <w:p w14:paraId="04826FC0" w14:textId="77777777" w:rsidR="00DF3509" w:rsidRDefault="00DF3509">
      <w:pPr>
        <w:pStyle w:val="BodyText"/>
        <w:kinsoku w:val="0"/>
        <w:overflowPunct w:val="0"/>
        <w:spacing w:before="102" w:line="278" w:lineRule="auto"/>
        <w:ind w:left="840" w:right="873"/>
      </w:pPr>
      <w:r>
        <w:t>Le apparecchiature devono utilizzare antenne e cavi specificati o di altro tipo affinché il guadagno di rete (antenna + cavo) sia inferiore a quanto specificato qui di seguito:</w:t>
      </w:r>
    </w:p>
    <w:p w14:paraId="1B05DB10" w14:textId="77777777" w:rsidR="00DF3509" w:rsidRDefault="00DF3509">
      <w:pPr>
        <w:pStyle w:val="BodyText"/>
        <w:kinsoku w:val="0"/>
        <w:overflowPunct w:val="0"/>
        <w:spacing w:before="102" w:line="278" w:lineRule="auto"/>
        <w:ind w:left="840" w:right="873"/>
        <w:sectPr w:rsidR="00DF3509">
          <w:pgSz w:w="12240" w:h="15840"/>
          <w:pgMar w:top="1360" w:right="680" w:bottom="1140" w:left="600" w:header="0" w:footer="950" w:gutter="0"/>
          <w:cols w:space="720"/>
          <w:noEndnote/>
        </w:sectPr>
      </w:pPr>
    </w:p>
    <w:p w14:paraId="4AB1C523" w14:textId="77777777" w:rsidR="00DF3509" w:rsidRDefault="00DF3509">
      <w:pPr>
        <w:pStyle w:val="BodyText"/>
        <w:kinsoku w:val="0"/>
        <w:overflowPunct w:val="0"/>
        <w:spacing w:before="79" w:after="33"/>
        <w:ind w:left="840"/>
        <w:rPr>
          <w:rFonts w:ascii="Cambria" w:hAnsi="Cambria" w:cs="Cambria"/>
          <w:i/>
          <w:iCs/>
          <w:color w:val="365F91"/>
          <w:spacing w:val="-4"/>
        </w:rPr>
      </w:pPr>
      <w:r>
        <w:rPr>
          <w:rFonts w:ascii="Cambria" w:hAnsi="Cambria"/>
          <w:i/>
          <w:color w:val="365F91"/>
        </w:rPr>
        <w:lastRenderedPageBreak/>
        <w:t>Tabella 2. Guadagno antenna esterna</w:t>
      </w:r>
    </w:p>
    <w:tbl>
      <w:tblPr>
        <w:tblW w:w="0" w:type="auto"/>
        <w:tblInd w:w="850" w:type="dxa"/>
        <w:tblLayout w:type="fixed"/>
        <w:tblCellMar>
          <w:left w:w="0" w:type="dxa"/>
          <w:right w:w="0" w:type="dxa"/>
        </w:tblCellMar>
        <w:tblLook w:val="0000" w:firstRow="0" w:lastRow="0" w:firstColumn="0" w:lastColumn="0" w:noHBand="0" w:noVBand="0"/>
      </w:tblPr>
      <w:tblGrid>
        <w:gridCol w:w="2054"/>
        <w:gridCol w:w="3521"/>
        <w:gridCol w:w="1079"/>
        <w:gridCol w:w="3240"/>
      </w:tblGrid>
      <w:tr w:rsidR="00DF3509" w:rsidRPr="001F545D" w14:paraId="3ED5FCD4" w14:textId="77777777">
        <w:trPr>
          <w:trHeight w:val="1033"/>
        </w:trPr>
        <w:tc>
          <w:tcPr>
            <w:tcW w:w="2054" w:type="dxa"/>
            <w:tcBorders>
              <w:top w:val="single" w:sz="4" w:space="0" w:color="000000"/>
              <w:left w:val="single" w:sz="4" w:space="0" w:color="000000"/>
              <w:bottom w:val="single" w:sz="4" w:space="0" w:color="000000"/>
              <w:right w:val="single" w:sz="4" w:space="0" w:color="000000"/>
            </w:tcBorders>
          </w:tcPr>
          <w:p w14:paraId="20E49EC4" w14:textId="77777777" w:rsidR="00DF3509" w:rsidRPr="001F545D" w:rsidRDefault="00DF3509">
            <w:pPr>
              <w:pStyle w:val="TableParagraph"/>
              <w:kinsoku w:val="0"/>
              <w:overflowPunct w:val="0"/>
              <w:spacing w:line="206" w:lineRule="exact"/>
              <w:rPr>
                <w:rFonts w:eastAsia="Times New Roman"/>
                <w:b/>
                <w:bCs/>
                <w:spacing w:val="-2"/>
                <w:sz w:val="18"/>
                <w:szCs w:val="18"/>
              </w:rPr>
            </w:pPr>
            <w:r>
              <w:rPr>
                <w:b/>
                <w:sz w:val="18"/>
              </w:rPr>
              <w:t>Prodotto</w:t>
            </w:r>
          </w:p>
        </w:tc>
        <w:tc>
          <w:tcPr>
            <w:tcW w:w="3521" w:type="dxa"/>
            <w:tcBorders>
              <w:top w:val="single" w:sz="4" w:space="0" w:color="000000"/>
              <w:left w:val="single" w:sz="4" w:space="0" w:color="000000"/>
              <w:bottom w:val="single" w:sz="4" w:space="0" w:color="000000"/>
              <w:right w:val="single" w:sz="4" w:space="0" w:color="000000"/>
            </w:tcBorders>
          </w:tcPr>
          <w:p w14:paraId="7DAB90E1" w14:textId="77777777" w:rsidR="00DF3509" w:rsidRPr="001F545D" w:rsidRDefault="00DF3509">
            <w:pPr>
              <w:pStyle w:val="TableParagraph"/>
              <w:kinsoku w:val="0"/>
              <w:overflowPunct w:val="0"/>
              <w:spacing w:line="206" w:lineRule="exact"/>
              <w:ind w:left="105"/>
              <w:rPr>
                <w:rFonts w:eastAsia="Times New Roman"/>
                <w:b/>
                <w:bCs/>
                <w:spacing w:val="-2"/>
                <w:sz w:val="18"/>
                <w:szCs w:val="18"/>
              </w:rPr>
            </w:pPr>
            <w:r>
              <w:rPr>
                <w:b/>
                <w:sz w:val="18"/>
              </w:rPr>
              <w:t>Frequenza</w:t>
            </w:r>
          </w:p>
        </w:tc>
        <w:tc>
          <w:tcPr>
            <w:tcW w:w="1079" w:type="dxa"/>
            <w:tcBorders>
              <w:top w:val="single" w:sz="4" w:space="0" w:color="000000"/>
              <w:left w:val="single" w:sz="4" w:space="0" w:color="000000"/>
              <w:bottom w:val="single" w:sz="4" w:space="0" w:color="000000"/>
              <w:right w:val="single" w:sz="4" w:space="0" w:color="000000"/>
            </w:tcBorders>
          </w:tcPr>
          <w:p w14:paraId="39E1F31C" w14:textId="77777777" w:rsidR="00DF3509" w:rsidRPr="001F545D" w:rsidRDefault="00DF3509">
            <w:pPr>
              <w:pStyle w:val="TableParagraph"/>
              <w:kinsoku w:val="0"/>
              <w:overflowPunct w:val="0"/>
              <w:ind w:left="108" w:right="124"/>
              <w:rPr>
                <w:rFonts w:eastAsia="Times New Roman"/>
                <w:b/>
                <w:bCs/>
                <w:spacing w:val="-2"/>
                <w:sz w:val="18"/>
                <w:szCs w:val="18"/>
              </w:rPr>
            </w:pPr>
            <w:r>
              <w:rPr>
                <w:b/>
                <w:sz w:val="18"/>
              </w:rPr>
              <w:t>Guadagno netto (dBi) massimo</w:t>
            </w:r>
          </w:p>
          <w:p w14:paraId="2C385E40" w14:textId="77777777" w:rsidR="00DF3509" w:rsidRPr="001F545D" w:rsidRDefault="00DF3509">
            <w:pPr>
              <w:pStyle w:val="TableParagraph"/>
              <w:kinsoku w:val="0"/>
              <w:overflowPunct w:val="0"/>
              <w:spacing w:line="206" w:lineRule="exact"/>
              <w:ind w:left="108" w:right="213"/>
              <w:rPr>
                <w:rFonts w:eastAsia="Times New Roman"/>
                <w:b/>
                <w:bCs/>
                <w:spacing w:val="-2"/>
                <w:sz w:val="18"/>
                <w:szCs w:val="18"/>
              </w:rPr>
            </w:pPr>
            <w:r>
              <w:rPr>
                <w:b/>
                <w:sz w:val="18"/>
              </w:rPr>
              <w:t>antenna esterna</w:t>
            </w:r>
          </w:p>
        </w:tc>
        <w:tc>
          <w:tcPr>
            <w:tcW w:w="3240" w:type="dxa"/>
            <w:tcBorders>
              <w:top w:val="single" w:sz="4" w:space="0" w:color="000000"/>
              <w:left w:val="single" w:sz="4" w:space="0" w:color="000000"/>
              <w:bottom w:val="single" w:sz="4" w:space="0" w:color="000000"/>
              <w:right w:val="single" w:sz="4" w:space="0" w:color="000000"/>
            </w:tcBorders>
          </w:tcPr>
          <w:p w14:paraId="0984985E" w14:textId="77777777" w:rsidR="00DF3509" w:rsidRPr="001F545D" w:rsidRDefault="00DF3509">
            <w:pPr>
              <w:pStyle w:val="TableParagraph"/>
              <w:kinsoku w:val="0"/>
              <w:overflowPunct w:val="0"/>
              <w:ind w:left="109" w:right="874"/>
              <w:rPr>
                <w:rFonts w:eastAsia="Times New Roman"/>
                <w:b/>
                <w:bCs/>
                <w:spacing w:val="-2"/>
                <w:sz w:val="18"/>
                <w:szCs w:val="18"/>
              </w:rPr>
            </w:pPr>
            <w:r>
              <w:rPr>
                <w:b/>
                <w:sz w:val="18"/>
              </w:rPr>
              <w:t>Antenne consigliate o predefinite</w:t>
            </w:r>
          </w:p>
        </w:tc>
      </w:tr>
      <w:tr w:rsidR="00DF3509" w:rsidRPr="001F545D" w14:paraId="42FB26FC"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32513113" w14:textId="77777777" w:rsidR="00DF3509" w:rsidRPr="001F545D" w:rsidRDefault="00DF3509">
            <w:pPr>
              <w:pStyle w:val="TableParagraph"/>
              <w:kinsoku w:val="0"/>
              <w:overflowPunct w:val="0"/>
              <w:spacing w:before="1"/>
              <w:rPr>
                <w:rFonts w:eastAsia="Times New Roman"/>
                <w:spacing w:val="-2"/>
                <w:sz w:val="18"/>
                <w:szCs w:val="18"/>
              </w:rPr>
            </w:pPr>
            <w:r>
              <w:rPr>
                <w:sz w:val="18"/>
              </w:rPr>
              <w:t>EX6200</w:t>
            </w:r>
          </w:p>
        </w:tc>
        <w:tc>
          <w:tcPr>
            <w:tcW w:w="3521" w:type="dxa"/>
            <w:tcBorders>
              <w:top w:val="single" w:sz="4" w:space="0" w:color="000000"/>
              <w:left w:val="single" w:sz="4" w:space="0" w:color="000000"/>
              <w:bottom w:val="single" w:sz="4" w:space="0" w:color="000000"/>
              <w:right w:val="single" w:sz="4" w:space="0" w:color="000000"/>
            </w:tcBorders>
          </w:tcPr>
          <w:p w14:paraId="6FD47A7E"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456C36C0"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637D2AB5"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53DC3C1E" w14:textId="77777777" w:rsidR="00DF3509" w:rsidRPr="001F545D" w:rsidRDefault="00DF3509">
            <w:pPr>
              <w:pStyle w:val="TableParagraph"/>
              <w:kinsoku w:val="0"/>
              <w:overflowPunct w:val="0"/>
              <w:spacing w:before="1"/>
              <w:ind w:left="109"/>
              <w:rPr>
                <w:rFonts w:eastAsia="Times New Roman"/>
                <w:spacing w:val="-2"/>
                <w:sz w:val="17"/>
                <w:szCs w:val="17"/>
              </w:rPr>
            </w:pPr>
            <w:r>
              <w:rPr>
                <w:sz w:val="18"/>
              </w:rPr>
              <w:t xml:space="preserve">Masterwave </w:t>
            </w:r>
            <w:r>
              <w:rPr>
                <w:sz w:val="17"/>
              </w:rPr>
              <w:t>98619PRSX005</w:t>
            </w:r>
          </w:p>
        </w:tc>
      </w:tr>
      <w:tr w:rsidR="00DF3509" w:rsidRPr="001F545D" w14:paraId="62D2B356"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38137474"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RS400</w:t>
            </w:r>
          </w:p>
        </w:tc>
        <w:tc>
          <w:tcPr>
            <w:tcW w:w="3521" w:type="dxa"/>
            <w:tcBorders>
              <w:top w:val="single" w:sz="4" w:space="0" w:color="000000"/>
              <w:left w:val="single" w:sz="4" w:space="0" w:color="000000"/>
              <w:bottom w:val="single" w:sz="4" w:space="0" w:color="000000"/>
              <w:right w:val="single" w:sz="4" w:space="0" w:color="000000"/>
            </w:tcBorders>
          </w:tcPr>
          <w:p w14:paraId="5D6756FD"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6081015F" w14:textId="77777777" w:rsidR="00DF3509" w:rsidRPr="001F545D" w:rsidRDefault="00DF3509">
            <w:pPr>
              <w:pStyle w:val="TableParagraph"/>
              <w:kinsoku w:val="0"/>
              <w:overflowPunct w:val="0"/>
              <w:spacing w:before="2"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501E9511"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40499B2C" w14:textId="77777777" w:rsidR="00DF3509" w:rsidRPr="001F545D" w:rsidRDefault="00DF3509">
            <w:pPr>
              <w:pStyle w:val="TableParagraph"/>
              <w:kinsoku w:val="0"/>
              <w:overflowPunct w:val="0"/>
              <w:spacing w:line="206" w:lineRule="exact"/>
              <w:ind w:left="109"/>
              <w:rPr>
                <w:rFonts w:eastAsia="Times New Roman"/>
                <w:spacing w:val="-2"/>
                <w:sz w:val="18"/>
                <w:szCs w:val="18"/>
              </w:rPr>
            </w:pPr>
            <w:r>
              <w:rPr>
                <w:sz w:val="18"/>
              </w:rPr>
              <w:t>Masterwave 98364PRSX004</w:t>
            </w:r>
          </w:p>
        </w:tc>
      </w:tr>
      <w:tr w:rsidR="00DF3509" w:rsidRPr="001F545D" w14:paraId="561E10EB"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4836C79A"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R6800</w:t>
            </w:r>
          </w:p>
        </w:tc>
        <w:tc>
          <w:tcPr>
            <w:tcW w:w="3521" w:type="dxa"/>
            <w:tcBorders>
              <w:top w:val="single" w:sz="4" w:space="0" w:color="000000"/>
              <w:left w:val="single" w:sz="4" w:space="0" w:color="000000"/>
              <w:bottom w:val="single" w:sz="4" w:space="0" w:color="000000"/>
              <w:right w:val="single" w:sz="4" w:space="0" w:color="000000"/>
            </w:tcBorders>
          </w:tcPr>
          <w:p w14:paraId="78944538"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6B307339"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3CC1318A"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5A966142" w14:textId="77777777" w:rsidR="00DF3509" w:rsidRPr="001F545D" w:rsidRDefault="00DF3509">
            <w:pPr>
              <w:pStyle w:val="TableParagraph"/>
              <w:kinsoku w:val="0"/>
              <w:overflowPunct w:val="0"/>
              <w:spacing w:line="206" w:lineRule="exact"/>
              <w:ind w:left="109"/>
              <w:rPr>
                <w:rFonts w:eastAsia="Times New Roman"/>
                <w:spacing w:val="-2"/>
                <w:sz w:val="18"/>
                <w:szCs w:val="18"/>
              </w:rPr>
            </w:pPr>
            <w:r>
              <w:rPr>
                <w:sz w:val="18"/>
              </w:rPr>
              <w:t>Masterwave 98364PRSX004</w:t>
            </w:r>
          </w:p>
        </w:tc>
      </w:tr>
      <w:tr w:rsidR="00DF3509" w:rsidRPr="001F545D" w14:paraId="2008C44C"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5A7BEF72" w14:textId="77777777" w:rsidR="00DF3509" w:rsidRPr="001F545D" w:rsidRDefault="00DF3509">
            <w:pPr>
              <w:pStyle w:val="TableParagraph"/>
              <w:kinsoku w:val="0"/>
              <w:overflowPunct w:val="0"/>
              <w:spacing w:before="1"/>
              <w:rPr>
                <w:rFonts w:eastAsia="Times New Roman"/>
                <w:spacing w:val="-2"/>
                <w:sz w:val="18"/>
                <w:szCs w:val="18"/>
              </w:rPr>
            </w:pPr>
            <w:r>
              <w:rPr>
                <w:sz w:val="18"/>
              </w:rPr>
              <w:t>R6900P, R7000P</w:t>
            </w:r>
          </w:p>
        </w:tc>
        <w:tc>
          <w:tcPr>
            <w:tcW w:w="3521" w:type="dxa"/>
            <w:tcBorders>
              <w:top w:val="single" w:sz="4" w:space="0" w:color="000000"/>
              <w:left w:val="single" w:sz="4" w:space="0" w:color="000000"/>
              <w:bottom w:val="single" w:sz="4" w:space="0" w:color="000000"/>
              <w:right w:val="single" w:sz="4" w:space="0" w:color="000000"/>
            </w:tcBorders>
          </w:tcPr>
          <w:p w14:paraId="5F9DCDB7"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43E9D580"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7CB0582D"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1433BDE5" w14:textId="77777777" w:rsidR="00DF3509" w:rsidRPr="001F545D" w:rsidRDefault="00DF3509">
            <w:pPr>
              <w:pStyle w:val="TableParagraph"/>
              <w:kinsoku w:val="0"/>
              <w:overflowPunct w:val="0"/>
              <w:spacing w:before="1"/>
              <w:ind w:left="109"/>
              <w:rPr>
                <w:rFonts w:eastAsia="Times New Roman"/>
                <w:spacing w:val="-2"/>
                <w:sz w:val="18"/>
                <w:szCs w:val="18"/>
              </w:rPr>
            </w:pPr>
            <w:r>
              <w:rPr>
                <w:sz w:val="18"/>
              </w:rPr>
              <w:t>Masterwave 98364PRSX004</w:t>
            </w:r>
          </w:p>
        </w:tc>
      </w:tr>
      <w:tr w:rsidR="00DF3509" w:rsidRPr="001F545D" w14:paraId="0A189C98"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0B5F63BD"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R6900, R7450</w:t>
            </w:r>
          </w:p>
        </w:tc>
        <w:tc>
          <w:tcPr>
            <w:tcW w:w="3521" w:type="dxa"/>
            <w:tcBorders>
              <w:top w:val="single" w:sz="4" w:space="0" w:color="000000"/>
              <w:left w:val="single" w:sz="4" w:space="0" w:color="000000"/>
              <w:bottom w:val="single" w:sz="4" w:space="0" w:color="000000"/>
              <w:right w:val="single" w:sz="4" w:space="0" w:color="000000"/>
            </w:tcBorders>
          </w:tcPr>
          <w:p w14:paraId="6582121D"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49FDD52D" w14:textId="77777777" w:rsidR="00DF3509" w:rsidRPr="001F545D" w:rsidRDefault="00DF3509">
            <w:pPr>
              <w:pStyle w:val="TableParagraph"/>
              <w:kinsoku w:val="0"/>
              <w:overflowPunct w:val="0"/>
              <w:spacing w:before="2"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29E7F5BE"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42CB3E0F" w14:textId="77777777" w:rsidR="00DF3509" w:rsidRPr="001F545D" w:rsidRDefault="00DF3509">
            <w:pPr>
              <w:pStyle w:val="TableParagraph"/>
              <w:kinsoku w:val="0"/>
              <w:overflowPunct w:val="0"/>
              <w:spacing w:line="206" w:lineRule="exact"/>
              <w:ind w:left="109"/>
              <w:rPr>
                <w:rFonts w:eastAsia="Times New Roman"/>
                <w:spacing w:val="-2"/>
                <w:sz w:val="18"/>
                <w:szCs w:val="18"/>
              </w:rPr>
            </w:pPr>
            <w:r>
              <w:rPr>
                <w:sz w:val="18"/>
              </w:rPr>
              <w:t>Masterwave 98364PRSX009</w:t>
            </w:r>
          </w:p>
        </w:tc>
      </w:tr>
      <w:tr w:rsidR="00DF3509" w:rsidRPr="001F545D" w14:paraId="177A011E"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6D3C3035" w14:textId="77777777" w:rsidR="00DF3509" w:rsidRPr="001F545D" w:rsidRDefault="00DF3509">
            <w:pPr>
              <w:pStyle w:val="TableParagraph"/>
              <w:kinsoku w:val="0"/>
              <w:overflowPunct w:val="0"/>
              <w:spacing w:line="207" w:lineRule="exact"/>
              <w:rPr>
                <w:rFonts w:eastAsia="Times New Roman"/>
                <w:spacing w:val="-2"/>
                <w:sz w:val="18"/>
                <w:szCs w:val="18"/>
              </w:rPr>
            </w:pPr>
            <w:r>
              <w:rPr>
                <w:sz w:val="18"/>
              </w:rPr>
              <w:t>AC2600,</w:t>
            </w:r>
          </w:p>
        </w:tc>
        <w:tc>
          <w:tcPr>
            <w:tcW w:w="3521" w:type="dxa"/>
            <w:tcBorders>
              <w:top w:val="single" w:sz="4" w:space="0" w:color="000000"/>
              <w:left w:val="single" w:sz="4" w:space="0" w:color="000000"/>
              <w:bottom w:val="single" w:sz="4" w:space="0" w:color="000000"/>
              <w:right w:val="single" w:sz="4" w:space="0" w:color="000000"/>
            </w:tcBorders>
          </w:tcPr>
          <w:p w14:paraId="39125BEA"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105CE0D3"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5629B6B3"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1952C5C6" w14:textId="77777777" w:rsidR="00DF3509" w:rsidRPr="001F545D" w:rsidRDefault="00DF3509">
            <w:pPr>
              <w:pStyle w:val="TableParagraph"/>
              <w:kinsoku w:val="0"/>
              <w:overflowPunct w:val="0"/>
              <w:spacing w:line="207" w:lineRule="exact"/>
              <w:ind w:left="109"/>
              <w:rPr>
                <w:rFonts w:eastAsia="Times New Roman"/>
                <w:spacing w:val="-2"/>
                <w:sz w:val="18"/>
                <w:szCs w:val="18"/>
              </w:rPr>
            </w:pPr>
            <w:r>
              <w:rPr>
                <w:sz w:val="18"/>
              </w:rPr>
              <w:t>Masterwave 98364PRSX009</w:t>
            </w:r>
          </w:p>
        </w:tc>
      </w:tr>
      <w:tr w:rsidR="00DF3509" w:rsidRPr="001F545D" w14:paraId="07312497"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3E899A9D" w14:textId="77777777" w:rsidR="00DF3509" w:rsidRPr="001F545D" w:rsidRDefault="00DF3509">
            <w:pPr>
              <w:pStyle w:val="TableParagraph"/>
              <w:kinsoku w:val="0"/>
              <w:overflowPunct w:val="0"/>
              <w:spacing w:before="1"/>
              <w:rPr>
                <w:rFonts w:eastAsia="Times New Roman"/>
                <w:spacing w:val="-4"/>
                <w:sz w:val="18"/>
                <w:szCs w:val="18"/>
              </w:rPr>
            </w:pPr>
            <w:r>
              <w:rPr>
                <w:sz w:val="18"/>
              </w:rPr>
              <w:t>R7200, R7350, R7400</w:t>
            </w:r>
          </w:p>
        </w:tc>
        <w:tc>
          <w:tcPr>
            <w:tcW w:w="3521" w:type="dxa"/>
            <w:tcBorders>
              <w:top w:val="single" w:sz="4" w:space="0" w:color="000000"/>
              <w:left w:val="single" w:sz="4" w:space="0" w:color="000000"/>
              <w:bottom w:val="single" w:sz="4" w:space="0" w:color="000000"/>
              <w:right w:val="single" w:sz="4" w:space="0" w:color="000000"/>
            </w:tcBorders>
          </w:tcPr>
          <w:p w14:paraId="3FFD5426"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74920AD8"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21B706E4"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05902D93" w14:textId="77777777" w:rsidR="00DF3509" w:rsidRPr="001F545D" w:rsidRDefault="00DF3509">
            <w:pPr>
              <w:pStyle w:val="TableParagraph"/>
              <w:kinsoku w:val="0"/>
              <w:overflowPunct w:val="0"/>
              <w:spacing w:before="1"/>
              <w:ind w:left="109"/>
              <w:rPr>
                <w:rFonts w:eastAsia="Times New Roman"/>
                <w:spacing w:val="-2"/>
                <w:sz w:val="18"/>
                <w:szCs w:val="18"/>
              </w:rPr>
            </w:pPr>
            <w:r>
              <w:rPr>
                <w:sz w:val="18"/>
              </w:rPr>
              <w:t>Masterwave 98364PRSX009</w:t>
            </w:r>
          </w:p>
        </w:tc>
      </w:tr>
      <w:tr w:rsidR="00DF3509" w:rsidRPr="001F545D" w14:paraId="18E512D6"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03557393"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D7000</w:t>
            </w:r>
          </w:p>
        </w:tc>
        <w:tc>
          <w:tcPr>
            <w:tcW w:w="3521" w:type="dxa"/>
            <w:tcBorders>
              <w:top w:val="single" w:sz="4" w:space="0" w:color="000000"/>
              <w:left w:val="single" w:sz="4" w:space="0" w:color="000000"/>
              <w:bottom w:val="single" w:sz="4" w:space="0" w:color="000000"/>
              <w:right w:val="single" w:sz="4" w:space="0" w:color="000000"/>
            </w:tcBorders>
          </w:tcPr>
          <w:p w14:paraId="003F8328"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1F974437" w14:textId="77777777" w:rsidR="00DF3509" w:rsidRPr="001F545D" w:rsidRDefault="00DF3509">
            <w:pPr>
              <w:pStyle w:val="TableParagraph"/>
              <w:kinsoku w:val="0"/>
              <w:overflowPunct w:val="0"/>
              <w:spacing w:line="189"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0920ABAE"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4566EED4" w14:textId="77777777" w:rsidR="00DF3509" w:rsidRPr="001F545D" w:rsidRDefault="00DF3509">
            <w:pPr>
              <w:pStyle w:val="TableParagraph"/>
              <w:kinsoku w:val="0"/>
              <w:overflowPunct w:val="0"/>
              <w:spacing w:line="206" w:lineRule="exact"/>
              <w:ind w:left="109"/>
              <w:rPr>
                <w:rFonts w:eastAsia="Times New Roman"/>
                <w:color w:val="333333"/>
                <w:spacing w:val="-2"/>
                <w:sz w:val="17"/>
                <w:szCs w:val="17"/>
              </w:rPr>
            </w:pPr>
            <w:r>
              <w:rPr>
                <w:sz w:val="18"/>
              </w:rPr>
              <w:t xml:space="preserve">Masterwave </w:t>
            </w:r>
            <w:r>
              <w:rPr>
                <w:color w:val="333333"/>
                <w:sz w:val="17"/>
              </w:rPr>
              <w:t>98365PRSX000</w:t>
            </w:r>
          </w:p>
        </w:tc>
      </w:tr>
      <w:tr w:rsidR="00DF3509" w:rsidRPr="001F545D" w14:paraId="19BABD8A"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27104AB9"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EX7000, DC112A</w:t>
            </w:r>
          </w:p>
        </w:tc>
        <w:tc>
          <w:tcPr>
            <w:tcW w:w="3521" w:type="dxa"/>
            <w:tcBorders>
              <w:top w:val="single" w:sz="4" w:space="0" w:color="000000"/>
              <w:left w:val="single" w:sz="4" w:space="0" w:color="000000"/>
              <w:bottom w:val="single" w:sz="4" w:space="0" w:color="000000"/>
              <w:right w:val="single" w:sz="4" w:space="0" w:color="000000"/>
            </w:tcBorders>
          </w:tcPr>
          <w:p w14:paraId="370F70C7"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66664667"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7CA7BB86" w14:textId="77777777" w:rsidR="00DF3509" w:rsidRPr="001F545D" w:rsidRDefault="00DF3509">
            <w:pPr>
              <w:pStyle w:val="TableParagraph"/>
              <w:kinsoku w:val="0"/>
              <w:overflowPunct w:val="0"/>
              <w:spacing w:line="206" w:lineRule="exact"/>
              <w:ind w:left="108"/>
              <w:rPr>
                <w:rFonts w:eastAsia="Times New Roman"/>
                <w:spacing w:val="-5"/>
                <w:sz w:val="18"/>
                <w:szCs w:val="18"/>
              </w:rPr>
            </w:pPr>
            <w:r>
              <w:rPr>
                <w:sz w:val="18"/>
              </w:rPr>
              <w:t>2 dB</w:t>
            </w:r>
          </w:p>
        </w:tc>
        <w:tc>
          <w:tcPr>
            <w:tcW w:w="3240" w:type="dxa"/>
            <w:tcBorders>
              <w:top w:val="single" w:sz="4" w:space="0" w:color="000000"/>
              <w:left w:val="single" w:sz="4" w:space="0" w:color="000000"/>
              <w:bottom w:val="single" w:sz="4" w:space="0" w:color="000000"/>
              <w:right w:val="single" w:sz="4" w:space="0" w:color="000000"/>
            </w:tcBorders>
          </w:tcPr>
          <w:p w14:paraId="49D20947" w14:textId="77777777" w:rsidR="00DF3509" w:rsidRPr="001F545D" w:rsidRDefault="00DF3509">
            <w:pPr>
              <w:pStyle w:val="TableParagraph"/>
              <w:kinsoku w:val="0"/>
              <w:overflowPunct w:val="0"/>
              <w:spacing w:line="194" w:lineRule="exact"/>
              <w:ind w:left="109"/>
              <w:rPr>
                <w:rFonts w:eastAsia="Times New Roman"/>
                <w:color w:val="333333"/>
                <w:spacing w:val="-2"/>
                <w:sz w:val="17"/>
                <w:szCs w:val="17"/>
              </w:rPr>
            </w:pPr>
            <w:r>
              <w:rPr>
                <w:color w:val="333333"/>
                <w:sz w:val="17"/>
              </w:rPr>
              <w:t>Masterwave 98619PRSX006</w:t>
            </w:r>
          </w:p>
        </w:tc>
      </w:tr>
      <w:tr w:rsidR="00DF3509" w:rsidRPr="001F545D" w14:paraId="73926BC6"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2C061B52" w14:textId="77777777" w:rsidR="00DF3509" w:rsidRPr="001F545D" w:rsidRDefault="00DF3509">
            <w:pPr>
              <w:pStyle w:val="TableParagraph"/>
              <w:kinsoku w:val="0"/>
              <w:overflowPunct w:val="0"/>
              <w:spacing w:before="1"/>
              <w:rPr>
                <w:rFonts w:eastAsia="Times New Roman"/>
                <w:spacing w:val="-2"/>
                <w:sz w:val="18"/>
                <w:szCs w:val="18"/>
              </w:rPr>
            </w:pPr>
            <w:r>
              <w:rPr>
                <w:sz w:val="18"/>
              </w:rPr>
              <w:t>D7800, R7800</w:t>
            </w:r>
          </w:p>
        </w:tc>
        <w:tc>
          <w:tcPr>
            <w:tcW w:w="3521" w:type="dxa"/>
            <w:tcBorders>
              <w:top w:val="single" w:sz="4" w:space="0" w:color="000000"/>
              <w:left w:val="single" w:sz="4" w:space="0" w:color="000000"/>
              <w:bottom w:val="single" w:sz="4" w:space="0" w:color="000000"/>
              <w:right w:val="single" w:sz="4" w:space="0" w:color="000000"/>
            </w:tcBorders>
          </w:tcPr>
          <w:p w14:paraId="0152D782"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62224AF9"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58A32DDD"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072362D0" w14:textId="77777777" w:rsidR="00DF3509" w:rsidRPr="001F545D" w:rsidRDefault="00DF3509">
            <w:pPr>
              <w:pStyle w:val="TableParagraph"/>
              <w:kinsoku w:val="0"/>
              <w:overflowPunct w:val="0"/>
              <w:spacing w:before="2" w:line="196" w:lineRule="exact"/>
              <w:ind w:left="109" w:right="874"/>
              <w:rPr>
                <w:rFonts w:eastAsia="Times New Roman"/>
                <w:color w:val="333333"/>
                <w:spacing w:val="-2"/>
                <w:sz w:val="17"/>
                <w:szCs w:val="17"/>
              </w:rPr>
            </w:pPr>
            <w:r>
              <w:rPr>
                <w:sz w:val="18"/>
              </w:rPr>
              <w:t xml:space="preserve">Masterwave </w:t>
            </w:r>
            <w:r>
              <w:rPr>
                <w:color w:val="333333"/>
                <w:sz w:val="17"/>
              </w:rPr>
              <w:t>98365PRSX003 98365PRSX004</w:t>
            </w:r>
          </w:p>
        </w:tc>
      </w:tr>
      <w:tr w:rsidR="00DF3509" w:rsidRPr="001F545D" w14:paraId="3EF5D620"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533D7D32"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C6220</w:t>
            </w:r>
          </w:p>
        </w:tc>
        <w:tc>
          <w:tcPr>
            <w:tcW w:w="3521" w:type="dxa"/>
            <w:tcBorders>
              <w:top w:val="single" w:sz="4" w:space="0" w:color="000000"/>
              <w:left w:val="single" w:sz="4" w:space="0" w:color="000000"/>
              <w:bottom w:val="single" w:sz="4" w:space="0" w:color="000000"/>
              <w:right w:val="single" w:sz="4" w:space="0" w:color="000000"/>
            </w:tcBorders>
          </w:tcPr>
          <w:p w14:paraId="78F8C126"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7A16D4C6" w14:textId="77777777" w:rsidR="00DF3509" w:rsidRPr="001F545D" w:rsidRDefault="00DF3509">
            <w:pPr>
              <w:pStyle w:val="TableParagraph"/>
              <w:kinsoku w:val="0"/>
              <w:overflowPunct w:val="0"/>
              <w:spacing w:line="189"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58EDA770"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303D691A" w14:textId="77777777" w:rsidR="00DF3509" w:rsidRPr="001F545D" w:rsidRDefault="00DF3509">
            <w:pPr>
              <w:pStyle w:val="TableParagraph"/>
              <w:kinsoku w:val="0"/>
              <w:overflowPunct w:val="0"/>
              <w:spacing w:before="3" w:line="196" w:lineRule="exact"/>
              <w:ind w:left="109" w:right="874"/>
              <w:rPr>
                <w:rFonts w:eastAsia="Times New Roman"/>
                <w:color w:val="333333"/>
                <w:spacing w:val="-2"/>
                <w:sz w:val="17"/>
                <w:szCs w:val="17"/>
              </w:rPr>
            </w:pPr>
            <w:r>
              <w:rPr>
                <w:sz w:val="18"/>
              </w:rPr>
              <w:t xml:space="preserve">Masterwave </w:t>
            </w:r>
            <w:r>
              <w:rPr>
                <w:color w:val="333333"/>
                <w:sz w:val="17"/>
              </w:rPr>
              <w:t>98365PRSX003 98365PRSX004</w:t>
            </w:r>
          </w:p>
        </w:tc>
      </w:tr>
      <w:tr w:rsidR="00DF3509" w:rsidRPr="001F545D" w14:paraId="507BC3ED" w14:textId="77777777">
        <w:trPr>
          <w:trHeight w:val="597"/>
        </w:trPr>
        <w:tc>
          <w:tcPr>
            <w:tcW w:w="2054" w:type="dxa"/>
            <w:tcBorders>
              <w:top w:val="single" w:sz="4" w:space="0" w:color="000000"/>
              <w:left w:val="single" w:sz="4" w:space="0" w:color="000000"/>
              <w:bottom w:val="single" w:sz="4" w:space="0" w:color="000000"/>
              <w:right w:val="single" w:sz="4" w:space="0" w:color="000000"/>
            </w:tcBorders>
          </w:tcPr>
          <w:p w14:paraId="78244EA1"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XR450, XR500</w:t>
            </w:r>
          </w:p>
        </w:tc>
        <w:tc>
          <w:tcPr>
            <w:tcW w:w="3521" w:type="dxa"/>
            <w:tcBorders>
              <w:top w:val="single" w:sz="4" w:space="0" w:color="000000"/>
              <w:left w:val="single" w:sz="4" w:space="0" w:color="000000"/>
              <w:bottom w:val="single" w:sz="4" w:space="0" w:color="000000"/>
              <w:right w:val="single" w:sz="4" w:space="0" w:color="000000"/>
            </w:tcBorders>
          </w:tcPr>
          <w:p w14:paraId="23E981DB"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502782B4" w14:textId="77777777" w:rsidR="00DF3509" w:rsidRPr="001F545D" w:rsidRDefault="00DF3509">
            <w:pPr>
              <w:pStyle w:val="TableParagraph"/>
              <w:kinsoku w:val="0"/>
              <w:overflowPunct w:val="0"/>
              <w:spacing w:line="20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16CE0C8F"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79C48344" w14:textId="77777777" w:rsidR="00DF3509" w:rsidRPr="001F545D" w:rsidRDefault="00DF3509">
            <w:pPr>
              <w:pStyle w:val="TableParagraph"/>
              <w:kinsoku w:val="0"/>
              <w:overflowPunct w:val="0"/>
              <w:ind w:left="109" w:right="874"/>
              <w:rPr>
                <w:rFonts w:eastAsia="Times New Roman"/>
                <w:color w:val="333333"/>
                <w:spacing w:val="-2"/>
                <w:sz w:val="17"/>
                <w:szCs w:val="17"/>
              </w:rPr>
            </w:pPr>
            <w:r>
              <w:rPr>
                <w:sz w:val="18"/>
              </w:rPr>
              <w:t xml:space="preserve">Masterwave </w:t>
            </w:r>
            <w:r>
              <w:rPr>
                <w:color w:val="333333"/>
                <w:sz w:val="17"/>
              </w:rPr>
              <w:t>98366PRSX000 98366PRSX001</w:t>
            </w:r>
          </w:p>
          <w:p w14:paraId="02ECC630" w14:textId="77777777" w:rsidR="00DF3509" w:rsidRPr="001F545D" w:rsidRDefault="00DF3509">
            <w:pPr>
              <w:pStyle w:val="TableParagraph"/>
              <w:kinsoku w:val="0"/>
              <w:overflowPunct w:val="0"/>
              <w:spacing w:line="175" w:lineRule="exact"/>
              <w:ind w:left="109"/>
              <w:rPr>
                <w:rFonts w:eastAsia="Times New Roman"/>
                <w:color w:val="333333"/>
                <w:spacing w:val="-2"/>
                <w:sz w:val="17"/>
                <w:szCs w:val="17"/>
              </w:rPr>
            </w:pPr>
            <w:r>
              <w:rPr>
                <w:color w:val="333333"/>
                <w:sz w:val="17"/>
              </w:rPr>
              <w:t>98366PRSX002</w:t>
            </w:r>
          </w:p>
        </w:tc>
      </w:tr>
      <w:tr w:rsidR="00DF3509" w:rsidRPr="001F545D" w14:paraId="7986E88F" w14:textId="77777777">
        <w:trPr>
          <w:trHeight w:val="415"/>
        </w:trPr>
        <w:tc>
          <w:tcPr>
            <w:tcW w:w="2054" w:type="dxa"/>
            <w:tcBorders>
              <w:top w:val="single" w:sz="4" w:space="0" w:color="000000"/>
              <w:left w:val="single" w:sz="4" w:space="0" w:color="000000"/>
              <w:bottom w:val="single" w:sz="4" w:space="0" w:color="000000"/>
              <w:right w:val="single" w:sz="4" w:space="0" w:color="000000"/>
            </w:tcBorders>
          </w:tcPr>
          <w:p w14:paraId="3718468C" w14:textId="77777777" w:rsidR="00DF3509" w:rsidRPr="001F545D" w:rsidRDefault="00DF3509">
            <w:pPr>
              <w:pStyle w:val="TableParagraph"/>
              <w:kinsoku w:val="0"/>
              <w:overflowPunct w:val="0"/>
              <w:spacing w:line="206" w:lineRule="exact"/>
              <w:ind w:right="639"/>
              <w:rPr>
                <w:rFonts w:eastAsia="Times New Roman"/>
                <w:spacing w:val="-2"/>
                <w:sz w:val="18"/>
                <w:szCs w:val="18"/>
              </w:rPr>
            </w:pPr>
            <w:r>
              <w:rPr>
                <w:sz w:val="18"/>
              </w:rPr>
              <w:t>RAX42, RAX43, RAX45, RAX48</w:t>
            </w:r>
          </w:p>
        </w:tc>
        <w:tc>
          <w:tcPr>
            <w:tcW w:w="3521" w:type="dxa"/>
            <w:tcBorders>
              <w:top w:val="single" w:sz="4" w:space="0" w:color="000000"/>
              <w:left w:val="single" w:sz="4" w:space="0" w:color="000000"/>
              <w:bottom w:val="single" w:sz="4" w:space="0" w:color="000000"/>
              <w:right w:val="single" w:sz="4" w:space="0" w:color="000000"/>
            </w:tcBorders>
          </w:tcPr>
          <w:p w14:paraId="39574579"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6410F9EA" w14:textId="77777777" w:rsidR="00DF3509" w:rsidRPr="001F545D" w:rsidRDefault="00DF3509">
            <w:pPr>
              <w:pStyle w:val="TableParagraph"/>
              <w:kinsoku w:val="0"/>
              <w:overflowPunct w:val="0"/>
              <w:spacing w:line="189"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7A50605E"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788DF898" w14:textId="77777777" w:rsidR="00DF3509" w:rsidRPr="001F545D" w:rsidRDefault="00DF3509">
            <w:pPr>
              <w:pStyle w:val="TableParagraph"/>
              <w:kinsoku w:val="0"/>
              <w:overflowPunct w:val="0"/>
              <w:spacing w:line="198" w:lineRule="exact"/>
              <w:ind w:left="109" w:right="570"/>
              <w:rPr>
                <w:rFonts w:eastAsia="Times New Roman"/>
                <w:color w:val="333333"/>
                <w:sz w:val="17"/>
                <w:szCs w:val="17"/>
              </w:rPr>
            </w:pPr>
            <w:r>
              <w:rPr>
                <w:sz w:val="18"/>
              </w:rPr>
              <w:t xml:space="preserve">Masterwave </w:t>
            </w:r>
            <w:r>
              <w:rPr>
                <w:color w:val="333333"/>
                <w:sz w:val="17"/>
              </w:rPr>
              <w:t>98369PRSX000, 98369URSX000, 98369PRSX001</w:t>
            </w:r>
          </w:p>
        </w:tc>
      </w:tr>
      <w:tr w:rsidR="00DF3509" w:rsidRPr="001F545D" w14:paraId="398D4710"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4794B434"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RAX50, RAX50S</w:t>
            </w:r>
          </w:p>
        </w:tc>
        <w:tc>
          <w:tcPr>
            <w:tcW w:w="3521" w:type="dxa"/>
            <w:tcBorders>
              <w:top w:val="single" w:sz="4" w:space="0" w:color="000000"/>
              <w:left w:val="single" w:sz="4" w:space="0" w:color="000000"/>
              <w:bottom w:val="single" w:sz="4" w:space="0" w:color="000000"/>
              <w:right w:val="single" w:sz="4" w:space="0" w:color="000000"/>
            </w:tcBorders>
          </w:tcPr>
          <w:p w14:paraId="2ED20B47"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4B077B35"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790E86FA"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3D5D2626" w14:textId="77777777" w:rsidR="00DF3509" w:rsidRPr="001F545D" w:rsidRDefault="00DF3509">
            <w:pPr>
              <w:pStyle w:val="TableParagraph"/>
              <w:kinsoku w:val="0"/>
              <w:overflowPunct w:val="0"/>
              <w:spacing w:line="196" w:lineRule="exact"/>
              <w:ind w:left="109" w:right="570"/>
              <w:rPr>
                <w:rFonts w:eastAsia="Times New Roman"/>
                <w:color w:val="333333"/>
                <w:sz w:val="17"/>
                <w:szCs w:val="17"/>
              </w:rPr>
            </w:pPr>
            <w:r>
              <w:rPr>
                <w:sz w:val="18"/>
              </w:rPr>
              <w:t xml:space="preserve">Masterwave </w:t>
            </w:r>
            <w:r>
              <w:rPr>
                <w:color w:val="333333"/>
                <w:sz w:val="17"/>
              </w:rPr>
              <w:t>98369PRSX000, 98369URSX000, 98369PRSX001</w:t>
            </w:r>
          </w:p>
        </w:tc>
      </w:tr>
      <w:tr w:rsidR="00DF3509" w:rsidRPr="001F545D" w14:paraId="1168B7DB" w14:textId="77777777">
        <w:trPr>
          <w:trHeight w:val="208"/>
        </w:trPr>
        <w:tc>
          <w:tcPr>
            <w:tcW w:w="2054" w:type="dxa"/>
            <w:tcBorders>
              <w:top w:val="single" w:sz="4" w:space="0" w:color="000000"/>
              <w:left w:val="single" w:sz="4" w:space="0" w:color="000000"/>
              <w:bottom w:val="single" w:sz="4" w:space="0" w:color="000000"/>
              <w:right w:val="single" w:sz="4" w:space="0" w:color="000000"/>
            </w:tcBorders>
          </w:tcPr>
          <w:p w14:paraId="7BEC00AF"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single" w:sz="4" w:space="0" w:color="000000"/>
              <w:left w:val="single" w:sz="4" w:space="0" w:color="000000"/>
              <w:bottom w:val="single" w:sz="4" w:space="0" w:color="000000"/>
              <w:right w:val="single" w:sz="4" w:space="0" w:color="000000"/>
            </w:tcBorders>
          </w:tcPr>
          <w:p w14:paraId="27E32B8B"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1079" w:type="dxa"/>
            <w:tcBorders>
              <w:top w:val="single" w:sz="4" w:space="0" w:color="000000"/>
              <w:left w:val="single" w:sz="4" w:space="0" w:color="000000"/>
              <w:bottom w:val="single" w:sz="4" w:space="0" w:color="000000"/>
              <w:right w:val="single" w:sz="4" w:space="0" w:color="000000"/>
            </w:tcBorders>
          </w:tcPr>
          <w:p w14:paraId="510A319C"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240" w:type="dxa"/>
            <w:tcBorders>
              <w:top w:val="single" w:sz="4" w:space="0" w:color="000000"/>
              <w:left w:val="single" w:sz="4" w:space="0" w:color="000000"/>
              <w:bottom w:val="single" w:sz="4" w:space="0" w:color="000000"/>
              <w:right w:val="single" w:sz="4" w:space="0" w:color="000000"/>
            </w:tcBorders>
          </w:tcPr>
          <w:p w14:paraId="0F1E1DC5"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0A367724"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79620341"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MR1100, MR2100</w:t>
            </w:r>
          </w:p>
        </w:tc>
        <w:tc>
          <w:tcPr>
            <w:tcW w:w="3521" w:type="dxa"/>
            <w:tcBorders>
              <w:top w:val="single" w:sz="4" w:space="0" w:color="000000"/>
              <w:left w:val="single" w:sz="4" w:space="0" w:color="000000"/>
              <w:bottom w:val="single" w:sz="4" w:space="0" w:color="000000"/>
              <w:right w:val="single" w:sz="4" w:space="0" w:color="000000"/>
            </w:tcBorders>
          </w:tcPr>
          <w:p w14:paraId="4023C561" w14:textId="77777777" w:rsidR="00DF3509" w:rsidRPr="001F545D" w:rsidRDefault="00DF3509">
            <w:pPr>
              <w:pStyle w:val="TableParagraph"/>
              <w:kinsoku w:val="0"/>
              <w:overflowPunct w:val="0"/>
              <w:spacing w:line="206" w:lineRule="exact"/>
              <w:ind w:left="105"/>
              <w:rPr>
                <w:rFonts w:eastAsia="Times New Roman"/>
                <w:spacing w:val="-4"/>
                <w:sz w:val="18"/>
                <w:szCs w:val="18"/>
              </w:rPr>
            </w:pPr>
            <w:r>
              <w:rPr>
                <w:sz w:val="18"/>
              </w:rPr>
              <w:t>2,4 GHz e 5 GHz</w:t>
            </w:r>
          </w:p>
          <w:p w14:paraId="37580251" w14:textId="77777777" w:rsidR="00DF3509" w:rsidRPr="001F545D" w:rsidRDefault="00DF3509">
            <w:pPr>
              <w:pStyle w:val="TableParagraph"/>
              <w:kinsoku w:val="0"/>
              <w:overflowPunct w:val="0"/>
              <w:spacing w:line="187" w:lineRule="exact"/>
              <w:ind w:left="105"/>
              <w:rPr>
                <w:rFonts w:eastAsia="Times New Roman"/>
                <w:spacing w:val="-4"/>
                <w:sz w:val="18"/>
                <w:szCs w:val="18"/>
              </w:rPr>
            </w:pPr>
            <w:r>
              <w:rPr>
                <w:sz w:val="18"/>
              </w:rPr>
              <w:t>Bande WCDMA e LTE</w:t>
            </w:r>
          </w:p>
        </w:tc>
        <w:tc>
          <w:tcPr>
            <w:tcW w:w="1079" w:type="dxa"/>
            <w:tcBorders>
              <w:top w:val="single" w:sz="4" w:space="0" w:color="000000"/>
              <w:left w:val="single" w:sz="4" w:space="0" w:color="000000"/>
              <w:bottom w:val="single" w:sz="4" w:space="0" w:color="000000"/>
              <w:right w:val="single" w:sz="4" w:space="0" w:color="000000"/>
            </w:tcBorders>
          </w:tcPr>
          <w:p w14:paraId="465D9C5E" w14:textId="77777777" w:rsidR="00DF3509" w:rsidRPr="001F545D" w:rsidRDefault="00DF3509">
            <w:pPr>
              <w:pStyle w:val="TableParagraph"/>
              <w:kinsoku w:val="0"/>
              <w:overflowPunct w:val="0"/>
              <w:spacing w:line="206" w:lineRule="exact"/>
              <w:ind w:left="108"/>
              <w:rPr>
                <w:rFonts w:eastAsia="Times New Roman"/>
                <w:spacing w:val="-2"/>
                <w:sz w:val="18"/>
                <w:szCs w:val="18"/>
              </w:rPr>
            </w:pPr>
            <w:r>
              <w:rPr>
                <w:sz w:val="18"/>
              </w:rPr>
              <w:t>Interna</w:t>
            </w:r>
          </w:p>
        </w:tc>
        <w:tc>
          <w:tcPr>
            <w:tcW w:w="3240" w:type="dxa"/>
            <w:tcBorders>
              <w:top w:val="single" w:sz="4" w:space="0" w:color="000000"/>
              <w:left w:val="single" w:sz="4" w:space="0" w:color="000000"/>
              <w:bottom w:val="single" w:sz="4" w:space="0" w:color="000000"/>
              <w:right w:val="single" w:sz="4" w:space="0" w:color="000000"/>
            </w:tcBorders>
          </w:tcPr>
          <w:p w14:paraId="10448BCE" w14:textId="77777777" w:rsidR="00DF3509" w:rsidRPr="001F545D" w:rsidRDefault="00DF3509">
            <w:pPr>
              <w:pStyle w:val="TableParagraph"/>
              <w:kinsoku w:val="0"/>
              <w:overflowPunct w:val="0"/>
              <w:spacing w:line="206" w:lineRule="exact"/>
              <w:ind w:left="109"/>
              <w:rPr>
                <w:rFonts w:eastAsia="Times New Roman"/>
                <w:spacing w:val="-2"/>
                <w:sz w:val="18"/>
                <w:szCs w:val="18"/>
              </w:rPr>
            </w:pPr>
            <w:r>
              <w:rPr>
                <w:sz w:val="18"/>
              </w:rPr>
              <w:t>Interna</w:t>
            </w:r>
          </w:p>
          <w:p w14:paraId="30B42685" w14:textId="77777777" w:rsidR="00DF3509" w:rsidRPr="001F545D" w:rsidRDefault="00DF3509">
            <w:pPr>
              <w:pStyle w:val="TableParagraph"/>
              <w:kinsoku w:val="0"/>
              <w:overflowPunct w:val="0"/>
              <w:spacing w:line="187" w:lineRule="exact"/>
              <w:ind w:left="109"/>
              <w:rPr>
                <w:rFonts w:eastAsia="Times New Roman"/>
                <w:spacing w:val="-2"/>
                <w:sz w:val="18"/>
                <w:szCs w:val="18"/>
              </w:rPr>
            </w:pPr>
            <w:r>
              <w:rPr>
                <w:sz w:val="18"/>
              </w:rPr>
              <w:t>Interna o NETGEAR 6000451</w:t>
            </w:r>
          </w:p>
        </w:tc>
      </w:tr>
      <w:tr w:rsidR="00DF3509" w:rsidRPr="001F545D" w14:paraId="0FAD9A6B"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668543BE" w14:textId="77777777" w:rsidR="00DF3509" w:rsidRPr="001F545D" w:rsidRDefault="00DF3509">
            <w:pPr>
              <w:pStyle w:val="TableParagraph"/>
              <w:kinsoku w:val="0"/>
              <w:overflowPunct w:val="0"/>
              <w:spacing w:before="1"/>
              <w:rPr>
                <w:rFonts w:eastAsia="Times New Roman"/>
                <w:spacing w:val="-2"/>
                <w:sz w:val="18"/>
                <w:szCs w:val="18"/>
              </w:rPr>
            </w:pPr>
            <w:r>
              <w:rPr>
                <w:sz w:val="18"/>
              </w:rPr>
              <w:t>XR1000</w:t>
            </w:r>
          </w:p>
        </w:tc>
        <w:tc>
          <w:tcPr>
            <w:tcW w:w="3521" w:type="dxa"/>
            <w:tcBorders>
              <w:top w:val="single" w:sz="4" w:space="0" w:color="000000"/>
              <w:left w:val="single" w:sz="4" w:space="0" w:color="000000"/>
              <w:bottom w:val="single" w:sz="4" w:space="0" w:color="000000"/>
              <w:right w:val="single" w:sz="4" w:space="0" w:color="000000"/>
            </w:tcBorders>
          </w:tcPr>
          <w:p w14:paraId="2184BB8C"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7C1BB66F"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4E32B297"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09FA24D9" w14:textId="77777777" w:rsidR="00DF3509" w:rsidRPr="001F545D" w:rsidRDefault="00DF3509">
            <w:pPr>
              <w:pStyle w:val="TableParagraph"/>
              <w:kinsoku w:val="0"/>
              <w:overflowPunct w:val="0"/>
              <w:spacing w:before="1" w:line="207" w:lineRule="exact"/>
              <w:ind w:left="109"/>
              <w:rPr>
                <w:rFonts w:eastAsia="Times New Roman"/>
                <w:spacing w:val="-2"/>
                <w:sz w:val="18"/>
                <w:szCs w:val="18"/>
              </w:rPr>
            </w:pPr>
            <w:r>
              <w:rPr>
                <w:sz w:val="18"/>
              </w:rPr>
              <w:t>Netgear 400-10088-01, 400-10090-</w:t>
            </w:r>
          </w:p>
          <w:p w14:paraId="5C645213" w14:textId="77777777" w:rsidR="00DF3509" w:rsidRPr="001F545D" w:rsidRDefault="00DF3509">
            <w:pPr>
              <w:pStyle w:val="TableParagraph"/>
              <w:kinsoku w:val="0"/>
              <w:overflowPunct w:val="0"/>
              <w:spacing w:line="187" w:lineRule="exact"/>
              <w:ind w:left="109"/>
              <w:rPr>
                <w:rFonts w:eastAsia="Times New Roman"/>
                <w:spacing w:val="-5"/>
                <w:sz w:val="18"/>
                <w:szCs w:val="18"/>
              </w:rPr>
            </w:pPr>
            <w:r>
              <w:rPr>
                <w:sz w:val="18"/>
              </w:rPr>
              <w:t>01, 400-10094-01</w:t>
            </w:r>
          </w:p>
        </w:tc>
      </w:tr>
      <w:tr w:rsidR="00DF3509" w:rsidRPr="001F545D" w14:paraId="4DE777DB" w14:textId="77777777">
        <w:trPr>
          <w:trHeight w:val="208"/>
        </w:trPr>
        <w:tc>
          <w:tcPr>
            <w:tcW w:w="2054" w:type="dxa"/>
            <w:tcBorders>
              <w:top w:val="single" w:sz="4" w:space="0" w:color="000000"/>
              <w:left w:val="single" w:sz="4" w:space="0" w:color="000000"/>
              <w:bottom w:val="none" w:sz="6" w:space="0" w:color="auto"/>
              <w:right w:val="single" w:sz="4" w:space="0" w:color="000000"/>
            </w:tcBorders>
          </w:tcPr>
          <w:p w14:paraId="1209A37C" w14:textId="77777777" w:rsidR="00DF3509" w:rsidRPr="001F545D" w:rsidRDefault="00DF3509">
            <w:pPr>
              <w:pStyle w:val="TableParagraph"/>
              <w:kinsoku w:val="0"/>
              <w:overflowPunct w:val="0"/>
              <w:spacing w:line="189" w:lineRule="exact"/>
              <w:rPr>
                <w:rFonts w:eastAsia="Times New Roman"/>
                <w:spacing w:val="-2"/>
                <w:sz w:val="18"/>
                <w:szCs w:val="18"/>
              </w:rPr>
            </w:pPr>
            <w:r>
              <w:rPr>
                <w:sz w:val="18"/>
              </w:rPr>
              <w:t>MR5100/MR5200</w:t>
            </w:r>
          </w:p>
        </w:tc>
        <w:tc>
          <w:tcPr>
            <w:tcW w:w="3521" w:type="dxa"/>
            <w:tcBorders>
              <w:top w:val="single" w:sz="4" w:space="0" w:color="000000"/>
              <w:left w:val="single" w:sz="4" w:space="0" w:color="000000"/>
              <w:bottom w:val="none" w:sz="6" w:space="0" w:color="auto"/>
              <w:right w:val="single" w:sz="4" w:space="0" w:color="000000"/>
            </w:tcBorders>
          </w:tcPr>
          <w:p w14:paraId="16D190C2" w14:textId="77777777" w:rsidR="00DF3509" w:rsidRPr="001F545D" w:rsidRDefault="00DF3509">
            <w:pPr>
              <w:pStyle w:val="TableParagraph"/>
              <w:kinsoku w:val="0"/>
              <w:overflowPunct w:val="0"/>
              <w:spacing w:line="189" w:lineRule="exact"/>
              <w:ind w:left="105"/>
              <w:rPr>
                <w:rFonts w:eastAsia="Times New Roman"/>
                <w:spacing w:val="-4"/>
                <w:sz w:val="18"/>
                <w:szCs w:val="18"/>
              </w:rPr>
            </w:pPr>
            <w:r>
              <w:rPr>
                <w:sz w:val="18"/>
              </w:rPr>
              <w:t>2,4 GHz e 5 GHz</w:t>
            </w:r>
          </w:p>
        </w:tc>
        <w:tc>
          <w:tcPr>
            <w:tcW w:w="1079" w:type="dxa"/>
            <w:tcBorders>
              <w:top w:val="single" w:sz="4" w:space="0" w:color="000000"/>
              <w:left w:val="single" w:sz="4" w:space="0" w:color="000000"/>
              <w:bottom w:val="none" w:sz="6" w:space="0" w:color="auto"/>
              <w:right w:val="single" w:sz="4" w:space="0" w:color="000000"/>
            </w:tcBorders>
          </w:tcPr>
          <w:p w14:paraId="00AB2B9C" w14:textId="77777777" w:rsidR="00DF3509" w:rsidRPr="001F545D" w:rsidRDefault="00DF3509">
            <w:pPr>
              <w:pStyle w:val="TableParagraph"/>
              <w:kinsoku w:val="0"/>
              <w:overflowPunct w:val="0"/>
              <w:spacing w:line="189" w:lineRule="exact"/>
              <w:ind w:left="108"/>
              <w:rPr>
                <w:rFonts w:eastAsia="Times New Roman"/>
                <w:spacing w:val="-2"/>
                <w:sz w:val="18"/>
                <w:szCs w:val="18"/>
              </w:rPr>
            </w:pPr>
            <w:r>
              <w:rPr>
                <w:sz w:val="18"/>
              </w:rPr>
              <w:t>Interna.</w:t>
            </w:r>
          </w:p>
        </w:tc>
        <w:tc>
          <w:tcPr>
            <w:tcW w:w="3240" w:type="dxa"/>
            <w:tcBorders>
              <w:top w:val="single" w:sz="4" w:space="0" w:color="000000"/>
              <w:left w:val="single" w:sz="4" w:space="0" w:color="000000"/>
              <w:bottom w:val="none" w:sz="6" w:space="0" w:color="auto"/>
              <w:right w:val="single" w:sz="4" w:space="0" w:color="000000"/>
            </w:tcBorders>
          </w:tcPr>
          <w:p w14:paraId="41B4BDF0"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749234A7" w14:textId="77777777">
        <w:trPr>
          <w:trHeight w:val="207"/>
        </w:trPr>
        <w:tc>
          <w:tcPr>
            <w:tcW w:w="2054" w:type="dxa"/>
            <w:tcBorders>
              <w:top w:val="none" w:sz="6" w:space="0" w:color="auto"/>
              <w:left w:val="single" w:sz="4" w:space="0" w:color="000000"/>
              <w:bottom w:val="none" w:sz="6" w:space="0" w:color="auto"/>
              <w:right w:val="single" w:sz="4" w:space="0" w:color="000000"/>
            </w:tcBorders>
          </w:tcPr>
          <w:p w14:paraId="43EDDF6E"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17A154C2" w14:textId="77777777" w:rsidR="00DF3509" w:rsidRPr="001F545D" w:rsidRDefault="00DF3509">
            <w:pPr>
              <w:pStyle w:val="TableParagraph"/>
              <w:kinsoku w:val="0"/>
              <w:overflowPunct w:val="0"/>
              <w:spacing w:line="188" w:lineRule="exact"/>
              <w:ind w:left="105"/>
              <w:rPr>
                <w:rFonts w:eastAsia="Times New Roman"/>
                <w:spacing w:val="-2"/>
                <w:sz w:val="18"/>
                <w:szCs w:val="18"/>
              </w:rPr>
            </w:pPr>
            <w:r>
              <w:rPr>
                <w:sz w:val="18"/>
              </w:rPr>
              <w:t>Bande WCDMA, LTE e 5G:</w:t>
            </w:r>
          </w:p>
        </w:tc>
        <w:tc>
          <w:tcPr>
            <w:tcW w:w="1079" w:type="dxa"/>
            <w:tcBorders>
              <w:top w:val="none" w:sz="6" w:space="0" w:color="auto"/>
              <w:left w:val="single" w:sz="4" w:space="0" w:color="000000"/>
              <w:bottom w:val="none" w:sz="6" w:space="0" w:color="auto"/>
              <w:right w:val="single" w:sz="4" w:space="0" w:color="000000"/>
            </w:tcBorders>
          </w:tcPr>
          <w:p w14:paraId="233D492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240" w:type="dxa"/>
            <w:tcBorders>
              <w:top w:val="none" w:sz="6" w:space="0" w:color="auto"/>
              <w:left w:val="single" w:sz="4" w:space="0" w:color="000000"/>
              <w:bottom w:val="none" w:sz="6" w:space="0" w:color="auto"/>
              <w:right w:val="single" w:sz="4" w:space="0" w:color="000000"/>
            </w:tcBorders>
          </w:tcPr>
          <w:p w14:paraId="012B48BD" w14:textId="77777777" w:rsidR="00DF3509" w:rsidRPr="001F545D" w:rsidRDefault="00DF3509">
            <w:pPr>
              <w:pStyle w:val="TableParagraph"/>
              <w:kinsoku w:val="0"/>
              <w:overflowPunct w:val="0"/>
              <w:spacing w:line="188" w:lineRule="exact"/>
              <w:ind w:left="109"/>
              <w:rPr>
                <w:rFonts w:eastAsia="Times New Roman"/>
                <w:spacing w:val="-2"/>
                <w:sz w:val="18"/>
                <w:szCs w:val="18"/>
              </w:rPr>
            </w:pPr>
            <w:r>
              <w:rPr>
                <w:sz w:val="18"/>
              </w:rPr>
              <w:t>Interna</w:t>
            </w:r>
          </w:p>
        </w:tc>
      </w:tr>
      <w:tr w:rsidR="00DF3509" w:rsidRPr="001F545D" w14:paraId="7B51ABB1" w14:textId="77777777">
        <w:trPr>
          <w:trHeight w:val="207"/>
        </w:trPr>
        <w:tc>
          <w:tcPr>
            <w:tcW w:w="2054" w:type="dxa"/>
            <w:tcBorders>
              <w:top w:val="none" w:sz="6" w:space="0" w:color="auto"/>
              <w:left w:val="single" w:sz="4" w:space="0" w:color="000000"/>
              <w:bottom w:val="none" w:sz="6" w:space="0" w:color="auto"/>
              <w:right w:val="single" w:sz="4" w:space="0" w:color="000000"/>
            </w:tcBorders>
          </w:tcPr>
          <w:p w14:paraId="27FADB23"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5DB5A574" w14:textId="77777777" w:rsidR="00DF3509" w:rsidRPr="001F545D" w:rsidRDefault="00DF3509">
            <w:pPr>
              <w:pStyle w:val="TableParagraph"/>
              <w:kinsoku w:val="0"/>
              <w:overflowPunct w:val="0"/>
              <w:spacing w:line="188" w:lineRule="exact"/>
              <w:ind w:left="105"/>
              <w:rPr>
                <w:rFonts w:eastAsia="Times New Roman"/>
                <w:spacing w:val="-5"/>
                <w:sz w:val="18"/>
                <w:szCs w:val="18"/>
              </w:rPr>
            </w:pPr>
            <w:r>
              <w:rPr>
                <w:sz w:val="18"/>
              </w:rPr>
              <w:t>B2, B4, B25, B66</w:t>
            </w:r>
          </w:p>
        </w:tc>
        <w:tc>
          <w:tcPr>
            <w:tcW w:w="1079" w:type="dxa"/>
            <w:tcBorders>
              <w:top w:val="none" w:sz="6" w:space="0" w:color="auto"/>
              <w:left w:val="single" w:sz="4" w:space="0" w:color="000000"/>
              <w:bottom w:val="none" w:sz="6" w:space="0" w:color="auto"/>
              <w:right w:val="single" w:sz="4" w:space="0" w:color="000000"/>
            </w:tcBorders>
          </w:tcPr>
          <w:p w14:paraId="1C9947E2" w14:textId="77777777" w:rsidR="00DF3509" w:rsidRPr="001F545D" w:rsidRDefault="00DF3509">
            <w:pPr>
              <w:pStyle w:val="TableParagraph"/>
              <w:kinsoku w:val="0"/>
              <w:overflowPunct w:val="0"/>
              <w:spacing w:line="188" w:lineRule="exact"/>
              <w:ind w:left="108"/>
              <w:rPr>
                <w:rFonts w:eastAsia="Times New Roman"/>
                <w:spacing w:val="-4"/>
                <w:sz w:val="18"/>
                <w:szCs w:val="18"/>
              </w:rPr>
            </w:pPr>
            <w:r>
              <w:rPr>
                <w:sz w:val="18"/>
              </w:rPr>
              <w:t>-0,48, 0,25</w:t>
            </w:r>
          </w:p>
        </w:tc>
        <w:tc>
          <w:tcPr>
            <w:tcW w:w="3240" w:type="dxa"/>
            <w:tcBorders>
              <w:top w:val="none" w:sz="6" w:space="0" w:color="auto"/>
              <w:left w:val="single" w:sz="4" w:space="0" w:color="000000"/>
              <w:bottom w:val="none" w:sz="6" w:space="0" w:color="auto"/>
              <w:right w:val="single" w:sz="4" w:space="0" w:color="000000"/>
            </w:tcBorders>
          </w:tcPr>
          <w:p w14:paraId="3F675C6E"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6E2A2297" w14:textId="77777777">
        <w:trPr>
          <w:trHeight w:val="206"/>
        </w:trPr>
        <w:tc>
          <w:tcPr>
            <w:tcW w:w="2054" w:type="dxa"/>
            <w:tcBorders>
              <w:top w:val="none" w:sz="6" w:space="0" w:color="auto"/>
              <w:left w:val="single" w:sz="4" w:space="0" w:color="000000"/>
              <w:bottom w:val="none" w:sz="6" w:space="0" w:color="auto"/>
              <w:right w:val="single" w:sz="4" w:space="0" w:color="000000"/>
            </w:tcBorders>
          </w:tcPr>
          <w:p w14:paraId="0734AD4D"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0AE90A2A" w14:textId="77777777" w:rsidR="00DF3509" w:rsidRPr="001F545D" w:rsidRDefault="00DF3509">
            <w:pPr>
              <w:pStyle w:val="TableParagraph"/>
              <w:kinsoku w:val="0"/>
              <w:overflowPunct w:val="0"/>
              <w:spacing w:line="186" w:lineRule="exact"/>
              <w:ind w:left="105"/>
              <w:rPr>
                <w:rFonts w:eastAsia="Times New Roman"/>
                <w:spacing w:val="-5"/>
                <w:sz w:val="18"/>
                <w:szCs w:val="18"/>
              </w:rPr>
            </w:pPr>
            <w:r>
              <w:rPr>
                <w:sz w:val="18"/>
              </w:rPr>
              <w:t>B5, B12, B13, B17, B71</w:t>
            </w:r>
          </w:p>
        </w:tc>
        <w:tc>
          <w:tcPr>
            <w:tcW w:w="1079" w:type="dxa"/>
            <w:tcBorders>
              <w:top w:val="none" w:sz="6" w:space="0" w:color="auto"/>
              <w:left w:val="single" w:sz="4" w:space="0" w:color="000000"/>
              <w:bottom w:val="none" w:sz="6" w:space="0" w:color="auto"/>
              <w:right w:val="single" w:sz="4" w:space="0" w:color="000000"/>
            </w:tcBorders>
          </w:tcPr>
          <w:p w14:paraId="2937A0A9" w14:textId="77777777" w:rsidR="00DF3509" w:rsidRPr="001F545D" w:rsidRDefault="00DF3509">
            <w:pPr>
              <w:pStyle w:val="TableParagraph"/>
              <w:kinsoku w:val="0"/>
              <w:overflowPunct w:val="0"/>
              <w:spacing w:line="186" w:lineRule="exact"/>
              <w:ind w:left="108"/>
              <w:rPr>
                <w:rFonts w:eastAsia="Times New Roman"/>
                <w:spacing w:val="-4"/>
                <w:sz w:val="18"/>
                <w:szCs w:val="18"/>
              </w:rPr>
            </w:pPr>
            <w:r>
              <w:rPr>
                <w:sz w:val="18"/>
              </w:rPr>
              <w:t>0,54, 0,48</w:t>
            </w:r>
          </w:p>
        </w:tc>
        <w:tc>
          <w:tcPr>
            <w:tcW w:w="3240" w:type="dxa"/>
            <w:tcBorders>
              <w:top w:val="none" w:sz="6" w:space="0" w:color="auto"/>
              <w:left w:val="single" w:sz="4" w:space="0" w:color="000000"/>
              <w:bottom w:val="none" w:sz="6" w:space="0" w:color="auto"/>
              <w:right w:val="single" w:sz="4" w:space="0" w:color="000000"/>
            </w:tcBorders>
          </w:tcPr>
          <w:p w14:paraId="561B3E19"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1857041C" w14:textId="77777777">
        <w:trPr>
          <w:trHeight w:val="203"/>
        </w:trPr>
        <w:tc>
          <w:tcPr>
            <w:tcW w:w="2054" w:type="dxa"/>
            <w:tcBorders>
              <w:top w:val="none" w:sz="6" w:space="0" w:color="auto"/>
              <w:left w:val="single" w:sz="4" w:space="0" w:color="000000"/>
              <w:bottom w:val="single" w:sz="4" w:space="0" w:color="000000"/>
              <w:right w:val="single" w:sz="4" w:space="0" w:color="000000"/>
            </w:tcBorders>
          </w:tcPr>
          <w:p w14:paraId="617DEF1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single" w:sz="4" w:space="0" w:color="000000"/>
              <w:right w:val="single" w:sz="4" w:space="0" w:color="000000"/>
            </w:tcBorders>
          </w:tcPr>
          <w:p w14:paraId="374954E4" w14:textId="77777777" w:rsidR="00DF3509" w:rsidRPr="001F545D" w:rsidRDefault="00DF3509">
            <w:pPr>
              <w:pStyle w:val="TableParagraph"/>
              <w:kinsoku w:val="0"/>
              <w:overflowPunct w:val="0"/>
              <w:spacing w:line="184" w:lineRule="exact"/>
              <w:ind w:left="105"/>
              <w:rPr>
                <w:rFonts w:eastAsia="Times New Roman"/>
                <w:spacing w:val="-5"/>
                <w:sz w:val="18"/>
                <w:szCs w:val="18"/>
              </w:rPr>
            </w:pPr>
            <w:r>
              <w:rPr>
                <w:sz w:val="18"/>
              </w:rPr>
              <w:t>B7, B30, B38, B41</w:t>
            </w:r>
          </w:p>
        </w:tc>
        <w:tc>
          <w:tcPr>
            <w:tcW w:w="1079" w:type="dxa"/>
            <w:tcBorders>
              <w:top w:val="none" w:sz="6" w:space="0" w:color="auto"/>
              <w:left w:val="single" w:sz="4" w:space="0" w:color="000000"/>
              <w:bottom w:val="single" w:sz="4" w:space="0" w:color="000000"/>
              <w:right w:val="single" w:sz="4" w:space="0" w:color="000000"/>
            </w:tcBorders>
          </w:tcPr>
          <w:p w14:paraId="134A7005" w14:textId="77777777" w:rsidR="00DF3509" w:rsidRPr="001F545D" w:rsidRDefault="00DF3509">
            <w:pPr>
              <w:pStyle w:val="TableParagraph"/>
              <w:kinsoku w:val="0"/>
              <w:overflowPunct w:val="0"/>
              <w:spacing w:line="184" w:lineRule="exact"/>
              <w:ind w:left="108"/>
              <w:rPr>
                <w:rFonts w:eastAsia="Times New Roman"/>
                <w:spacing w:val="-4"/>
                <w:sz w:val="18"/>
                <w:szCs w:val="18"/>
              </w:rPr>
            </w:pPr>
            <w:r>
              <w:rPr>
                <w:sz w:val="18"/>
              </w:rPr>
              <w:t>0,24, 0,28</w:t>
            </w:r>
          </w:p>
        </w:tc>
        <w:tc>
          <w:tcPr>
            <w:tcW w:w="3240" w:type="dxa"/>
            <w:tcBorders>
              <w:top w:val="none" w:sz="6" w:space="0" w:color="auto"/>
              <w:left w:val="single" w:sz="4" w:space="0" w:color="000000"/>
              <w:bottom w:val="single" w:sz="4" w:space="0" w:color="000000"/>
              <w:right w:val="single" w:sz="4" w:space="0" w:color="000000"/>
            </w:tcBorders>
          </w:tcPr>
          <w:p w14:paraId="29B82458"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077A46F5" w14:textId="77777777">
        <w:trPr>
          <w:trHeight w:val="621"/>
        </w:trPr>
        <w:tc>
          <w:tcPr>
            <w:tcW w:w="2054" w:type="dxa"/>
            <w:tcBorders>
              <w:top w:val="single" w:sz="4" w:space="0" w:color="000000"/>
              <w:left w:val="single" w:sz="4" w:space="0" w:color="000000"/>
              <w:bottom w:val="single" w:sz="4" w:space="0" w:color="000000"/>
              <w:right w:val="single" w:sz="4" w:space="0" w:color="000000"/>
            </w:tcBorders>
          </w:tcPr>
          <w:p w14:paraId="5D456C3A" w14:textId="77777777" w:rsidR="00DF3509" w:rsidRPr="001F545D" w:rsidRDefault="00DF3509">
            <w:pPr>
              <w:pStyle w:val="TableParagraph"/>
              <w:kinsoku w:val="0"/>
              <w:overflowPunct w:val="0"/>
              <w:spacing w:before="1"/>
              <w:rPr>
                <w:rFonts w:eastAsia="Times New Roman"/>
                <w:spacing w:val="-4"/>
                <w:sz w:val="18"/>
                <w:szCs w:val="18"/>
              </w:rPr>
            </w:pPr>
            <w:r>
              <w:rPr>
                <w:sz w:val="18"/>
              </w:rPr>
              <w:t>LAX20</w:t>
            </w:r>
          </w:p>
        </w:tc>
        <w:tc>
          <w:tcPr>
            <w:tcW w:w="3521" w:type="dxa"/>
            <w:tcBorders>
              <w:top w:val="single" w:sz="4" w:space="0" w:color="000000"/>
              <w:left w:val="single" w:sz="4" w:space="0" w:color="000000"/>
              <w:bottom w:val="single" w:sz="4" w:space="0" w:color="000000"/>
              <w:right w:val="single" w:sz="4" w:space="0" w:color="000000"/>
            </w:tcBorders>
          </w:tcPr>
          <w:p w14:paraId="4B55E6E7"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39881318"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5100-5850 MHz</w:t>
            </w:r>
          </w:p>
          <w:p w14:paraId="34515E21" w14:textId="77777777" w:rsidR="00DF3509" w:rsidRPr="001F545D" w:rsidRDefault="00DF3509">
            <w:pPr>
              <w:pStyle w:val="TableParagraph"/>
              <w:kinsoku w:val="0"/>
              <w:overflowPunct w:val="0"/>
              <w:spacing w:line="187" w:lineRule="exact"/>
              <w:ind w:left="105"/>
              <w:rPr>
                <w:rFonts w:eastAsia="Times New Roman"/>
                <w:spacing w:val="-4"/>
                <w:sz w:val="18"/>
                <w:szCs w:val="18"/>
              </w:rPr>
            </w:pPr>
            <w:r>
              <w:rPr>
                <w:sz w:val="18"/>
              </w:rPr>
              <w:t>Bande WCDMA e LTE</w:t>
            </w:r>
          </w:p>
        </w:tc>
        <w:tc>
          <w:tcPr>
            <w:tcW w:w="1079" w:type="dxa"/>
            <w:tcBorders>
              <w:top w:val="single" w:sz="4" w:space="0" w:color="000000"/>
              <w:left w:val="single" w:sz="4" w:space="0" w:color="000000"/>
              <w:bottom w:val="single" w:sz="4" w:space="0" w:color="000000"/>
              <w:right w:val="single" w:sz="4" w:space="0" w:color="000000"/>
            </w:tcBorders>
          </w:tcPr>
          <w:p w14:paraId="3094ECBC"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5C4AAC7B" w14:textId="77777777" w:rsidR="00DF3509" w:rsidRPr="001F545D" w:rsidRDefault="00DF3509">
            <w:pPr>
              <w:pStyle w:val="TableParagraph"/>
              <w:kinsoku w:val="0"/>
              <w:overflowPunct w:val="0"/>
              <w:spacing w:before="1" w:line="207" w:lineRule="exact"/>
              <w:ind w:left="109"/>
              <w:rPr>
                <w:rFonts w:eastAsia="Times New Roman"/>
                <w:spacing w:val="-5"/>
                <w:sz w:val="18"/>
                <w:szCs w:val="18"/>
              </w:rPr>
            </w:pPr>
            <w:r>
              <w:rPr>
                <w:sz w:val="18"/>
              </w:rPr>
              <w:t>NETGEAR 400-10092-01</w:t>
            </w:r>
          </w:p>
          <w:p w14:paraId="37C7CFC3" w14:textId="77777777" w:rsidR="00DF3509" w:rsidRPr="001F545D" w:rsidRDefault="00DF3509">
            <w:pPr>
              <w:pStyle w:val="TableParagraph"/>
              <w:kinsoku w:val="0"/>
              <w:overflowPunct w:val="0"/>
              <w:spacing w:line="206" w:lineRule="exact"/>
              <w:ind w:left="109" w:right="1302"/>
              <w:rPr>
                <w:rFonts w:eastAsia="Times New Roman"/>
                <w:spacing w:val="-2"/>
                <w:sz w:val="18"/>
                <w:szCs w:val="18"/>
              </w:rPr>
            </w:pPr>
            <w:r>
              <w:rPr>
                <w:sz w:val="18"/>
              </w:rPr>
              <w:t>Interna Netgear 400-10092-01</w:t>
            </w:r>
          </w:p>
        </w:tc>
      </w:tr>
      <w:tr w:rsidR="00DF3509" w:rsidRPr="001F545D" w14:paraId="4A558448" w14:textId="77777777">
        <w:trPr>
          <w:trHeight w:val="205"/>
        </w:trPr>
        <w:tc>
          <w:tcPr>
            <w:tcW w:w="2054" w:type="dxa"/>
            <w:tcBorders>
              <w:top w:val="single" w:sz="4" w:space="0" w:color="000000"/>
              <w:left w:val="single" w:sz="4" w:space="0" w:color="000000"/>
              <w:bottom w:val="none" w:sz="6" w:space="0" w:color="auto"/>
              <w:right w:val="single" w:sz="4" w:space="0" w:color="000000"/>
            </w:tcBorders>
          </w:tcPr>
          <w:p w14:paraId="7900D3AE" w14:textId="77777777" w:rsidR="00DF3509" w:rsidRPr="001F545D" w:rsidRDefault="00DF3509">
            <w:pPr>
              <w:pStyle w:val="TableParagraph"/>
              <w:kinsoku w:val="0"/>
              <w:overflowPunct w:val="0"/>
              <w:spacing w:line="185" w:lineRule="exact"/>
              <w:rPr>
                <w:rFonts w:eastAsia="Times New Roman"/>
                <w:spacing w:val="-2"/>
                <w:sz w:val="18"/>
                <w:szCs w:val="18"/>
              </w:rPr>
            </w:pPr>
            <w:r>
              <w:rPr>
                <w:sz w:val="18"/>
              </w:rPr>
              <w:t>LM1200</w:t>
            </w:r>
          </w:p>
        </w:tc>
        <w:tc>
          <w:tcPr>
            <w:tcW w:w="3521" w:type="dxa"/>
            <w:tcBorders>
              <w:top w:val="single" w:sz="4" w:space="0" w:color="000000"/>
              <w:left w:val="single" w:sz="4" w:space="0" w:color="000000"/>
              <w:bottom w:val="none" w:sz="6" w:space="0" w:color="auto"/>
              <w:right w:val="single" w:sz="4" w:space="0" w:color="000000"/>
            </w:tcBorders>
          </w:tcPr>
          <w:p w14:paraId="2FC5C0A2" w14:textId="77777777" w:rsidR="00DF3509" w:rsidRPr="001F545D" w:rsidRDefault="00DF3509">
            <w:pPr>
              <w:pStyle w:val="TableParagraph"/>
              <w:kinsoku w:val="0"/>
              <w:overflowPunct w:val="0"/>
              <w:spacing w:line="185" w:lineRule="exact"/>
              <w:ind w:left="105"/>
              <w:rPr>
                <w:rFonts w:eastAsia="Times New Roman"/>
                <w:spacing w:val="-5"/>
                <w:sz w:val="18"/>
                <w:szCs w:val="18"/>
              </w:rPr>
            </w:pPr>
            <w:r>
              <w:rPr>
                <w:sz w:val="18"/>
              </w:rPr>
              <w:t>600 MHz</w:t>
            </w:r>
          </w:p>
        </w:tc>
        <w:tc>
          <w:tcPr>
            <w:tcW w:w="1079" w:type="dxa"/>
            <w:tcBorders>
              <w:top w:val="single" w:sz="4" w:space="0" w:color="000000"/>
              <w:left w:val="single" w:sz="4" w:space="0" w:color="000000"/>
              <w:bottom w:val="none" w:sz="6" w:space="0" w:color="auto"/>
              <w:right w:val="single" w:sz="4" w:space="0" w:color="000000"/>
            </w:tcBorders>
          </w:tcPr>
          <w:p w14:paraId="507BDB98" w14:textId="77777777" w:rsidR="00DF3509" w:rsidRPr="001F545D" w:rsidRDefault="00DF3509">
            <w:pPr>
              <w:pStyle w:val="TableParagraph"/>
              <w:kinsoku w:val="0"/>
              <w:overflowPunct w:val="0"/>
              <w:spacing w:line="185" w:lineRule="exact"/>
              <w:ind w:left="108"/>
              <w:rPr>
                <w:rFonts w:eastAsia="Times New Roman"/>
                <w:spacing w:val="-4"/>
                <w:sz w:val="18"/>
                <w:szCs w:val="18"/>
              </w:rPr>
            </w:pPr>
            <w:r>
              <w:rPr>
                <w:sz w:val="18"/>
              </w:rPr>
              <w:t>8,55</w:t>
            </w:r>
          </w:p>
        </w:tc>
        <w:tc>
          <w:tcPr>
            <w:tcW w:w="3240" w:type="dxa"/>
            <w:vMerge w:val="restart"/>
            <w:tcBorders>
              <w:top w:val="single" w:sz="4" w:space="0" w:color="000000"/>
              <w:left w:val="single" w:sz="4" w:space="0" w:color="000000"/>
              <w:bottom w:val="single" w:sz="4" w:space="0" w:color="000000"/>
              <w:right w:val="single" w:sz="4" w:space="0" w:color="000000"/>
            </w:tcBorders>
          </w:tcPr>
          <w:p w14:paraId="3AA440C4" w14:textId="77777777" w:rsidR="00DF3509" w:rsidRPr="001F545D" w:rsidRDefault="00DF3509">
            <w:pPr>
              <w:pStyle w:val="TableParagraph"/>
              <w:kinsoku w:val="0"/>
              <w:overflowPunct w:val="0"/>
              <w:ind w:left="0"/>
              <w:rPr>
                <w:rFonts w:ascii="Times New Roman" w:hAnsi="Times New Roman" w:cs="Times New Roman"/>
                <w:sz w:val="16"/>
                <w:szCs w:val="16"/>
              </w:rPr>
            </w:pPr>
          </w:p>
        </w:tc>
      </w:tr>
      <w:tr w:rsidR="00DF3509" w:rsidRPr="001F545D" w14:paraId="6FCC0BE5" w14:textId="77777777">
        <w:trPr>
          <w:trHeight w:val="197"/>
        </w:trPr>
        <w:tc>
          <w:tcPr>
            <w:tcW w:w="2054" w:type="dxa"/>
            <w:tcBorders>
              <w:top w:val="none" w:sz="6" w:space="0" w:color="auto"/>
              <w:left w:val="single" w:sz="4" w:space="0" w:color="000000"/>
              <w:bottom w:val="none" w:sz="6" w:space="0" w:color="auto"/>
              <w:right w:val="single" w:sz="4" w:space="0" w:color="000000"/>
            </w:tcBorders>
          </w:tcPr>
          <w:p w14:paraId="4DC09945" w14:textId="77777777" w:rsidR="00DF3509" w:rsidRPr="001F545D" w:rsidRDefault="00DF3509">
            <w:pPr>
              <w:pStyle w:val="TableParagraph"/>
              <w:kinsoku w:val="0"/>
              <w:overflowPunct w:val="0"/>
              <w:ind w:left="0"/>
              <w:rPr>
                <w:rFonts w:ascii="Times New Roman" w:hAnsi="Times New Roman" w:cs="Times New Roman"/>
                <w:sz w:val="12"/>
                <w:szCs w:val="12"/>
              </w:rPr>
            </w:pPr>
          </w:p>
        </w:tc>
        <w:tc>
          <w:tcPr>
            <w:tcW w:w="3521" w:type="dxa"/>
            <w:tcBorders>
              <w:top w:val="none" w:sz="6" w:space="0" w:color="auto"/>
              <w:left w:val="single" w:sz="4" w:space="0" w:color="000000"/>
              <w:bottom w:val="none" w:sz="6" w:space="0" w:color="auto"/>
              <w:right w:val="single" w:sz="4" w:space="0" w:color="000000"/>
            </w:tcBorders>
          </w:tcPr>
          <w:p w14:paraId="70C4C11B" w14:textId="77777777" w:rsidR="00DF3509" w:rsidRPr="001F545D" w:rsidRDefault="00DF3509">
            <w:pPr>
              <w:pStyle w:val="TableParagraph"/>
              <w:kinsoku w:val="0"/>
              <w:overflowPunct w:val="0"/>
              <w:spacing w:line="178" w:lineRule="exact"/>
              <w:ind w:left="105"/>
              <w:rPr>
                <w:rFonts w:eastAsia="Times New Roman"/>
                <w:spacing w:val="-5"/>
                <w:sz w:val="18"/>
                <w:szCs w:val="18"/>
              </w:rPr>
            </w:pPr>
            <w:r>
              <w:rPr>
                <w:sz w:val="18"/>
              </w:rPr>
              <w:t>700 MHz</w:t>
            </w:r>
          </w:p>
        </w:tc>
        <w:tc>
          <w:tcPr>
            <w:tcW w:w="1079" w:type="dxa"/>
            <w:tcBorders>
              <w:top w:val="none" w:sz="6" w:space="0" w:color="auto"/>
              <w:left w:val="single" w:sz="4" w:space="0" w:color="000000"/>
              <w:bottom w:val="none" w:sz="6" w:space="0" w:color="auto"/>
              <w:right w:val="single" w:sz="4" w:space="0" w:color="000000"/>
            </w:tcBorders>
          </w:tcPr>
          <w:p w14:paraId="47312F3B" w14:textId="77777777" w:rsidR="00DF3509" w:rsidRPr="001F545D" w:rsidRDefault="00DF3509">
            <w:pPr>
              <w:pStyle w:val="TableParagraph"/>
              <w:kinsoku w:val="0"/>
              <w:overflowPunct w:val="0"/>
              <w:spacing w:line="178" w:lineRule="exact"/>
              <w:ind w:left="108"/>
              <w:rPr>
                <w:rFonts w:eastAsia="Times New Roman"/>
                <w:spacing w:val="-4"/>
                <w:sz w:val="18"/>
                <w:szCs w:val="18"/>
              </w:rPr>
            </w:pPr>
            <w:r>
              <w:rPr>
                <w:sz w:val="18"/>
              </w:rPr>
              <w:t>8,73</w:t>
            </w:r>
          </w:p>
        </w:tc>
        <w:tc>
          <w:tcPr>
            <w:tcW w:w="3240" w:type="dxa"/>
            <w:vMerge/>
            <w:tcBorders>
              <w:top w:val="nil"/>
              <w:left w:val="single" w:sz="4" w:space="0" w:color="000000"/>
              <w:bottom w:val="single" w:sz="4" w:space="0" w:color="000000"/>
              <w:right w:val="single" w:sz="4" w:space="0" w:color="000000"/>
            </w:tcBorders>
          </w:tcPr>
          <w:p w14:paraId="44EDBF2D"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2C1DD114" w14:textId="77777777">
        <w:trPr>
          <w:trHeight w:val="196"/>
        </w:trPr>
        <w:tc>
          <w:tcPr>
            <w:tcW w:w="2054" w:type="dxa"/>
            <w:tcBorders>
              <w:top w:val="none" w:sz="6" w:space="0" w:color="auto"/>
              <w:left w:val="single" w:sz="4" w:space="0" w:color="000000"/>
              <w:bottom w:val="none" w:sz="6" w:space="0" w:color="auto"/>
              <w:right w:val="single" w:sz="4" w:space="0" w:color="000000"/>
            </w:tcBorders>
          </w:tcPr>
          <w:p w14:paraId="01F13546" w14:textId="77777777" w:rsidR="00DF3509" w:rsidRPr="001F545D" w:rsidRDefault="00DF3509">
            <w:pPr>
              <w:pStyle w:val="TableParagraph"/>
              <w:kinsoku w:val="0"/>
              <w:overflowPunct w:val="0"/>
              <w:ind w:left="0"/>
              <w:rPr>
                <w:rFonts w:ascii="Times New Roman" w:hAnsi="Times New Roman" w:cs="Times New Roman"/>
                <w:sz w:val="12"/>
                <w:szCs w:val="12"/>
              </w:rPr>
            </w:pPr>
          </w:p>
        </w:tc>
        <w:tc>
          <w:tcPr>
            <w:tcW w:w="3521" w:type="dxa"/>
            <w:tcBorders>
              <w:top w:val="none" w:sz="6" w:space="0" w:color="auto"/>
              <w:left w:val="single" w:sz="4" w:space="0" w:color="000000"/>
              <w:bottom w:val="none" w:sz="6" w:space="0" w:color="auto"/>
              <w:right w:val="single" w:sz="4" w:space="0" w:color="000000"/>
            </w:tcBorders>
          </w:tcPr>
          <w:p w14:paraId="1D957342" w14:textId="77777777" w:rsidR="00DF3509" w:rsidRPr="001F545D" w:rsidRDefault="00DF3509">
            <w:pPr>
              <w:pStyle w:val="TableParagraph"/>
              <w:kinsoku w:val="0"/>
              <w:overflowPunct w:val="0"/>
              <w:spacing w:line="176" w:lineRule="exact"/>
              <w:ind w:left="105"/>
              <w:rPr>
                <w:rFonts w:eastAsia="Times New Roman"/>
                <w:spacing w:val="-5"/>
                <w:sz w:val="18"/>
                <w:szCs w:val="18"/>
              </w:rPr>
            </w:pPr>
            <w:r>
              <w:rPr>
                <w:sz w:val="18"/>
              </w:rPr>
              <w:t>800 MHz</w:t>
            </w:r>
          </w:p>
        </w:tc>
        <w:tc>
          <w:tcPr>
            <w:tcW w:w="1079" w:type="dxa"/>
            <w:tcBorders>
              <w:top w:val="none" w:sz="6" w:space="0" w:color="auto"/>
              <w:left w:val="single" w:sz="4" w:space="0" w:color="000000"/>
              <w:bottom w:val="none" w:sz="6" w:space="0" w:color="auto"/>
              <w:right w:val="single" w:sz="4" w:space="0" w:color="000000"/>
            </w:tcBorders>
          </w:tcPr>
          <w:p w14:paraId="097360A2" w14:textId="77777777" w:rsidR="00DF3509" w:rsidRPr="001F545D" w:rsidRDefault="00DF3509">
            <w:pPr>
              <w:pStyle w:val="TableParagraph"/>
              <w:kinsoku w:val="0"/>
              <w:overflowPunct w:val="0"/>
              <w:spacing w:line="176" w:lineRule="exact"/>
              <w:ind w:left="108"/>
              <w:rPr>
                <w:rFonts w:eastAsia="Times New Roman"/>
                <w:spacing w:val="-4"/>
                <w:sz w:val="18"/>
                <w:szCs w:val="18"/>
              </w:rPr>
            </w:pPr>
            <w:r>
              <w:rPr>
                <w:sz w:val="18"/>
              </w:rPr>
              <w:t>9,42</w:t>
            </w:r>
          </w:p>
        </w:tc>
        <w:tc>
          <w:tcPr>
            <w:tcW w:w="3240" w:type="dxa"/>
            <w:vMerge/>
            <w:tcBorders>
              <w:top w:val="nil"/>
              <w:left w:val="single" w:sz="4" w:space="0" w:color="000000"/>
              <w:bottom w:val="single" w:sz="4" w:space="0" w:color="000000"/>
              <w:right w:val="single" w:sz="4" w:space="0" w:color="000000"/>
            </w:tcBorders>
          </w:tcPr>
          <w:p w14:paraId="2A4ECD11"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2335BF1D" w14:textId="77777777">
        <w:trPr>
          <w:trHeight w:val="196"/>
        </w:trPr>
        <w:tc>
          <w:tcPr>
            <w:tcW w:w="2054" w:type="dxa"/>
            <w:tcBorders>
              <w:top w:val="none" w:sz="6" w:space="0" w:color="auto"/>
              <w:left w:val="single" w:sz="4" w:space="0" w:color="000000"/>
              <w:bottom w:val="none" w:sz="6" w:space="0" w:color="auto"/>
              <w:right w:val="single" w:sz="4" w:space="0" w:color="000000"/>
            </w:tcBorders>
          </w:tcPr>
          <w:p w14:paraId="0EEAC62F" w14:textId="77777777" w:rsidR="00DF3509" w:rsidRPr="001F545D" w:rsidRDefault="00DF3509">
            <w:pPr>
              <w:pStyle w:val="TableParagraph"/>
              <w:kinsoku w:val="0"/>
              <w:overflowPunct w:val="0"/>
              <w:ind w:left="0"/>
              <w:rPr>
                <w:rFonts w:ascii="Times New Roman" w:hAnsi="Times New Roman" w:cs="Times New Roman"/>
                <w:sz w:val="12"/>
                <w:szCs w:val="12"/>
              </w:rPr>
            </w:pPr>
          </w:p>
        </w:tc>
        <w:tc>
          <w:tcPr>
            <w:tcW w:w="3521" w:type="dxa"/>
            <w:tcBorders>
              <w:top w:val="none" w:sz="6" w:space="0" w:color="auto"/>
              <w:left w:val="single" w:sz="4" w:space="0" w:color="000000"/>
              <w:bottom w:val="none" w:sz="6" w:space="0" w:color="auto"/>
              <w:right w:val="single" w:sz="4" w:space="0" w:color="000000"/>
            </w:tcBorders>
          </w:tcPr>
          <w:p w14:paraId="5FC1AB59" w14:textId="77777777" w:rsidR="00DF3509" w:rsidRPr="001F545D" w:rsidRDefault="00DF3509">
            <w:pPr>
              <w:pStyle w:val="TableParagraph"/>
              <w:kinsoku w:val="0"/>
              <w:overflowPunct w:val="0"/>
              <w:spacing w:line="176" w:lineRule="exact"/>
              <w:ind w:left="105"/>
              <w:rPr>
                <w:rFonts w:eastAsia="Times New Roman"/>
                <w:spacing w:val="-5"/>
                <w:sz w:val="18"/>
                <w:szCs w:val="18"/>
              </w:rPr>
            </w:pPr>
            <w:r>
              <w:rPr>
                <w:sz w:val="18"/>
              </w:rPr>
              <w:t>1700 MHz</w:t>
            </w:r>
          </w:p>
        </w:tc>
        <w:tc>
          <w:tcPr>
            <w:tcW w:w="1079" w:type="dxa"/>
            <w:tcBorders>
              <w:top w:val="none" w:sz="6" w:space="0" w:color="auto"/>
              <w:left w:val="single" w:sz="4" w:space="0" w:color="000000"/>
              <w:bottom w:val="none" w:sz="6" w:space="0" w:color="auto"/>
              <w:right w:val="single" w:sz="4" w:space="0" w:color="000000"/>
            </w:tcBorders>
          </w:tcPr>
          <w:p w14:paraId="23D770F7" w14:textId="77777777" w:rsidR="00DF3509" w:rsidRPr="001F545D" w:rsidRDefault="00DF3509">
            <w:pPr>
              <w:pStyle w:val="TableParagraph"/>
              <w:kinsoku w:val="0"/>
              <w:overflowPunct w:val="0"/>
              <w:spacing w:line="176" w:lineRule="exact"/>
              <w:ind w:left="108"/>
              <w:rPr>
                <w:rFonts w:eastAsia="Times New Roman"/>
                <w:w w:val="99"/>
                <w:sz w:val="18"/>
                <w:szCs w:val="18"/>
              </w:rPr>
            </w:pPr>
            <w:r>
              <w:rPr>
                <w:sz w:val="18"/>
              </w:rPr>
              <w:t>5</w:t>
            </w:r>
          </w:p>
        </w:tc>
        <w:tc>
          <w:tcPr>
            <w:tcW w:w="3240" w:type="dxa"/>
            <w:vMerge/>
            <w:tcBorders>
              <w:top w:val="nil"/>
              <w:left w:val="single" w:sz="4" w:space="0" w:color="000000"/>
              <w:bottom w:val="single" w:sz="4" w:space="0" w:color="000000"/>
              <w:right w:val="single" w:sz="4" w:space="0" w:color="000000"/>
            </w:tcBorders>
          </w:tcPr>
          <w:p w14:paraId="1B158255"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1AA5E456" w14:textId="77777777">
        <w:trPr>
          <w:trHeight w:val="201"/>
        </w:trPr>
        <w:tc>
          <w:tcPr>
            <w:tcW w:w="2054" w:type="dxa"/>
            <w:tcBorders>
              <w:top w:val="none" w:sz="6" w:space="0" w:color="auto"/>
              <w:left w:val="single" w:sz="4" w:space="0" w:color="000000"/>
              <w:bottom w:val="single" w:sz="4" w:space="0" w:color="000000"/>
              <w:right w:val="single" w:sz="4" w:space="0" w:color="000000"/>
            </w:tcBorders>
          </w:tcPr>
          <w:p w14:paraId="5FF172E8"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single" w:sz="4" w:space="0" w:color="000000"/>
              <w:right w:val="single" w:sz="4" w:space="0" w:color="000000"/>
            </w:tcBorders>
          </w:tcPr>
          <w:p w14:paraId="4CD21109" w14:textId="77777777" w:rsidR="00DF3509" w:rsidRPr="001F545D" w:rsidRDefault="00DF3509">
            <w:pPr>
              <w:pStyle w:val="TableParagraph"/>
              <w:kinsoku w:val="0"/>
              <w:overflowPunct w:val="0"/>
              <w:spacing w:line="181" w:lineRule="exact"/>
              <w:ind w:left="105"/>
              <w:rPr>
                <w:rFonts w:eastAsia="Times New Roman"/>
                <w:spacing w:val="-5"/>
                <w:sz w:val="18"/>
                <w:szCs w:val="18"/>
              </w:rPr>
            </w:pPr>
            <w:r>
              <w:rPr>
                <w:sz w:val="18"/>
              </w:rPr>
              <w:t>1800 MHz</w:t>
            </w:r>
          </w:p>
        </w:tc>
        <w:tc>
          <w:tcPr>
            <w:tcW w:w="1079" w:type="dxa"/>
            <w:tcBorders>
              <w:top w:val="none" w:sz="6" w:space="0" w:color="auto"/>
              <w:left w:val="single" w:sz="4" w:space="0" w:color="000000"/>
              <w:bottom w:val="single" w:sz="4" w:space="0" w:color="000000"/>
              <w:right w:val="single" w:sz="4" w:space="0" w:color="000000"/>
            </w:tcBorders>
          </w:tcPr>
          <w:p w14:paraId="31E46F8C" w14:textId="77777777" w:rsidR="00DF3509" w:rsidRPr="001F545D" w:rsidRDefault="00DF3509">
            <w:pPr>
              <w:pStyle w:val="TableParagraph"/>
              <w:kinsoku w:val="0"/>
              <w:overflowPunct w:val="0"/>
              <w:spacing w:line="181" w:lineRule="exact"/>
              <w:ind w:left="108"/>
              <w:rPr>
                <w:rFonts w:eastAsia="Times New Roman"/>
                <w:w w:val="99"/>
                <w:sz w:val="18"/>
                <w:szCs w:val="18"/>
              </w:rPr>
            </w:pPr>
            <w:r>
              <w:rPr>
                <w:sz w:val="18"/>
              </w:rPr>
              <w:t>8</w:t>
            </w:r>
          </w:p>
        </w:tc>
        <w:tc>
          <w:tcPr>
            <w:tcW w:w="3240" w:type="dxa"/>
            <w:vMerge/>
            <w:tcBorders>
              <w:top w:val="nil"/>
              <w:left w:val="single" w:sz="4" w:space="0" w:color="000000"/>
              <w:bottom w:val="single" w:sz="4" w:space="0" w:color="000000"/>
              <w:right w:val="single" w:sz="4" w:space="0" w:color="000000"/>
            </w:tcBorders>
          </w:tcPr>
          <w:p w14:paraId="23980934"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5BF1D9EF" w14:textId="77777777">
        <w:trPr>
          <w:trHeight w:val="208"/>
        </w:trPr>
        <w:tc>
          <w:tcPr>
            <w:tcW w:w="2054" w:type="dxa"/>
            <w:tcBorders>
              <w:top w:val="single" w:sz="4" w:space="0" w:color="000000"/>
              <w:left w:val="single" w:sz="4" w:space="0" w:color="000000"/>
              <w:bottom w:val="none" w:sz="6" w:space="0" w:color="auto"/>
              <w:right w:val="single" w:sz="4" w:space="0" w:color="000000"/>
            </w:tcBorders>
          </w:tcPr>
          <w:p w14:paraId="693585EA" w14:textId="77777777" w:rsidR="00DF3509" w:rsidRPr="001F545D" w:rsidRDefault="00DF3509">
            <w:pPr>
              <w:pStyle w:val="TableParagraph"/>
              <w:kinsoku w:val="0"/>
              <w:overflowPunct w:val="0"/>
              <w:spacing w:line="189" w:lineRule="exact"/>
              <w:rPr>
                <w:rFonts w:eastAsia="Times New Roman"/>
                <w:spacing w:val="-2"/>
                <w:sz w:val="18"/>
                <w:szCs w:val="18"/>
              </w:rPr>
            </w:pPr>
            <w:r>
              <w:rPr>
                <w:sz w:val="18"/>
              </w:rPr>
              <w:t>NBR750</w:t>
            </w:r>
          </w:p>
        </w:tc>
        <w:tc>
          <w:tcPr>
            <w:tcW w:w="3521" w:type="dxa"/>
            <w:tcBorders>
              <w:top w:val="single" w:sz="4" w:space="0" w:color="000000"/>
              <w:left w:val="single" w:sz="4" w:space="0" w:color="000000"/>
              <w:bottom w:val="none" w:sz="6" w:space="0" w:color="auto"/>
              <w:right w:val="single" w:sz="4" w:space="0" w:color="000000"/>
            </w:tcBorders>
          </w:tcPr>
          <w:p w14:paraId="455F5792" w14:textId="77777777" w:rsidR="00DF3509" w:rsidRPr="001F545D" w:rsidRDefault="00DF3509">
            <w:pPr>
              <w:pStyle w:val="TableParagraph"/>
              <w:kinsoku w:val="0"/>
              <w:overflowPunct w:val="0"/>
              <w:spacing w:line="189" w:lineRule="exact"/>
              <w:ind w:left="105"/>
              <w:rPr>
                <w:rFonts w:eastAsia="Times New Roman"/>
                <w:spacing w:val="-4"/>
                <w:sz w:val="18"/>
                <w:szCs w:val="18"/>
              </w:rPr>
            </w:pPr>
            <w:r>
              <w:rPr>
                <w:sz w:val="18"/>
              </w:rPr>
              <w:t>2,4 GHz e 5 GHz</w:t>
            </w:r>
          </w:p>
        </w:tc>
        <w:tc>
          <w:tcPr>
            <w:tcW w:w="1079" w:type="dxa"/>
            <w:tcBorders>
              <w:top w:val="single" w:sz="4" w:space="0" w:color="000000"/>
              <w:left w:val="single" w:sz="4" w:space="0" w:color="000000"/>
              <w:bottom w:val="none" w:sz="6" w:space="0" w:color="auto"/>
              <w:right w:val="single" w:sz="4" w:space="0" w:color="000000"/>
            </w:tcBorders>
          </w:tcPr>
          <w:p w14:paraId="75AF55A6" w14:textId="77777777" w:rsidR="00DF3509" w:rsidRPr="001F545D" w:rsidRDefault="00DF3509">
            <w:pPr>
              <w:pStyle w:val="TableParagraph"/>
              <w:kinsoku w:val="0"/>
              <w:overflowPunct w:val="0"/>
              <w:spacing w:line="189" w:lineRule="exact"/>
              <w:ind w:left="108"/>
              <w:rPr>
                <w:rFonts w:eastAsia="Times New Roman"/>
                <w:spacing w:val="-2"/>
                <w:sz w:val="18"/>
                <w:szCs w:val="18"/>
              </w:rPr>
            </w:pPr>
            <w:r>
              <w:rPr>
                <w:sz w:val="18"/>
              </w:rPr>
              <w:t>Interna</w:t>
            </w:r>
          </w:p>
        </w:tc>
        <w:tc>
          <w:tcPr>
            <w:tcW w:w="3240" w:type="dxa"/>
            <w:tcBorders>
              <w:top w:val="single" w:sz="4" w:space="0" w:color="000000"/>
              <w:left w:val="single" w:sz="4" w:space="0" w:color="000000"/>
              <w:bottom w:val="none" w:sz="6" w:space="0" w:color="auto"/>
              <w:right w:val="single" w:sz="4" w:space="0" w:color="000000"/>
            </w:tcBorders>
          </w:tcPr>
          <w:p w14:paraId="6275CACC"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7D89E3FF" w14:textId="77777777">
        <w:trPr>
          <w:trHeight w:val="206"/>
        </w:trPr>
        <w:tc>
          <w:tcPr>
            <w:tcW w:w="2054" w:type="dxa"/>
            <w:tcBorders>
              <w:top w:val="none" w:sz="6" w:space="0" w:color="auto"/>
              <w:left w:val="single" w:sz="4" w:space="0" w:color="000000"/>
              <w:bottom w:val="none" w:sz="6" w:space="0" w:color="auto"/>
              <w:right w:val="single" w:sz="4" w:space="0" w:color="000000"/>
            </w:tcBorders>
          </w:tcPr>
          <w:p w14:paraId="6842A04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5F0AD62C" w14:textId="77777777" w:rsidR="00DF3509" w:rsidRPr="001F545D" w:rsidRDefault="00DF3509">
            <w:pPr>
              <w:pStyle w:val="TableParagraph"/>
              <w:kinsoku w:val="0"/>
              <w:overflowPunct w:val="0"/>
              <w:spacing w:line="186" w:lineRule="exact"/>
              <w:ind w:left="105"/>
              <w:rPr>
                <w:rFonts w:eastAsia="Times New Roman"/>
                <w:spacing w:val="-2"/>
                <w:sz w:val="18"/>
                <w:szCs w:val="18"/>
              </w:rPr>
            </w:pPr>
            <w:r>
              <w:rPr>
                <w:sz w:val="18"/>
              </w:rPr>
              <w:t>Bande WCDMA, LTE e 5G:</w:t>
            </w:r>
          </w:p>
        </w:tc>
        <w:tc>
          <w:tcPr>
            <w:tcW w:w="1079" w:type="dxa"/>
            <w:tcBorders>
              <w:top w:val="none" w:sz="6" w:space="0" w:color="auto"/>
              <w:left w:val="single" w:sz="4" w:space="0" w:color="000000"/>
              <w:bottom w:val="none" w:sz="6" w:space="0" w:color="auto"/>
              <w:right w:val="single" w:sz="4" w:space="0" w:color="000000"/>
            </w:tcBorders>
          </w:tcPr>
          <w:p w14:paraId="3DC739CA"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240" w:type="dxa"/>
            <w:tcBorders>
              <w:top w:val="none" w:sz="6" w:space="0" w:color="auto"/>
              <w:left w:val="single" w:sz="4" w:space="0" w:color="000000"/>
              <w:bottom w:val="none" w:sz="6" w:space="0" w:color="auto"/>
              <w:right w:val="single" w:sz="4" w:space="0" w:color="000000"/>
            </w:tcBorders>
          </w:tcPr>
          <w:p w14:paraId="1F00D220" w14:textId="77777777" w:rsidR="00DF3509" w:rsidRPr="001F545D" w:rsidRDefault="00DF3509">
            <w:pPr>
              <w:pStyle w:val="TableParagraph"/>
              <w:kinsoku w:val="0"/>
              <w:overflowPunct w:val="0"/>
              <w:spacing w:line="186" w:lineRule="exact"/>
              <w:ind w:left="109"/>
              <w:rPr>
                <w:rFonts w:eastAsia="Times New Roman"/>
                <w:spacing w:val="-2"/>
                <w:sz w:val="18"/>
                <w:szCs w:val="18"/>
              </w:rPr>
            </w:pPr>
            <w:r>
              <w:rPr>
                <w:sz w:val="18"/>
              </w:rPr>
              <w:t>Interna</w:t>
            </w:r>
          </w:p>
        </w:tc>
      </w:tr>
      <w:tr w:rsidR="00DF3509" w:rsidRPr="001F545D" w14:paraId="19FA5DB1" w14:textId="77777777">
        <w:trPr>
          <w:trHeight w:val="207"/>
        </w:trPr>
        <w:tc>
          <w:tcPr>
            <w:tcW w:w="2054" w:type="dxa"/>
            <w:tcBorders>
              <w:top w:val="none" w:sz="6" w:space="0" w:color="auto"/>
              <w:left w:val="single" w:sz="4" w:space="0" w:color="000000"/>
              <w:bottom w:val="none" w:sz="6" w:space="0" w:color="auto"/>
              <w:right w:val="single" w:sz="4" w:space="0" w:color="000000"/>
            </w:tcBorders>
          </w:tcPr>
          <w:p w14:paraId="2DFCADB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51A0231C" w14:textId="77777777" w:rsidR="00DF3509" w:rsidRPr="001F545D" w:rsidRDefault="00DF3509">
            <w:pPr>
              <w:pStyle w:val="TableParagraph"/>
              <w:kinsoku w:val="0"/>
              <w:overflowPunct w:val="0"/>
              <w:spacing w:line="188" w:lineRule="exact"/>
              <w:ind w:left="105"/>
              <w:rPr>
                <w:rFonts w:eastAsia="Times New Roman"/>
                <w:spacing w:val="-5"/>
                <w:sz w:val="18"/>
                <w:szCs w:val="18"/>
              </w:rPr>
            </w:pPr>
            <w:r>
              <w:rPr>
                <w:sz w:val="18"/>
              </w:rPr>
              <w:t>663-849</w:t>
            </w:r>
          </w:p>
        </w:tc>
        <w:tc>
          <w:tcPr>
            <w:tcW w:w="1079" w:type="dxa"/>
            <w:tcBorders>
              <w:top w:val="none" w:sz="6" w:space="0" w:color="auto"/>
              <w:left w:val="single" w:sz="4" w:space="0" w:color="000000"/>
              <w:bottom w:val="none" w:sz="6" w:space="0" w:color="auto"/>
              <w:right w:val="single" w:sz="4" w:space="0" w:color="000000"/>
            </w:tcBorders>
          </w:tcPr>
          <w:p w14:paraId="076FD1C7" w14:textId="77777777" w:rsidR="00DF3509" w:rsidRPr="001F545D" w:rsidRDefault="00DF3509">
            <w:pPr>
              <w:pStyle w:val="TableParagraph"/>
              <w:kinsoku w:val="0"/>
              <w:overflowPunct w:val="0"/>
              <w:spacing w:line="188" w:lineRule="exact"/>
              <w:ind w:left="108"/>
              <w:rPr>
                <w:rFonts w:eastAsia="Times New Roman"/>
                <w:spacing w:val="-5"/>
                <w:sz w:val="18"/>
                <w:szCs w:val="18"/>
              </w:rPr>
            </w:pPr>
            <w:r>
              <w:rPr>
                <w:sz w:val="18"/>
              </w:rPr>
              <w:t>-2,8</w:t>
            </w:r>
          </w:p>
        </w:tc>
        <w:tc>
          <w:tcPr>
            <w:tcW w:w="3240" w:type="dxa"/>
            <w:tcBorders>
              <w:top w:val="none" w:sz="6" w:space="0" w:color="auto"/>
              <w:left w:val="single" w:sz="4" w:space="0" w:color="000000"/>
              <w:bottom w:val="none" w:sz="6" w:space="0" w:color="auto"/>
              <w:right w:val="single" w:sz="4" w:space="0" w:color="000000"/>
            </w:tcBorders>
          </w:tcPr>
          <w:p w14:paraId="67CF6248"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32DC0B60" w14:textId="77777777">
        <w:trPr>
          <w:trHeight w:val="207"/>
        </w:trPr>
        <w:tc>
          <w:tcPr>
            <w:tcW w:w="2054" w:type="dxa"/>
            <w:tcBorders>
              <w:top w:val="none" w:sz="6" w:space="0" w:color="auto"/>
              <w:left w:val="single" w:sz="4" w:space="0" w:color="000000"/>
              <w:bottom w:val="none" w:sz="6" w:space="0" w:color="auto"/>
              <w:right w:val="single" w:sz="4" w:space="0" w:color="000000"/>
            </w:tcBorders>
          </w:tcPr>
          <w:p w14:paraId="34E91A9B"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6DAE74D6" w14:textId="77777777" w:rsidR="00DF3509" w:rsidRPr="001F545D" w:rsidRDefault="00DF3509">
            <w:pPr>
              <w:pStyle w:val="TableParagraph"/>
              <w:kinsoku w:val="0"/>
              <w:overflowPunct w:val="0"/>
              <w:spacing w:line="188" w:lineRule="exact"/>
              <w:ind w:left="105"/>
              <w:rPr>
                <w:rFonts w:eastAsia="Times New Roman"/>
                <w:spacing w:val="-4"/>
                <w:sz w:val="18"/>
                <w:szCs w:val="18"/>
              </w:rPr>
            </w:pPr>
            <w:r>
              <w:rPr>
                <w:sz w:val="18"/>
              </w:rPr>
              <w:t>1710-1915</w:t>
            </w:r>
          </w:p>
        </w:tc>
        <w:tc>
          <w:tcPr>
            <w:tcW w:w="1079" w:type="dxa"/>
            <w:tcBorders>
              <w:top w:val="none" w:sz="6" w:space="0" w:color="auto"/>
              <w:left w:val="single" w:sz="4" w:space="0" w:color="000000"/>
              <w:bottom w:val="none" w:sz="6" w:space="0" w:color="auto"/>
              <w:right w:val="single" w:sz="4" w:space="0" w:color="000000"/>
            </w:tcBorders>
          </w:tcPr>
          <w:p w14:paraId="58C52F5A" w14:textId="77777777" w:rsidR="00DF3509" w:rsidRPr="001F545D" w:rsidRDefault="00DF3509">
            <w:pPr>
              <w:pStyle w:val="TableParagraph"/>
              <w:kinsoku w:val="0"/>
              <w:overflowPunct w:val="0"/>
              <w:spacing w:line="188" w:lineRule="exact"/>
              <w:ind w:left="108"/>
              <w:rPr>
                <w:rFonts w:eastAsia="Times New Roman"/>
                <w:spacing w:val="-5"/>
                <w:sz w:val="18"/>
                <w:szCs w:val="18"/>
              </w:rPr>
            </w:pPr>
            <w:r>
              <w:rPr>
                <w:sz w:val="18"/>
              </w:rPr>
              <w:t>-4,0</w:t>
            </w:r>
          </w:p>
        </w:tc>
        <w:tc>
          <w:tcPr>
            <w:tcW w:w="3240" w:type="dxa"/>
            <w:tcBorders>
              <w:top w:val="none" w:sz="6" w:space="0" w:color="auto"/>
              <w:left w:val="single" w:sz="4" w:space="0" w:color="000000"/>
              <w:bottom w:val="none" w:sz="6" w:space="0" w:color="auto"/>
              <w:right w:val="single" w:sz="4" w:space="0" w:color="000000"/>
            </w:tcBorders>
          </w:tcPr>
          <w:p w14:paraId="1FB6620B"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6674972D" w14:textId="77777777">
        <w:trPr>
          <w:trHeight w:val="203"/>
        </w:trPr>
        <w:tc>
          <w:tcPr>
            <w:tcW w:w="2054" w:type="dxa"/>
            <w:tcBorders>
              <w:top w:val="none" w:sz="6" w:space="0" w:color="auto"/>
              <w:left w:val="single" w:sz="4" w:space="0" w:color="000000"/>
              <w:bottom w:val="single" w:sz="4" w:space="0" w:color="000000"/>
              <w:right w:val="single" w:sz="4" w:space="0" w:color="000000"/>
            </w:tcBorders>
          </w:tcPr>
          <w:p w14:paraId="3EAD3160"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single" w:sz="4" w:space="0" w:color="000000"/>
              <w:right w:val="single" w:sz="4" w:space="0" w:color="000000"/>
            </w:tcBorders>
          </w:tcPr>
          <w:p w14:paraId="154BFF01" w14:textId="77777777" w:rsidR="00DF3509" w:rsidRPr="001F545D" w:rsidRDefault="00DF3509">
            <w:pPr>
              <w:pStyle w:val="TableParagraph"/>
              <w:kinsoku w:val="0"/>
              <w:overflowPunct w:val="0"/>
              <w:spacing w:line="184" w:lineRule="exact"/>
              <w:ind w:left="105"/>
              <w:rPr>
                <w:rFonts w:eastAsia="Times New Roman"/>
                <w:spacing w:val="-4"/>
                <w:sz w:val="18"/>
                <w:szCs w:val="18"/>
              </w:rPr>
            </w:pPr>
            <w:r>
              <w:rPr>
                <w:sz w:val="18"/>
              </w:rPr>
              <w:t>2305-3700</w:t>
            </w:r>
          </w:p>
        </w:tc>
        <w:tc>
          <w:tcPr>
            <w:tcW w:w="1079" w:type="dxa"/>
            <w:tcBorders>
              <w:top w:val="none" w:sz="6" w:space="0" w:color="auto"/>
              <w:left w:val="single" w:sz="4" w:space="0" w:color="000000"/>
              <w:bottom w:val="single" w:sz="4" w:space="0" w:color="000000"/>
              <w:right w:val="single" w:sz="4" w:space="0" w:color="000000"/>
            </w:tcBorders>
          </w:tcPr>
          <w:p w14:paraId="1F8275A6" w14:textId="77777777" w:rsidR="00DF3509" w:rsidRPr="001F545D" w:rsidRDefault="00DF3509">
            <w:pPr>
              <w:pStyle w:val="TableParagraph"/>
              <w:kinsoku w:val="0"/>
              <w:overflowPunct w:val="0"/>
              <w:spacing w:line="184" w:lineRule="exact"/>
              <w:ind w:left="108"/>
              <w:rPr>
                <w:rFonts w:eastAsia="Times New Roman"/>
                <w:spacing w:val="-4"/>
                <w:sz w:val="18"/>
                <w:szCs w:val="18"/>
              </w:rPr>
            </w:pPr>
            <w:r>
              <w:rPr>
                <w:sz w:val="18"/>
              </w:rPr>
              <w:t>-4,53</w:t>
            </w:r>
          </w:p>
        </w:tc>
        <w:tc>
          <w:tcPr>
            <w:tcW w:w="3240" w:type="dxa"/>
            <w:tcBorders>
              <w:top w:val="none" w:sz="6" w:space="0" w:color="auto"/>
              <w:left w:val="single" w:sz="4" w:space="0" w:color="000000"/>
              <w:bottom w:val="single" w:sz="4" w:space="0" w:color="000000"/>
              <w:right w:val="single" w:sz="4" w:space="0" w:color="000000"/>
            </w:tcBorders>
          </w:tcPr>
          <w:p w14:paraId="6AE82231"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711A042B"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21D89069"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LBR20</w:t>
            </w:r>
          </w:p>
        </w:tc>
        <w:tc>
          <w:tcPr>
            <w:tcW w:w="3521" w:type="dxa"/>
            <w:tcBorders>
              <w:top w:val="single" w:sz="4" w:space="0" w:color="000000"/>
              <w:left w:val="single" w:sz="4" w:space="0" w:color="000000"/>
              <w:bottom w:val="single" w:sz="4" w:space="0" w:color="000000"/>
              <w:right w:val="single" w:sz="4" w:space="0" w:color="000000"/>
            </w:tcBorders>
          </w:tcPr>
          <w:p w14:paraId="0C28D7AD" w14:textId="77777777" w:rsidR="00DF3509" w:rsidRPr="001F545D" w:rsidRDefault="00DF3509">
            <w:pPr>
              <w:pStyle w:val="TableParagraph"/>
              <w:kinsoku w:val="0"/>
              <w:overflowPunct w:val="0"/>
              <w:spacing w:line="206" w:lineRule="exact"/>
              <w:ind w:left="105"/>
              <w:rPr>
                <w:rFonts w:eastAsia="Times New Roman"/>
                <w:spacing w:val="-4"/>
                <w:sz w:val="18"/>
                <w:szCs w:val="18"/>
              </w:rPr>
            </w:pPr>
            <w:r>
              <w:rPr>
                <w:sz w:val="18"/>
              </w:rPr>
              <w:t>2,4 GHz e 5 GHz</w:t>
            </w:r>
          </w:p>
          <w:p w14:paraId="15E6BEEC" w14:textId="77777777" w:rsidR="00DF3509" w:rsidRPr="001F545D" w:rsidRDefault="00DF3509">
            <w:pPr>
              <w:pStyle w:val="TableParagraph"/>
              <w:kinsoku w:val="0"/>
              <w:overflowPunct w:val="0"/>
              <w:spacing w:line="189" w:lineRule="exact"/>
              <w:ind w:left="105"/>
              <w:rPr>
                <w:rFonts w:eastAsia="Times New Roman"/>
                <w:spacing w:val="-4"/>
                <w:sz w:val="18"/>
                <w:szCs w:val="18"/>
              </w:rPr>
            </w:pPr>
            <w:r>
              <w:rPr>
                <w:sz w:val="18"/>
              </w:rPr>
              <w:t>Bande WCDMA e LTE</w:t>
            </w:r>
          </w:p>
        </w:tc>
        <w:tc>
          <w:tcPr>
            <w:tcW w:w="1079" w:type="dxa"/>
            <w:tcBorders>
              <w:top w:val="single" w:sz="4" w:space="0" w:color="000000"/>
              <w:left w:val="single" w:sz="4" w:space="0" w:color="000000"/>
              <w:bottom w:val="single" w:sz="4" w:space="0" w:color="000000"/>
              <w:right w:val="single" w:sz="4" w:space="0" w:color="000000"/>
            </w:tcBorders>
          </w:tcPr>
          <w:p w14:paraId="50372A9E" w14:textId="77777777" w:rsidR="00DF3509" w:rsidRPr="001F545D" w:rsidRDefault="00DF3509">
            <w:pPr>
              <w:pStyle w:val="TableParagraph"/>
              <w:kinsoku w:val="0"/>
              <w:overflowPunct w:val="0"/>
              <w:spacing w:line="206" w:lineRule="exact"/>
              <w:ind w:left="108"/>
              <w:rPr>
                <w:rFonts w:eastAsia="Times New Roman"/>
                <w:spacing w:val="-2"/>
                <w:sz w:val="18"/>
                <w:szCs w:val="18"/>
              </w:rPr>
            </w:pPr>
            <w:r>
              <w:rPr>
                <w:sz w:val="18"/>
              </w:rPr>
              <w:t>Interna</w:t>
            </w:r>
          </w:p>
        </w:tc>
        <w:tc>
          <w:tcPr>
            <w:tcW w:w="3240" w:type="dxa"/>
            <w:tcBorders>
              <w:top w:val="single" w:sz="4" w:space="0" w:color="000000"/>
              <w:left w:val="single" w:sz="4" w:space="0" w:color="000000"/>
              <w:bottom w:val="single" w:sz="4" w:space="0" w:color="000000"/>
              <w:right w:val="single" w:sz="4" w:space="0" w:color="000000"/>
            </w:tcBorders>
          </w:tcPr>
          <w:p w14:paraId="6F6AC2CB" w14:textId="77777777" w:rsidR="00DF3509" w:rsidRPr="001F545D" w:rsidRDefault="00DF3509">
            <w:pPr>
              <w:pStyle w:val="TableParagraph"/>
              <w:kinsoku w:val="0"/>
              <w:overflowPunct w:val="0"/>
              <w:spacing w:line="206" w:lineRule="exact"/>
              <w:ind w:left="109"/>
              <w:rPr>
                <w:rFonts w:eastAsia="Times New Roman"/>
                <w:spacing w:val="-2"/>
                <w:sz w:val="18"/>
                <w:szCs w:val="18"/>
              </w:rPr>
            </w:pPr>
            <w:r>
              <w:rPr>
                <w:sz w:val="18"/>
              </w:rPr>
              <w:t>Interna</w:t>
            </w:r>
          </w:p>
          <w:p w14:paraId="6DBFC5F4" w14:textId="77777777" w:rsidR="00DF3509" w:rsidRPr="001F545D" w:rsidRDefault="00DF3509">
            <w:pPr>
              <w:pStyle w:val="TableParagraph"/>
              <w:kinsoku w:val="0"/>
              <w:overflowPunct w:val="0"/>
              <w:spacing w:line="189" w:lineRule="exact"/>
              <w:ind w:left="109"/>
              <w:rPr>
                <w:rFonts w:eastAsia="Times New Roman"/>
                <w:spacing w:val="-2"/>
                <w:sz w:val="18"/>
                <w:szCs w:val="18"/>
              </w:rPr>
            </w:pPr>
            <w:r>
              <w:rPr>
                <w:sz w:val="18"/>
              </w:rPr>
              <w:t>Interna o NETGEAR 6000451</w:t>
            </w:r>
          </w:p>
        </w:tc>
      </w:tr>
      <w:tr w:rsidR="00BC1AC3" w:rsidRPr="001F545D" w14:paraId="3864E00A"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0E1EE06F" w14:textId="77777777" w:rsidR="00BC1AC3" w:rsidRPr="001F545D" w:rsidRDefault="00BC1AC3">
            <w:pPr>
              <w:pStyle w:val="TableParagraph"/>
              <w:kinsoku w:val="0"/>
              <w:overflowPunct w:val="0"/>
              <w:spacing w:line="206" w:lineRule="exact"/>
              <w:rPr>
                <w:rFonts w:eastAsia="Times New Roman"/>
                <w:spacing w:val="-2"/>
                <w:sz w:val="18"/>
                <w:szCs w:val="18"/>
              </w:rPr>
            </w:pPr>
            <w:r>
              <w:rPr>
                <w:sz w:val="18"/>
              </w:rPr>
              <w:lastRenderedPageBreak/>
              <w:t>MR6500/MR6110</w:t>
            </w:r>
          </w:p>
        </w:tc>
        <w:tc>
          <w:tcPr>
            <w:tcW w:w="3521" w:type="dxa"/>
            <w:tcBorders>
              <w:top w:val="single" w:sz="4" w:space="0" w:color="000000"/>
              <w:left w:val="single" w:sz="4" w:space="0" w:color="000000"/>
              <w:bottom w:val="single" w:sz="4" w:space="0" w:color="000000"/>
              <w:right w:val="single" w:sz="4" w:space="0" w:color="000000"/>
            </w:tcBorders>
          </w:tcPr>
          <w:p w14:paraId="5194AAB6" w14:textId="77777777" w:rsidR="00BE289B" w:rsidRDefault="00BE289B" w:rsidP="00BE289B">
            <w:pPr>
              <w:pStyle w:val="BodyText"/>
            </w:pPr>
            <w:r>
              <w:t xml:space="preserve"> 2,4, 5, 6 GHz</w:t>
            </w:r>
          </w:p>
          <w:p w14:paraId="4F65DE49" w14:textId="77777777" w:rsidR="00BE289B" w:rsidRDefault="00BE289B" w:rsidP="00BE289B">
            <w:pPr>
              <w:pStyle w:val="BodyText"/>
            </w:pPr>
            <w:r>
              <w:t xml:space="preserve"> Bande LTE e 5GNR:</w:t>
            </w:r>
          </w:p>
          <w:p w14:paraId="120D6C04" w14:textId="77777777" w:rsidR="00BE289B" w:rsidRDefault="00BE289B" w:rsidP="00BE289B">
            <w:pPr>
              <w:pStyle w:val="BodyText"/>
            </w:pPr>
            <w:r>
              <w:t>B2, B4, B5, B7, B12, B14, B29, B66, n2, n5, n12, n14, n66</w:t>
            </w:r>
          </w:p>
          <w:p w14:paraId="27F59299" w14:textId="77777777" w:rsidR="00BE289B" w:rsidRDefault="00BE289B" w:rsidP="00BE289B">
            <w:pPr>
              <w:pStyle w:val="BodyText"/>
            </w:pPr>
            <w:r>
              <w:t>B30, n30</w:t>
            </w:r>
          </w:p>
          <w:p w14:paraId="1305B374" w14:textId="77777777" w:rsidR="00BE289B" w:rsidRDefault="00BE289B" w:rsidP="00BE289B">
            <w:pPr>
              <w:pStyle w:val="BodyText"/>
            </w:pPr>
            <w:r>
              <w:t>B48</w:t>
            </w:r>
          </w:p>
          <w:p w14:paraId="5CC221A3" w14:textId="77777777" w:rsidR="00BE289B" w:rsidRPr="001F545D" w:rsidRDefault="00BE289B" w:rsidP="003608D0">
            <w:pPr>
              <w:pStyle w:val="BodyText"/>
            </w:pPr>
            <w:r>
              <w:t>n77</w:t>
            </w:r>
          </w:p>
        </w:tc>
        <w:tc>
          <w:tcPr>
            <w:tcW w:w="1079" w:type="dxa"/>
            <w:tcBorders>
              <w:top w:val="single" w:sz="4" w:space="0" w:color="000000"/>
              <w:left w:val="single" w:sz="4" w:space="0" w:color="000000"/>
              <w:bottom w:val="single" w:sz="4" w:space="0" w:color="000000"/>
              <w:right w:val="single" w:sz="4" w:space="0" w:color="000000"/>
            </w:tcBorders>
          </w:tcPr>
          <w:p w14:paraId="1E914268" w14:textId="77777777" w:rsidR="00BC1AC3" w:rsidRDefault="00BE289B">
            <w:pPr>
              <w:pStyle w:val="TableParagraph"/>
              <w:kinsoku w:val="0"/>
              <w:overflowPunct w:val="0"/>
              <w:spacing w:line="206" w:lineRule="exact"/>
              <w:ind w:left="108"/>
              <w:rPr>
                <w:rFonts w:eastAsia="Times New Roman"/>
                <w:spacing w:val="-2"/>
                <w:sz w:val="18"/>
                <w:szCs w:val="18"/>
              </w:rPr>
            </w:pPr>
            <w:r>
              <w:rPr>
                <w:sz w:val="18"/>
              </w:rPr>
              <w:t>Interna</w:t>
            </w:r>
          </w:p>
          <w:p w14:paraId="45AD619A" w14:textId="77777777" w:rsidR="00BE289B" w:rsidRDefault="00BE289B">
            <w:pPr>
              <w:pStyle w:val="TableParagraph"/>
              <w:kinsoku w:val="0"/>
              <w:overflowPunct w:val="0"/>
              <w:spacing w:line="206" w:lineRule="exact"/>
              <w:ind w:left="108"/>
              <w:rPr>
                <w:rFonts w:eastAsia="Times New Roman"/>
                <w:spacing w:val="-2"/>
                <w:sz w:val="18"/>
                <w:szCs w:val="18"/>
              </w:rPr>
            </w:pPr>
          </w:p>
          <w:p w14:paraId="27863846" w14:textId="77777777" w:rsidR="00BE289B" w:rsidRDefault="00BE289B">
            <w:pPr>
              <w:pStyle w:val="TableParagraph"/>
              <w:kinsoku w:val="0"/>
              <w:overflowPunct w:val="0"/>
              <w:spacing w:line="206" w:lineRule="exact"/>
              <w:ind w:left="108"/>
              <w:rPr>
                <w:rFonts w:eastAsia="Times New Roman"/>
                <w:spacing w:val="-2"/>
                <w:sz w:val="18"/>
                <w:szCs w:val="18"/>
              </w:rPr>
            </w:pPr>
            <w:r>
              <w:rPr>
                <w:sz w:val="18"/>
              </w:rPr>
              <w:t>4,0</w:t>
            </w:r>
          </w:p>
          <w:p w14:paraId="63299B69" w14:textId="77777777" w:rsidR="00BE289B" w:rsidRDefault="00BE289B">
            <w:pPr>
              <w:pStyle w:val="TableParagraph"/>
              <w:kinsoku w:val="0"/>
              <w:overflowPunct w:val="0"/>
              <w:spacing w:line="206" w:lineRule="exact"/>
              <w:ind w:left="108"/>
              <w:rPr>
                <w:rFonts w:eastAsia="Times New Roman"/>
                <w:spacing w:val="-2"/>
                <w:sz w:val="18"/>
                <w:szCs w:val="18"/>
              </w:rPr>
            </w:pPr>
          </w:p>
          <w:p w14:paraId="4E3BFE02" w14:textId="77777777" w:rsidR="00BE289B" w:rsidRDefault="00BE289B">
            <w:pPr>
              <w:pStyle w:val="TableParagraph"/>
              <w:kinsoku w:val="0"/>
              <w:overflowPunct w:val="0"/>
              <w:spacing w:line="206" w:lineRule="exact"/>
              <w:ind w:left="108"/>
              <w:rPr>
                <w:rFonts w:eastAsia="Times New Roman"/>
                <w:spacing w:val="-2"/>
                <w:sz w:val="18"/>
                <w:szCs w:val="18"/>
              </w:rPr>
            </w:pPr>
            <w:r>
              <w:rPr>
                <w:sz w:val="18"/>
              </w:rPr>
              <w:t>1,05</w:t>
            </w:r>
          </w:p>
          <w:p w14:paraId="6E8C7E05" w14:textId="77777777" w:rsidR="00BE289B" w:rsidRDefault="00BE289B">
            <w:pPr>
              <w:pStyle w:val="TableParagraph"/>
              <w:kinsoku w:val="0"/>
              <w:overflowPunct w:val="0"/>
              <w:spacing w:line="206" w:lineRule="exact"/>
              <w:ind w:left="108"/>
              <w:rPr>
                <w:rFonts w:eastAsia="Times New Roman"/>
                <w:spacing w:val="-2"/>
                <w:sz w:val="18"/>
                <w:szCs w:val="18"/>
              </w:rPr>
            </w:pPr>
            <w:r>
              <w:rPr>
                <w:sz w:val="18"/>
              </w:rPr>
              <w:t>0,17</w:t>
            </w:r>
          </w:p>
          <w:p w14:paraId="1ECB8A38" w14:textId="77777777" w:rsidR="00BE289B" w:rsidRPr="001F545D" w:rsidRDefault="00BE289B">
            <w:pPr>
              <w:pStyle w:val="TableParagraph"/>
              <w:kinsoku w:val="0"/>
              <w:overflowPunct w:val="0"/>
              <w:spacing w:line="206" w:lineRule="exact"/>
              <w:ind w:left="108"/>
              <w:rPr>
                <w:rFonts w:eastAsia="Times New Roman"/>
                <w:spacing w:val="-2"/>
                <w:sz w:val="18"/>
                <w:szCs w:val="18"/>
              </w:rPr>
            </w:pPr>
            <w:r>
              <w:rPr>
                <w:sz w:val="18"/>
              </w:rPr>
              <w:t>6</w:t>
            </w:r>
          </w:p>
        </w:tc>
        <w:tc>
          <w:tcPr>
            <w:tcW w:w="3240" w:type="dxa"/>
            <w:tcBorders>
              <w:top w:val="single" w:sz="4" w:space="0" w:color="000000"/>
              <w:left w:val="single" w:sz="4" w:space="0" w:color="000000"/>
              <w:bottom w:val="single" w:sz="4" w:space="0" w:color="000000"/>
              <w:right w:val="single" w:sz="4" w:space="0" w:color="000000"/>
            </w:tcBorders>
          </w:tcPr>
          <w:p w14:paraId="01823853" w14:textId="77777777" w:rsidR="00BC1AC3" w:rsidRDefault="00BE289B">
            <w:pPr>
              <w:pStyle w:val="TableParagraph"/>
              <w:kinsoku w:val="0"/>
              <w:overflowPunct w:val="0"/>
              <w:spacing w:line="206" w:lineRule="exact"/>
              <w:ind w:left="109"/>
              <w:rPr>
                <w:rFonts w:eastAsia="Times New Roman"/>
                <w:spacing w:val="-2"/>
                <w:sz w:val="18"/>
                <w:szCs w:val="18"/>
              </w:rPr>
            </w:pPr>
            <w:r>
              <w:rPr>
                <w:sz w:val="18"/>
              </w:rPr>
              <w:t>Interna</w:t>
            </w:r>
          </w:p>
          <w:p w14:paraId="7BB7818B" w14:textId="77777777" w:rsidR="00BE289B" w:rsidRDefault="00BE289B">
            <w:pPr>
              <w:pStyle w:val="TableParagraph"/>
              <w:kinsoku w:val="0"/>
              <w:overflowPunct w:val="0"/>
              <w:spacing w:line="206" w:lineRule="exact"/>
              <w:ind w:left="109"/>
              <w:rPr>
                <w:rFonts w:eastAsia="Times New Roman"/>
                <w:spacing w:val="-2"/>
                <w:sz w:val="18"/>
                <w:szCs w:val="18"/>
              </w:rPr>
            </w:pPr>
          </w:p>
          <w:p w14:paraId="49F1B6F2" w14:textId="77777777" w:rsidR="00BE289B" w:rsidRDefault="00BE289B">
            <w:pPr>
              <w:pStyle w:val="TableParagraph"/>
              <w:kinsoku w:val="0"/>
              <w:overflowPunct w:val="0"/>
              <w:spacing w:line="206" w:lineRule="exact"/>
              <w:ind w:left="109"/>
              <w:rPr>
                <w:rFonts w:eastAsia="Times New Roman"/>
                <w:spacing w:val="-2"/>
                <w:sz w:val="18"/>
                <w:szCs w:val="18"/>
              </w:rPr>
            </w:pPr>
            <w:r>
              <w:rPr>
                <w:sz w:val="18"/>
              </w:rPr>
              <w:t>Interna</w:t>
            </w:r>
          </w:p>
          <w:p w14:paraId="59043442" w14:textId="77777777" w:rsidR="00BE289B" w:rsidRDefault="00BE289B">
            <w:pPr>
              <w:pStyle w:val="TableParagraph"/>
              <w:kinsoku w:val="0"/>
              <w:overflowPunct w:val="0"/>
              <w:spacing w:line="206" w:lineRule="exact"/>
              <w:ind w:left="109"/>
              <w:rPr>
                <w:rFonts w:eastAsia="Times New Roman"/>
                <w:spacing w:val="-2"/>
                <w:sz w:val="18"/>
                <w:szCs w:val="18"/>
              </w:rPr>
            </w:pPr>
          </w:p>
          <w:p w14:paraId="1155B9B9" w14:textId="77777777" w:rsidR="00BE289B" w:rsidRDefault="00BE289B">
            <w:pPr>
              <w:pStyle w:val="TableParagraph"/>
              <w:kinsoku w:val="0"/>
              <w:overflowPunct w:val="0"/>
              <w:spacing w:line="206" w:lineRule="exact"/>
              <w:ind w:left="109"/>
              <w:rPr>
                <w:rFonts w:eastAsia="Times New Roman"/>
                <w:spacing w:val="-2"/>
                <w:sz w:val="18"/>
                <w:szCs w:val="18"/>
              </w:rPr>
            </w:pPr>
            <w:r>
              <w:rPr>
                <w:sz w:val="18"/>
              </w:rPr>
              <w:t>Interna</w:t>
            </w:r>
          </w:p>
          <w:p w14:paraId="20C29758" w14:textId="77777777" w:rsidR="00BE289B" w:rsidRDefault="00BE289B">
            <w:pPr>
              <w:pStyle w:val="TableParagraph"/>
              <w:kinsoku w:val="0"/>
              <w:overflowPunct w:val="0"/>
              <w:spacing w:line="206" w:lineRule="exact"/>
              <w:ind w:left="109"/>
              <w:rPr>
                <w:rFonts w:eastAsia="Times New Roman"/>
                <w:spacing w:val="-2"/>
                <w:sz w:val="18"/>
                <w:szCs w:val="18"/>
              </w:rPr>
            </w:pPr>
            <w:r>
              <w:rPr>
                <w:sz w:val="18"/>
              </w:rPr>
              <w:t>Interna</w:t>
            </w:r>
          </w:p>
          <w:p w14:paraId="6434DA17" w14:textId="77777777" w:rsidR="00BE289B" w:rsidRDefault="00BE289B">
            <w:pPr>
              <w:pStyle w:val="TableParagraph"/>
              <w:kinsoku w:val="0"/>
              <w:overflowPunct w:val="0"/>
              <w:spacing w:line="206" w:lineRule="exact"/>
              <w:ind w:left="109"/>
              <w:rPr>
                <w:rFonts w:eastAsia="Times New Roman"/>
                <w:spacing w:val="-2"/>
                <w:sz w:val="18"/>
                <w:szCs w:val="18"/>
              </w:rPr>
            </w:pPr>
            <w:r>
              <w:rPr>
                <w:sz w:val="18"/>
              </w:rPr>
              <w:t>Interna</w:t>
            </w:r>
          </w:p>
          <w:p w14:paraId="5A9F9D5D" w14:textId="77777777" w:rsidR="00BE289B" w:rsidRPr="001F545D" w:rsidRDefault="00BE289B">
            <w:pPr>
              <w:pStyle w:val="TableParagraph"/>
              <w:kinsoku w:val="0"/>
              <w:overflowPunct w:val="0"/>
              <w:spacing w:line="206" w:lineRule="exact"/>
              <w:ind w:left="109"/>
              <w:rPr>
                <w:rFonts w:eastAsia="Times New Roman"/>
                <w:spacing w:val="-2"/>
                <w:sz w:val="18"/>
                <w:szCs w:val="18"/>
              </w:rPr>
            </w:pPr>
          </w:p>
        </w:tc>
      </w:tr>
      <w:tr w:rsidR="00630974" w:rsidRPr="001F545D" w14:paraId="44EB627B"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10F39EA7" w14:textId="77777777" w:rsidR="00630974" w:rsidRDefault="00630974">
            <w:pPr>
              <w:pStyle w:val="TableParagraph"/>
              <w:kinsoku w:val="0"/>
              <w:overflowPunct w:val="0"/>
              <w:spacing w:line="206" w:lineRule="exact"/>
              <w:rPr>
                <w:rFonts w:eastAsia="Times New Roman"/>
                <w:spacing w:val="-2"/>
                <w:sz w:val="18"/>
                <w:szCs w:val="18"/>
              </w:rPr>
            </w:pPr>
            <w:r>
              <w:rPr>
                <w:sz w:val="18"/>
              </w:rPr>
              <w:t>MR6150/MR6550</w:t>
            </w:r>
          </w:p>
        </w:tc>
        <w:tc>
          <w:tcPr>
            <w:tcW w:w="3521" w:type="dxa"/>
            <w:tcBorders>
              <w:top w:val="single" w:sz="4" w:space="0" w:color="000000"/>
              <w:left w:val="single" w:sz="4" w:space="0" w:color="000000"/>
              <w:bottom w:val="single" w:sz="4" w:space="0" w:color="000000"/>
              <w:right w:val="single" w:sz="4" w:space="0" w:color="000000"/>
            </w:tcBorders>
          </w:tcPr>
          <w:p w14:paraId="6D1A16ED" w14:textId="77777777" w:rsidR="00630974" w:rsidRDefault="00630974" w:rsidP="00630974">
            <w:pPr>
              <w:pStyle w:val="BodyText"/>
            </w:pPr>
            <w:r>
              <w:t>2,4, 5, 6 GHz</w:t>
            </w:r>
          </w:p>
          <w:p w14:paraId="1CEE6D06" w14:textId="77777777" w:rsidR="00630974" w:rsidRDefault="00630974" w:rsidP="00630974">
            <w:pPr>
              <w:pStyle w:val="BodyText"/>
            </w:pPr>
            <w:r>
              <w:t xml:space="preserve"> Bande LTE e 5GNR:</w:t>
            </w:r>
          </w:p>
          <w:p w14:paraId="01D93A74" w14:textId="77777777" w:rsidR="00630974" w:rsidRDefault="00630974" w:rsidP="00630974">
            <w:pPr>
              <w:pStyle w:val="BodyText"/>
            </w:pPr>
            <w:r>
              <w:t>B2, B4, B5, B7, B12, B13, B14, B25, B26, B41, B66, B71, n2, n5, n7, n12, n14, n25, n38, n41, n66, n71, n77, n78</w:t>
            </w:r>
          </w:p>
          <w:p w14:paraId="05A41B42" w14:textId="77777777" w:rsidR="00630974" w:rsidRDefault="00630974" w:rsidP="00630974">
            <w:pPr>
              <w:pStyle w:val="BodyText"/>
            </w:pPr>
            <w:r>
              <w:t>B30, n30</w:t>
            </w:r>
          </w:p>
          <w:p w14:paraId="03B65F6A" w14:textId="77777777" w:rsidR="00630974" w:rsidRDefault="00630974" w:rsidP="00630974">
            <w:pPr>
              <w:pStyle w:val="BodyText"/>
            </w:pPr>
            <w:r>
              <w:t>B48, n48, (n77, n78 per ISED)</w:t>
            </w:r>
          </w:p>
          <w:p w14:paraId="067724F7" w14:textId="77777777" w:rsidR="00630974" w:rsidRDefault="00630974" w:rsidP="00630974">
            <w:pPr>
              <w:pStyle w:val="BodyText"/>
            </w:pPr>
            <w:r>
              <w:t>B42</w:t>
            </w:r>
          </w:p>
        </w:tc>
        <w:tc>
          <w:tcPr>
            <w:tcW w:w="1079" w:type="dxa"/>
            <w:tcBorders>
              <w:top w:val="single" w:sz="4" w:space="0" w:color="000000"/>
              <w:left w:val="single" w:sz="4" w:space="0" w:color="000000"/>
              <w:bottom w:val="single" w:sz="4" w:space="0" w:color="000000"/>
              <w:right w:val="single" w:sz="4" w:space="0" w:color="000000"/>
            </w:tcBorders>
          </w:tcPr>
          <w:p w14:paraId="23D1DC8B" w14:textId="77777777" w:rsidR="00630974" w:rsidRDefault="00630974">
            <w:pPr>
              <w:pStyle w:val="TableParagraph"/>
              <w:kinsoku w:val="0"/>
              <w:overflowPunct w:val="0"/>
              <w:spacing w:line="206" w:lineRule="exact"/>
              <w:ind w:left="108"/>
              <w:rPr>
                <w:rFonts w:eastAsia="Times New Roman"/>
                <w:spacing w:val="-2"/>
                <w:sz w:val="18"/>
                <w:szCs w:val="18"/>
              </w:rPr>
            </w:pPr>
            <w:r>
              <w:rPr>
                <w:sz w:val="18"/>
              </w:rPr>
              <w:t>Interna</w:t>
            </w:r>
          </w:p>
          <w:p w14:paraId="45069801" w14:textId="77777777" w:rsidR="00630974" w:rsidRDefault="00630974">
            <w:pPr>
              <w:pStyle w:val="TableParagraph"/>
              <w:kinsoku w:val="0"/>
              <w:overflowPunct w:val="0"/>
              <w:spacing w:line="206" w:lineRule="exact"/>
              <w:ind w:left="108"/>
              <w:rPr>
                <w:rFonts w:eastAsia="Times New Roman"/>
                <w:spacing w:val="-2"/>
                <w:sz w:val="18"/>
                <w:szCs w:val="18"/>
              </w:rPr>
            </w:pPr>
          </w:p>
          <w:p w14:paraId="29022EF3" w14:textId="77777777" w:rsidR="00630974" w:rsidRDefault="00630974">
            <w:pPr>
              <w:pStyle w:val="TableParagraph"/>
              <w:kinsoku w:val="0"/>
              <w:overflowPunct w:val="0"/>
              <w:spacing w:line="206" w:lineRule="exact"/>
              <w:ind w:left="108"/>
              <w:rPr>
                <w:rFonts w:eastAsia="Times New Roman"/>
                <w:spacing w:val="-2"/>
                <w:sz w:val="18"/>
                <w:szCs w:val="18"/>
              </w:rPr>
            </w:pPr>
          </w:p>
          <w:p w14:paraId="53CFF47F" w14:textId="77777777" w:rsidR="00630974" w:rsidRDefault="00630974">
            <w:pPr>
              <w:pStyle w:val="TableParagraph"/>
              <w:kinsoku w:val="0"/>
              <w:overflowPunct w:val="0"/>
              <w:spacing w:line="206" w:lineRule="exact"/>
              <w:ind w:left="108"/>
              <w:rPr>
                <w:rFonts w:eastAsia="Times New Roman"/>
                <w:spacing w:val="-2"/>
                <w:sz w:val="18"/>
                <w:szCs w:val="18"/>
              </w:rPr>
            </w:pPr>
          </w:p>
          <w:p w14:paraId="6BE38C44" w14:textId="77777777" w:rsidR="00630974" w:rsidRDefault="00630974">
            <w:pPr>
              <w:pStyle w:val="TableParagraph"/>
              <w:kinsoku w:val="0"/>
              <w:overflowPunct w:val="0"/>
              <w:spacing w:line="206" w:lineRule="exact"/>
              <w:ind w:left="108"/>
              <w:rPr>
                <w:rFonts w:eastAsia="Times New Roman"/>
                <w:spacing w:val="-2"/>
                <w:sz w:val="18"/>
                <w:szCs w:val="18"/>
              </w:rPr>
            </w:pPr>
            <w:r>
              <w:rPr>
                <w:sz w:val="18"/>
              </w:rPr>
              <w:t>4,0</w:t>
            </w:r>
          </w:p>
          <w:p w14:paraId="13890EA2" w14:textId="77777777" w:rsidR="00630974" w:rsidRDefault="00630974">
            <w:pPr>
              <w:pStyle w:val="TableParagraph"/>
              <w:kinsoku w:val="0"/>
              <w:overflowPunct w:val="0"/>
              <w:spacing w:line="206" w:lineRule="exact"/>
              <w:ind w:left="108"/>
              <w:rPr>
                <w:rFonts w:eastAsia="Times New Roman"/>
                <w:spacing w:val="-2"/>
                <w:sz w:val="18"/>
                <w:szCs w:val="18"/>
              </w:rPr>
            </w:pPr>
            <w:r>
              <w:rPr>
                <w:sz w:val="18"/>
              </w:rPr>
              <w:t>1,05</w:t>
            </w:r>
          </w:p>
          <w:p w14:paraId="0C030F22" w14:textId="77777777" w:rsidR="00630974" w:rsidRDefault="00630974">
            <w:pPr>
              <w:pStyle w:val="TableParagraph"/>
              <w:kinsoku w:val="0"/>
              <w:overflowPunct w:val="0"/>
              <w:spacing w:line="206" w:lineRule="exact"/>
              <w:ind w:left="108"/>
              <w:rPr>
                <w:rFonts w:eastAsia="Times New Roman"/>
                <w:spacing w:val="-2"/>
                <w:sz w:val="18"/>
                <w:szCs w:val="18"/>
              </w:rPr>
            </w:pPr>
            <w:r>
              <w:rPr>
                <w:sz w:val="18"/>
              </w:rPr>
              <w:t>0,17</w:t>
            </w:r>
          </w:p>
          <w:p w14:paraId="6C683A41" w14:textId="77777777" w:rsidR="00630974" w:rsidRDefault="00630974">
            <w:pPr>
              <w:pStyle w:val="TableParagraph"/>
              <w:kinsoku w:val="0"/>
              <w:overflowPunct w:val="0"/>
              <w:spacing w:line="206" w:lineRule="exact"/>
              <w:ind w:left="108"/>
              <w:rPr>
                <w:rFonts w:eastAsia="Times New Roman"/>
                <w:spacing w:val="-2"/>
                <w:sz w:val="18"/>
                <w:szCs w:val="18"/>
              </w:rPr>
            </w:pPr>
            <w:r>
              <w:rPr>
                <w:sz w:val="18"/>
              </w:rPr>
              <w:t>-0,23</w:t>
            </w:r>
          </w:p>
        </w:tc>
        <w:tc>
          <w:tcPr>
            <w:tcW w:w="3240" w:type="dxa"/>
            <w:tcBorders>
              <w:top w:val="single" w:sz="4" w:space="0" w:color="000000"/>
              <w:left w:val="single" w:sz="4" w:space="0" w:color="000000"/>
              <w:bottom w:val="single" w:sz="4" w:space="0" w:color="000000"/>
              <w:right w:val="single" w:sz="4" w:space="0" w:color="000000"/>
            </w:tcBorders>
          </w:tcPr>
          <w:p w14:paraId="758FC493" w14:textId="77777777" w:rsidR="00630974" w:rsidRDefault="00630974">
            <w:pPr>
              <w:pStyle w:val="TableParagraph"/>
              <w:kinsoku w:val="0"/>
              <w:overflowPunct w:val="0"/>
              <w:spacing w:line="206" w:lineRule="exact"/>
              <w:ind w:left="109"/>
              <w:rPr>
                <w:rFonts w:eastAsia="Times New Roman"/>
                <w:spacing w:val="-2"/>
                <w:sz w:val="18"/>
                <w:szCs w:val="18"/>
              </w:rPr>
            </w:pPr>
            <w:r>
              <w:rPr>
                <w:sz w:val="18"/>
              </w:rPr>
              <w:t>Interna</w:t>
            </w:r>
          </w:p>
          <w:p w14:paraId="27752A13" w14:textId="77777777" w:rsidR="00630974" w:rsidRDefault="00630974">
            <w:pPr>
              <w:pStyle w:val="TableParagraph"/>
              <w:kinsoku w:val="0"/>
              <w:overflowPunct w:val="0"/>
              <w:spacing w:line="206" w:lineRule="exact"/>
              <w:ind w:left="109"/>
              <w:rPr>
                <w:rFonts w:eastAsia="Times New Roman"/>
                <w:spacing w:val="-2"/>
                <w:sz w:val="18"/>
                <w:szCs w:val="18"/>
              </w:rPr>
            </w:pPr>
          </w:p>
          <w:p w14:paraId="54DBD951" w14:textId="77777777" w:rsidR="00630974" w:rsidRDefault="00630974">
            <w:pPr>
              <w:pStyle w:val="TableParagraph"/>
              <w:kinsoku w:val="0"/>
              <w:overflowPunct w:val="0"/>
              <w:spacing w:line="206" w:lineRule="exact"/>
              <w:ind w:left="109"/>
              <w:rPr>
                <w:rFonts w:eastAsia="Times New Roman"/>
                <w:spacing w:val="-2"/>
                <w:sz w:val="18"/>
                <w:szCs w:val="18"/>
              </w:rPr>
            </w:pPr>
          </w:p>
          <w:p w14:paraId="112CDE08" w14:textId="77777777" w:rsidR="00630974" w:rsidRDefault="00630974">
            <w:pPr>
              <w:pStyle w:val="TableParagraph"/>
              <w:kinsoku w:val="0"/>
              <w:overflowPunct w:val="0"/>
              <w:spacing w:line="206" w:lineRule="exact"/>
              <w:ind w:left="109"/>
              <w:rPr>
                <w:rFonts w:eastAsia="Times New Roman"/>
                <w:spacing w:val="-2"/>
                <w:sz w:val="18"/>
                <w:szCs w:val="18"/>
              </w:rPr>
            </w:pPr>
          </w:p>
          <w:p w14:paraId="014E9813" w14:textId="77777777" w:rsidR="00630974" w:rsidRDefault="00630974">
            <w:pPr>
              <w:pStyle w:val="TableParagraph"/>
              <w:kinsoku w:val="0"/>
              <w:overflowPunct w:val="0"/>
              <w:spacing w:line="206" w:lineRule="exact"/>
              <w:ind w:left="109"/>
              <w:rPr>
                <w:rFonts w:eastAsia="Times New Roman"/>
                <w:spacing w:val="-2"/>
                <w:sz w:val="18"/>
                <w:szCs w:val="18"/>
              </w:rPr>
            </w:pPr>
            <w:r>
              <w:rPr>
                <w:sz w:val="18"/>
              </w:rPr>
              <w:t>Interna</w:t>
            </w:r>
          </w:p>
          <w:p w14:paraId="3F2CC919" w14:textId="77777777" w:rsidR="00630974" w:rsidRDefault="00630974">
            <w:pPr>
              <w:pStyle w:val="TableParagraph"/>
              <w:kinsoku w:val="0"/>
              <w:overflowPunct w:val="0"/>
              <w:spacing w:line="206" w:lineRule="exact"/>
              <w:ind w:left="109"/>
              <w:rPr>
                <w:rFonts w:eastAsia="Times New Roman"/>
                <w:spacing w:val="-2"/>
                <w:sz w:val="18"/>
                <w:szCs w:val="18"/>
              </w:rPr>
            </w:pPr>
            <w:r>
              <w:rPr>
                <w:sz w:val="18"/>
              </w:rPr>
              <w:t>Interna</w:t>
            </w:r>
          </w:p>
          <w:p w14:paraId="342BA6C4" w14:textId="77777777" w:rsidR="00630974" w:rsidRDefault="00630974">
            <w:pPr>
              <w:pStyle w:val="TableParagraph"/>
              <w:kinsoku w:val="0"/>
              <w:overflowPunct w:val="0"/>
              <w:spacing w:line="206" w:lineRule="exact"/>
              <w:ind w:left="109"/>
              <w:rPr>
                <w:rFonts w:eastAsia="Times New Roman"/>
                <w:spacing w:val="-2"/>
                <w:sz w:val="18"/>
                <w:szCs w:val="18"/>
              </w:rPr>
            </w:pPr>
            <w:r>
              <w:rPr>
                <w:sz w:val="18"/>
              </w:rPr>
              <w:t>Interna</w:t>
            </w:r>
          </w:p>
          <w:p w14:paraId="09A9749D" w14:textId="77777777" w:rsidR="00630974" w:rsidRDefault="00630974">
            <w:pPr>
              <w:pStyle w:val="TableParagraph"/>
              <w:kinsoku w:val="0"/>
              <w:overflowPunct w:val="0"/>
              <w:spacing w:line="206" w:lineRule="exact"/>
              <w:ind w:left="109"/>
              <w:rPr>
                <w:rFonts w:eastAsia="Times New Roman"/>
                <w:spacing w:val="-2"/>
                <w:sz w:val="18"/>
                <w:szCs w:val="18"/>
              </w:rPr>
            </w:pPr>
            <w:r>
              <w:rPr>
                <w:sz w:val="18"/>
              </w:rPr>
              <w:t>Interna</w:t>
            </w:r>
          </w:p>
        </w:tc>
      </w:tr>
      <w:tr w:rsidR="00633DFA" w:rsidRPr="001F545D" w14:paraId="50C47983"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152DF269" w14:textId="77777777" w:rsidR="00633DFA" w:rsidRDefault="00633DFA">
            <w:pPr>
              <w:pStyle w:val="TableParagraph"/>
              <w:kinsoku w:val="0"/>
              <w:overflowPunct w:val="0"/>
              <w:spacing w:line="206" w:lineRule="exact"/>
              <w:rPr>
                <w:rFonts w:eastAsia="Times New Roman"/>
                <w:spacing w:val="-2"/>
                <w:sz w:val="18"/>
                <w:szCs w:val="18"/>
              </w:rPr>
            </w:pPr>
            <w:r>
              <w:rPr>
                <w:sz w:val="18"/>
              </w:rPr>
              <w:t>MR6400</w:t>
            </w:r>
          </w:p>
        </w:tc>
        <w:tc>
          <w:tcPr>
            <w:tcW w:w="3521" w:type="dxa"/>
            <w:tcBorders>
              <w:top w:val="single" w:sz="4" w:space="0" w:color="000000"/>
              <w:left w:val="single" w:sz="4" w:space="0" w:color="000000"/>
              <w:bottom w:val="single" w:sz="4" w:space="0" w:color="000000"/>
              <w:right w:val="single" w:sz="4" w:space="0" w:color="000000"/>
            </w:tcBorders>
          </w:tcPr>
          <w:p w14:paraId="1EB964F0" w14:textId="77777777" w:rsidR="00633DFA" w:rsidRDefault="00633DFA" w:rsidP="00633DFA">
            <w:pPr>
              <w:pStyle w:val="BodyText"/>
            </w:pPr>
            <w:r>
              <w:t>2,4, 5, 6 GHz</w:t>
            </w:r>
          </w:p>
          <w:p w14:paraId="496206E8" w14:textId="77777777" w:rsidR="00633DFA" w:rsidRDefault="00633DFA" w:rsidP="00633DFA">
            <w:pPr>
              <w:pStyle w:val="BodyText"/>
            </w:pPr>
            <w:r>
              <w:t xml:space="preserve"> Bande LTE e 5GNR:</w:t>
            </w:r>
          </w:p>
          <w:p w14:paraId="50AFC334" w14:textId="77777777" w:rsidR="00633DFA" w:rsidRDefault="00633DFA" w:rsidP="00633DFA">
            <w:pPr>
              <w:pStyle w:val="BodyText"/>
            </w:pPr>
            <w:r>
              <w:t>B2, B4, B5, B7, B12, B13, B14, B25, B26, B41, B66, B71, n2, n5, n12, n14, n25, n41, n66, n71</w:t>
            </w:r>
          </w:p>
          <w:p w14:paraId="01E08254" w14:textId="77777777" w:rsidR="00633DFA" w:rsidRDefault="00633DFA" w:rsidP="00633DFA">
            <w:pPr>
              <w:pStyle w:val="BodyText"/>
            </w:pPr>
            <w:r>
              <w:t>B30, n30</w:t>
            </w:r>
          </w:p>
          <w:p w14:paraId="1CF47B3A" w14:textId="77777777" w:rsidR="00633DFA" w:rsidRDefault="00633DFA" w:rsidP="00633DFA">
            <w:pPr>
              <w:pStyle w:val="BodyText"/>
            </w:pPr>
            <w:r>
              <w:t>B48, n48</w:t>
            </w:r>
          </w:p>
          <w:p w14:paraId="6A282814" w14:textId="77777777" w:rsidR="00633DFA" w:rsidRDefault="00633DFA" w:rsidP="00633DFA">
            <w:pPr>
              <w:pStyle w:val="BodyText"/>
            </w:pPr>
            <w:r>
              <w:t>B42</w:t>
            </w:r>
          </w:p>
          <w:p w14:paraId="2196671A" w14:textId="77777777" w:rsidR="00DA1546" w:rsidRDefault="00DA1546" w:rsidP="00633DFA">
            <w:pPr>
              <w:pStyle w:val="BodyText"/>
            </w:pPr>
            <w:r>
              <w:t>n77</w:t>
            </w:r>
          </w:p>
        </w:tc>
        <w:tc>
          <w:tcPr>
            <w:tcW w:w="1079" w:type="dxa"/>
            <w:tcBorders>
              <w:top w:val="single" w:sz="4" w:space="0" w:color="000000"/>
              <w:left w:val="single" w:sz="4" w:space="0" w:color="000000"/>
              <w:bottom w:val="single" w:sz="4" w:space="0" w:color="000000"/>
              <w:right w:val="single" w:sz="4" w:space="0" w:color="000000"/>
            </w:tcBorders>
          </w:tcPr>
          <w:p w14:paraId="21FE1023" w14:textId="77777777" w:rsidR="00633DFA" w:rsidRDefault="00633DFA">
            <w:pPr>
              <w:pStyle w:val="TableParagraph"/>
              <w:kinsoku w:val="0"/>
              <w:overflowPunct w:val="0"/>
              <w:spacing w:line="206" w:lineRule="exact"/>
              <w:ind w:left="108"/>
              <w:rPr>
                <w:rFonts w:eastAsia="Times New Roman"/>
                <w:spacing w:val="-2"/>
                <w:sz w:val="18"/>
                <w:szCs w:val="18"/>
              </w:rPr>
            </w:pPr>
            <w:r>
              <w:rPr>
                <w:sz w:val="18"/>
              </w:rPr>
              <w:t>Interna</w:t>
            </w:r>
          </w:p>
          <w:p w14:paraId="2ABDD154" w14:textId="77777777" w:rsidR="00633DFA" w:rsidRDefault="00633DFA">
            <w:pPr>
              <w:pStyle w:val="TableParagraph"/>
              <w:kinsoku w:val="0"/>
              <w:overflowPunct w:val="0"/>
              <w:spacing w:line="206" w:lineRule="exact"/>
              <w:ind w:left="108"/>
              <w:rPr>
                <w:rFonts w:eastAsia="Times New Roman"/>
                <w:spacing w:val="-2"/>
                <w:sz w:val="18"/>
                <w:szCs w:val="18"/>
              </w:rPr>
            </w:pPr>
          </w:p>
          <w:p w14:paraId="4F144959" w14:textId="77777777" w:rsidR="00633DFA" w:rsidRDefault="00633DFA">
            <w:pPr>
              <w:pStyle w:val="TableParagraph"/>
              <w:kinsoku w:val="0"/>
              <w:overflowPunct w:val="0"/>
              <w:spacing w:line="206" w:lineRule="exact"/>
              <w:ind w:left="108"/>
              <w:rPr>
                <w:rFonts w:eastAsia="Times New Roman"/>
                <w:spacing w:val="-2"/>
                <w:sz w:val="18"/>
                <w:szCs w:val="18"/>
              </w:rPr>
            </w:pPr>
          </w:p>
          <w:p w14:paraId="584EC042" w14:textId="77777777" w:rsidR="00633DFA" w:rsidRDefault="00633DFA">
            <w:pPr>
              <w:pStyle w:val="TableParagraph"/>
              <w:kinsoku w:val="0"/>
              <w:overflowPunct w:val="0"/>
              <w:spacing w:line="206" w:lineRule="exact"/>
              <w:ind w:left="108"/>
              <w:rPr>
                <w:rFonts w:eastAsia="Times New Roman"/>
                <w:spacing w:val="-2"/>
                <w:sz w:val="18"/>
                <w:szCs w:val="18"/>
              </w:rPr>
            </w:pPr>
          </w:p>
          <w:p w14:paraId="60329784" w14:textId="77777777" w:rsidR="00633DFA" w:rsidRDefault="00633DFA">
            <w:pPr>
              <w:pStyle w:val="TableParagraph"/>
              <w:kinsoku w:val="0"/>
              <w:overflowPunct w:val="0"/>
              <w:spacing w:line="206" w:lineRule="exact"/>
              <w:ind w:left="108"/>
              <w:rPr>
                <w:rFonts w:eastAsia="Times New Roman"/>
                <w:spacing w:val="-2"/>
                <w:sz w:val="18"/>
                <w:szCs w:val="18"/>
              </w:rPr>
            </w:pPr>
            <w:r>
              <w:rPr>
                <w:sz w:val="18"/>
              </w:rPr>
              <w:t>4,0</w:t>
            </w:r>
          </w:p>
          <w:p w14:paraId="0FEB803E" w14:textId="77777777" w:rsidR="00633DFA" w:rsidRDefault="00633DFA">
            <w:pPr>
              <w:pStyle w:val="TableParagraph"/>
              <w:kinsoku w:val="0"/>
              <w:overflowPunct w:val="0"/>
              <w:spacing w:line="206" w:lineRule="exact"/>
              <w:ind w:left="108"/>
              <w:rPr>
                <w:rFonts w:eastAsia="Times New Roman"/>
                <w:spacing w:val="-2"/>
                <w:sz w:val="18"/>
                <w:szCs w:val="18"/>
              </w:rPr>
            </w:pPr>
            <w:r>
              <w:rPr>
                <w:sz w:val="18"/>
              </w:rPr>
              <w:t>1,05</w:t>
            </w:r>
          </w:p>
          <w:p w14:paraId="58A38378" w14:textId="77777777" w:rsidR="00633DFA" w:rsidRDefault="00633DFA">
            <w:pPr>
              <w:pStyle w:val="TableParagraph"/>
              <w:kinsoku w:val="0"/>
              <w:overflowPunct w:val="0"/>
              <w:spacing w:line="206" w:lineRule="exact"/>
              <w:ind w:left="108"/>
              <w:rPr>
                <w:rFonts w:eastAsia="Times New Roman"/>
                <w:spacing w:val="-2"/>
                <w:sz w:val="18"/>
                <w:szCs w:val="18"/>
              </w:rPr>
            </w:pPr>
            <w:r>
              <w:rPr>
                <w:sz w:val="18"/>
              </w:rPr>
              <w:t>0,17</w:t>
            </w:r>
          </w:p>
          <w:p w14:paraId="13F76E3C" w14:textId="77777777" w:rsidR="00633DFA" w:rsidRDefault="00633DFA">
            <w:pPr>
              <w:pStyle w:val="TableParagraph"/>
              <w:kinsoku w:val="0"/>
              <w:overflowPunct w:val="0"/>
              <w:spacing w:line="206" w:lineRule="exact"/>
              <w:ind w:left="108"/>
              <w:rPr>
                <w:rFonts w:eastAsia="Times New Roman"/>
                <w:spacing w:val="-2"/>
                <w:sz w:val="18"/>
                <w:szCs w:val="18"/>
              </w:rPr>
            </w:pPr>
            <w:r>
              <w:rPr>
                <w:sz w:val="18"/>
              </w:rPr>
              <w:t>-0,23</w:t>
            </w:r>
          </w:p>
          <w:p w14:paraId="164CACE5" w14:textId="77777777" w:rsidR="00DA1546" w:rsidRDefault="00DA1546">
            <w:pPr>
              <w:pStyle w:val="TableParagraph"/>
              <w:kinsoku w:val="0"/>
              <w:overflowPunct w:val="0"/>
              <w:spacing w:line="206" w:lineRule="exact"/>
              <w:ind w:left="108"/>
              <w:rPr>
                <w:rFonts w:eastAsia="Times New Roman"/>
                <w:spacing w:val="-2"/>
                <w:sz w:val="18"/>
                <w:szCs w:val="18"/>
              </w:rPr>
            </w:pPr>
            <w:r>
              <w:rPr>
                <w:sz w:val="18"/>
              </w:rPr>
              <w:t>6</w:t>
            </w:r>
          </w:p>
        </w:tc>
        <w:tc>
          <w:tcPr>
            <w:tcW w:w="3240" w:type="dxa"/>
            <w:tcBorders>
              <w:top w:val="single" w:sz="4" w:space="0" w:color="000000"/>
              <w:left w:val="single" w:sz="4" w:space="0" w:color="000000"/>
              <w:bottom w:val="single" w:sz="4" w:space="0" w:color="000000"/>
              <w:right w:val="single" w:sz="4" w:space="0" w:color="000000"/>
            </w:tcBorders>
          </w:tcPr>
          <w:p w14:paraId="16919068" w14:textId="77777777" w:rsidR="00633DFA" w:rsidRDefault="00633DFA">
            <w:pPr>
              <w:pStyle w:val="TableParagraph"/>
              <w:kinsoku w:val="0"/>
              <w:overflowPunct w:val="0"/>
              <w:spacing w:line="206" w:lineRule="exact"/>
              <w:ind w:left="109"/>
              <w:rPr>
                <w:rFonts w:eastAsia="Times New Roman"/>
                <w:spacing w:val="-2"/>
                <w:sz w:val="18"/>
                <w:szCs w:val="18"/>
              </w:rPr>
            </w:pPr>
            <w:r>
              <w:rPr>
                <w:sz w:val="18"/>
              </w:rPr>
              <w:t>Interna</w:t>
            </w:r>
          </w:p>
          <w:p w14:paraId="695D96A2" w14:textId="77777777" w:rsidR="00633DFA" w:rsidRDefault="00633DFA">
            <w:pPr>
              <w:pStyle w:val="TableParagraph"/>
              <w:kinsoku w:val="0"/>
              <w:overflowPunct w:val="0"/>
              <w:spacing w:line="206" w:lineRule="exact"/>
              <w:ind w:left="109"/>
              <w:rPr>
                <w:rFonts w:eastAsia="Times New Roman"/>
                <w:spacing w:val="-2"/>
                <w:sz w:val="18"/>
                <w:szCs w:val="18"/>
              </w:rPr>
            </w:pPr>
          </w:p>
          <w:p w14:paraId="4668AF2D" w14:textId="77777777" w:rsidR="00633DFA" w:rsidRDefault="00633DFA">
            <w:pPr>
              <w:pStyle w:val="TableParagraph"/>
              <w:kinsoku w:val="0"/>
              <w:overflowPunct w:val="0"/>
              <w:spacing w:line="206" w:lineRule="exact"/>
              <w:ind w:left="109"/>
              <w:rPr>
                <w:rFonts w:eastAsia="Times New Roman"/>
                <w:spacing w:val="-2"/>
                <w:sz w:val="18"/>
                <w:szCs w:val="18"/>
              </w:rPr>
            </w:pPr>
          </w:p>
          <w:p w14:paraId="39152186" w14:textId="77777777" w:rsidR="00633DFA" w:rsidRDefault="00633DFA">
            <w:pPr>
              <w:pStyle w:val="TableParagraph"/>
              <w:kinsoku w:val="0"/>
              <w:overflowPunct w:val="0"/>
              <w:spacing w:line="206" w:lineRule="exact"/>
              <w:ind w:left="109"/>
              <w:rPr>
                <w:rFonts w:eastAsia="Times New Roman"/>
                <w:spacing w:val="-2"/>
                <w:sz w:val="18"/>
                <w:szCs w:val="18"/>
              </w:rPr>
            </w:pPr>
          </w:p>
          <w:p w14:paraId="7AB3D2CA" w14:textId="77777777" w:rsidR="00633DFA" w:rsidRDefault="00633DFA">
            <w:pPr>
              <w:pStyle w:val="TableParagraph"/>
              <w:kinsoku w:val="0"/>
              <w:overflowPunct w:val="0"/>
              <w:spacing w:line="206" w:lineRule="exact"/>
              <w:ind w:left="109"/>
              <w:rPr>
                <w:rFonts w:eastAsia="Times New Roman"/>
                <w:spacing w:val="-2"/>
                <w:sz w:val="18"/>
                <w:szCs w:val="18"/>
              </w:rPr>
            </w:pPr>
            <w:r>
              <w:rPr>
                <w:sz w:val="18"/>
              </w:rPr>
              <w:t>Interna</w:t>
            </w:r>
          </w:p>
          <w:p w14:paraId="5FAA89AA" w14:textId="77777777" w:rsidR="00633DFA" w:rsidRDefault="00633DFA">
            <w:pPr>
              <w:pStyle w:val="TableParagraph"/>
              <w:kinsoku w:val="0"/>
              <w:overflowPunct w:val="0"/>
              <w:spacing w:line="206" w:lineRule="exact"/>
              <w:ind w:left="109"/>
              <w:rPr>
                <w:rFonts w:eastAsia="Times New Roman"/>
                <w:spacing w:val="-2"/>
                <w:sz w:val="18"/>
                <w:szCs w:val="18"/>
              </w:rPr>
            </w:pPr>
            <w:r>
              <w:rPr>
                <w:sz w:val="18"/>
              </w:rPr>
              <w:t>Interna</w:t>
            </w:r>
          </w:p>
          <w:p w14:paraId="2C702962" w14:textId="77777777" w:rsidR="00633DFA" w:rsidRDefault="00633DFA">
            <w:pPr>
              <w:pStyle w:val="TableParagraph"/>
              <w:kinsoku w:val="0"/>
              <w:overflowPunct w:val="0"/>
              <w:spacing w:line="206" w:lineRule="exact"/>
              <w:ind w:left="109"/>
              <w:rPr>
                <w:rFonts w:eastAsia="Times New Roman"/>
                <w:spacing w:val="-2"/>
                <w:sz w:val="18"/>
                <w:szCs w:val="18"/>
              </w:rPr>
            </w:pPr>
            <w:r>
              <w:rPr>
                <w:sz w:val="18"/>
              </w:rPr>
              <w:t>Interna</w:t>
            </w:r>
          </w:p>
          <w:p w14:paraId="65F05A48" w14:textId="77777777" w:rsidR="00633DFA" w:rsidRDefault="00633DFA">
            <w:pPr>
              <w:pStyle w:val="TableParagraph"/>
              <w:kinsoku w:val="0"/>
              <w:overflowPunct w:val="0"/>
              <w:spacing w:line="206" w:lineRule="exact"/>
              <w:ind w:left="109"/>
              <w:rPr>
                <w:rFonts w:eastAsia="Times New Roman"/>
                <w:spacing w:val="-2"/>
                <w:sz w:val="18"/>
                <w:szCs w:val="18"/>
              </w:rPr>
            </w:pPr>
            <w:r>
              <w:rPr>
                <w:sz w:val="18"/>
              </w:rPr>
              <w:t>Interna</w:t>
            </w:r>
          </w:p>
        </w:tc>
      </w:tr>
    </w:tbl>
    <w:p w14:paraId="1C766C03" w14:textId="77777777" w:rsidR="00DF3509" w:rsidRDefault="00DF3509">
      <w:pPr>
        <w:rPr>
          <w:rFonts w:ascii="Cambria" w:hAnsi="Cambria" w:cs="Cambria"/>
          <w:i/>
          <w:iCs/>
          <w:color w:val="365F91"/>
          <w:spacing w:val="-4"/>
          <w:sz w:val="18"/>
          <w:szCs w:val="18"/>
        </w:rPr>
        <w:sectPr w:rsidR="00DF3509">
          <w:pgSz w:w="12240" w:h="15840"/>
          <w:pgMar w:top="1360" w:right="680" w:bottom="1140" w:left="600" w:header="0" w:footer="950" w:gutter="0"/>
          <w:cols w:space="720"/>
          <w:noEndnote/>
        </w:sectPr>
      </w:pPr>
    </w:p>
    <w:p w14:paraId="061A6544" w14:textId="77777777" w:rsidR="00DF3509" w:rsidRDefault="00DF3509">
      <w:pPr>
        <w:pStyle w:val="Heading1"/>
        <w:kinsoku w:val="0"/>
        <w:overflowPunct w:val="0"/>
        <w:spacing w:before="79"/>
        <w:rPr>
          <w:spacing w:val="-5"/>
        </w:rPr>
      </w:pPr>
      <w:bookmarkStart w:id="19" w:name="_bookmark9"/>
      <w:bookmarkStart w:id="20" w:name="_Toc147398203"/>
      <w:bookmarkEnd w:id="19"/>
      <w:r>
        <w:lastRenderedPageBreak/>
        <w:t>Requisiti normativi per il funzionamento in Europa (GB, UK e UE)</w:t>
      </w:r>
      <w:bookmarkEnd w:id="20"/>
    </w:p>
    <w:p w14:paraId="3DABA1B1" w14:textId="77777777" w:rsidR="00DF3509" w:rsidRDefault="00DF3509">
      <w:pPr>
        <w:pStyle w:val="BodyText"/>
        <w:kinsoku w:val="0"/>
        <w:overflowPunct w:val="0"/>
        <w:spacing w:before="110"/>
        <w:ind w:left="840"/>
        <w:rPr>
          <w:spacing w:val="-2"/>
        </w:rPr>
      </w:pPr>
      <w:r>
        <w:t>Questa sezione si applica ai prodotti recanti il marchio CE e/o UKCA:</w:t>
      </w:r>
    </w:p>
    <w:p w14:paraId="7C66E1C8" w14:textId="1B2F235A" w:rsidR="00DF3509" w:rsidRDefault="0052779B">
      <w:pPr>
        <w:pStyle w:val="BodyText"/>
        <w:kinsoku w:val="0"/>
        <w:overflowPunct w:val="0"/>
        <w:spacing w:before="3"/>
        <w:rPr>
          <w:sz w:val="15"/>
          <w:szCs w:val="15"/>
        </w:rPr>
      </w:pPr>
      <w:r>
        <w:rPr>
          <w:noProof/>
        </w:rPr>
        <mc:AlternateContent>
          <mc:Choice Requires="wps">
            <w:drawing>
              <wp:anchor distT="0" distB="0" distL="0" distR="0" simplePos="0" relativeHeight="251649024" behindDoc="0" locked="0" layoutInCell="0" allowOverlap="1" wp14:anchorId="2255B7FF" wp14:editId="4166AE07">
                <wp:simplePos x="0" y="0"/>
                <wp:positionH relativeFrom="page">
                  <wp:posOffset>914400</wp:posOffset>
                </wp:positionH>
                <wp:positionV relativeFrom="paragraph">
                  <wp:posOffset>135255</wp:posOffset>
                </wp:positionV>
                <wp:extent cx="330200" cy="215900"/>
                <wp:effectExtent l="0" t="0" r="0" b="0"/>
                <wp:wrapTopAndBottom/>
                <wp:docPr id="190769328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5EF33" w14:textId="66FB0D0E" w:rsidR="00BE289B" w:rsidRDefault="0052779B">
                            <w:pPr>
                              <w:widowControl/>
                              <w:autoSpaceDE/>
                              <w:autoSpaceDN/>
                              <w:adjustRightInd/>
                              <w:spacing w:line="340" w:lineRule="atLeast"/>
                              <w:rPr>
                                <w:rFonts w:ascii="Times New Roman" w:hAnsi="Times New Roman" w:cs="Times New Roman"/>
                                <w:sz w:val="24"/>
                                <w:szCs w:val="24"/>
                              </w:rPr>
                            </w:pPr>
                            <w:r>
                              <w:rPr>
                                <w:rFonts w:ascii="Times New Roman" w:hAnsi="Times New Roman"/>
                                <w:noProof/>
                                <w:sz w:val="24"/>
                              </w:rPr>
                              <w:drawing>
                                <wp:inline distT="0" distB="0" distL="0" distR="0" wp14:anchorId="5EF906F6" wp14:editId="5242C7E2">
                                  <wp:extent cx="327660" cy="215900"/>
                                  <wp:effectExtent l="0" t="0" r="0" b="0"/>
                                  <wp:docPr id="1893152264" name="Picture 189315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 cy="215900"/>
                                          </a:xfrm>
                                          <a:prstGeom prst="rect">
                                            <a:avLst/>
                                          </a:prstGeom>
                                          <a:noFill/>
                                          <a:ln>
                                            <a:noFill/>
                                          </a:ln>
                                        </pic:spPr>
                                      </pic:pic>
                                    </a:graphicData>
                                  </a:graphic>
                                </wp:inline>
                              </w:drawing>
                            </w:r>
                          </w:p>
                          <w:p w14:paraId="04966D65"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5B7FF" id="Rectangle 5" o:spid="_x0000_s1026" style="position:absolute;margin-left:1in;margin-top:10.65pt;width:26pt;height:1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" o:allowincell="f" filled="f" stroked="f">
                <v:textbox inset="0,0,0,0">
                  <w:txbxContent>
                    <w:p w14:paraId="7F65EF33" w14:textId="66FB0D0E" w:rsidR="00BE289B" w:rsidRDefault="0052779B">
                      <w:pPr>
                        <w:widowControl/>
                        <w:autoSpaceDE/>
                        <w:autoSpaceDN/>
                        <w:adjustRightInd/>
                        <w:spacing w:line="340" w:lineRule="atLeast"/>
                        <w:rPr>
                          <w:rFonts w:ascii="Times New Roman" w:hAnsi="Times New Roman" w:cs="Times New Roman"/>
                          <w:sz w:val="24"/>
                          <w:szCs w:val="24"/>
                        </w:rPr>
                      </w:pPr>
                      <w:r>
                        <w:rPr>
                          <w:rFonts w:ascii="Times New Roman" w:hAnsi="Times New Roman"/>
                          <w:noProof/>
                          <w:sz w:val="24"/>
                        </w:rPr>
                        <w:drawing>
                          <wp:inline distT="0" distB="0" distL="0" distR="0" wp14:anchorId="5EF906F6" wp14:editId="5242C7E2">
                            <wp:extent cx="327660" cy="215900"/>
                            <wp:effectExtent l="0" t="0" r="0" b="0"/>
                            <wp:docPr id="1893152264" name="Picture 189315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 cy="215900"/>
                                    </a:xfrm>
                                    <a:prstGeom prst="rect">
                                      <a:avLst/>
                                    </a:prstGeom>
                                    <a:noFill/>
                                    <a:ln>
                                      <a:noFill/>
                                    </a:ln>
                                  </pic:spPr>
                                </pic:pic>
                              </a:graphicData>
                            </a:graphic>
                          </wp:inline>
                        </w:drawing>
                      </w:r>
                    </w:p>
                    <w:p w14:paraId="04966D65" w14:textId="77777777" w:rsidR="00BE289B" w:rsidRDefault="00BE289B">
                      <w:pPr>
                        <w:rPr>
                          <w:rFonts w:ascii="Times New Roman" w:hAnsi="Times New Roman" w:cs="Times New Roman"/>
                          <w:sz w:val="24"/>
                          <w:szCs w:val="24"/>
                        </w:rPr>
                      </w:pPr>
                    </w:p>
                  </w:txbxContent>
                </v:textbox>
                <w10:wrap type="topAndBottom" anchorx="page"/>
              </v:rect>
            </w:pict>
          </mc:Fallback>
        </mc:AlternateContent>
      </w:r>
      <w:r>
        <w:rPr>
          <w:noProof/>
        </w:rPr>
        <mc:AlternateContent>
          <mc:Choice Requires="wps">
            <w:drawing>
              <wp:anchor distT="0" distB="0" distL="0" distR="0" simplePos="0" relativeHeight="251650048" behindDoc="0" locked="0" layoutInCell="0" allowOverlap="1" wp14:anchorId="4D8069D5" wp14:editId="4C0B57DD">
                <wp:simplePos x="0" y="0"/>
                <wp:positionH relativeFrom="page">
                  <wp:posOffset>1555750</wp:posOffset>
                </wp:positionH>
                <wp:positionV relativeFrom="paragraph">
                  <wp:posOffset>127000</wp:posOffset>
                </wp:positionV>
                <wp:extent cx="241300" cy="241300"/>
                <wp:effectExtent l="0" t="0" r="0" b="0"/>
                <wp:wrapTopAndBottom/>
                <wp:docPr id="19460784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068A9" w14:textId="3E2C23BE" w:rsidR="00BE289B" w:rsidRDefault="0052779B">
                            <w:pPr>
                              <w:widowControl/>
                              <w:autoSpaceDE/>
                              <w:autoSpaceDN/>
                              <w:adjustRightInd/>
                              <w:spacing w:line="380" w:lineRule="atLeast"/>
                              <w:rPr>
                                <w:rFonts w:ascii="Times New Roman" w:hAnsi="Times New Roman" w:cs="Times New Roman"/>
                                <w:sz w:val="24"/>
                                <w:szCs w:val="24"/>
                              </w:rPr>
                            </w:pPr>
                            <w:r>
                              <w:rPr>
                                <w:rFonts w:ascii="Times New Roman" w:hAnsi="Times New Roman"/>
                                <w:noProof/>
                                <w:sz w:val="24"/>
                              </w:rPr>
                              <w:drawing>
                                <wp:inline distT="0" distB="0" distL="0" distR="0" wp14:anchorId="128CFD1D" wp14:editId="195071D8">
                                  <wp:extent cx="241300" cy="241300"/>
                                  <wp:effectExtent l="0" t="0" r="0" b="0"/>
                                  <wp:docPr id="653157553" name="Picture 653157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14:paraId="14EBD82A"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069D5" id="Rectangle 6" o:spid="_x0000_s1027" style="position:absolute;margin-left:122.5pt;margin-top:10pt;width:19pt;height:1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" o:allowincell="f" filled="f" stroked="f">
                <v:textbox inset="0,0,0,0">
                  <w:txbxContent>
                    <w:p w14:paraId="0FF068A9" w14:textId="3E2C23BE" w:rsidR="00BE289B" w:rsidRDefault="0052779B">
                      <w:pPr>
                        <w:widowControl/>
                        <w:autoSpaceDE/>
                        <w:autoSpaceDN/>
                        <w:adjustRightInd/>
                        <w:spacing w:line="380" w:lineRule="atLeast"/>
                        <w:rPr>
                          <w:rFonts w:ascii="Times New Roman" w:hAnsi="Times New Roman" w:cs="Times New Roman"/>
                          <w:sz w:val="24"/>
                          <w:szCs w:val="24"/>
                        </w:rPr>
                      </w:pPr>
                      <w:r>
                        <w:rPr>
                          <w:rFonts w:ascii="Times New Roman" w:hAnsi="Times New Roman"/>
                          <w:noProof/>
                          <w:sz w:val="24"/>
                        </w:rPr>
                        <w:drawing>
                          <wp:inline distT="0" distB="0" distL="0" distR="0" wp14:anchorId="128CFD1D" wp14:editId="195071D8">
                            <wp:extent cx="241300" cy="241300"/>
                            <wp:effectExtent l="0" t="0" r="0" b="0"/>
                            <wp:docPr id="653157553" name="Picture 653157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14:paraId="14EBD82A" w14:textId="77777777" w:rsidR="00BE289B" w:rsidRDefault="00BE289B">
                      <w:pPr>
                        <w:rPr>
                          <w:rFonts w:ascii="Times New Roman" w:hAnsi="Times New Roman" w:cs="Times New Roman"/>
                          <w:sz w:val="24"/>
                          <w:szCs w:val="24"/>
                        </w:rPr>
                      </w:pPr>
                    </w:p>
                  </w:txbxContent>
                </v:textbox>
                <w10:wrap type="topAndBottom" anchorx="page"/>
              </v:rect>
            </w:pict>
          </mc:Fallback>
        </mc:AlternateContent>
      </w:r>
    </w:p>
    <w:p w14:paraId="11F0B7BC" w14:textId="77777777" w:rsidR="00DF3509" w:rsidRDefault="00DF3509">
      <w:pPr>
        <w:pStyle w:val="BodyText"/>
        <w:kinsoku w:val="0"/>
        <w:overflowPunct w:val="0"/>
        <w:spacing w:before="5"/>
        <w:rPr>
          <w:sz w:val="17"/>
          <w:szCs w:val="17"/>
        </w:rPr>
      </w:pPr>
    </w:p>
    <w:p w14:paraId="5AC5675C" w14:textId="77777777" w:rsidR="00E159DB" w:rsidRDefault="00DF3509" w:rsidP="00E159DB">
      <w:pPr>
        <w:pStyle w:val="BodyText"/>
        <w:kinsoku w:val="0"/>
        <w:overflowPunct w:val="0"/>
        <w:spacing w:before="120" w:after="120"/>
        <w:ind w:left="839"/>
        <w:rPr>
          <w:spacing w:val="-2"/>
        </w:rPr>
      </w:pPr>
      <w:r>
        <w:t>I prodotti con marchio CE sono conformi alle seguenti direttive UE:</w:t>
      </w:r>
    </w:p>
    <w:p w14:paraId="621B19DF" w14:textId="77777777" w:rsidR="000D166D" w:rsidRPr="000D166D" w:rsidRDefault="000D166D" w:rsidP="003608D0">
      <w:pPr>
        <w:pStyle w:val="BodyText"/>
        <w:numPr>
          <w:ilvl w:val="0"/>
          <w:numId w:val="12"/>
        </w:numPr>
        <w:kinsoku w:val="0"/>
        <w:overflowPunct w:val="0"/>
        <w:rPr>
          <w:spacing w:val="-2"/>
        </w:rPr>
      </w:pPr>
      <w:r>
        <w:t>Direttiva sulla progettazione ecocompatibile 2009/125/CE</w:t>
      </w:r>
    </w:p>
    <w:p w14:paraId="44BC7DF7" w14:textId="77777777" w:rsidR="000D166D" w:rsidRPr="000D166D" w:rsidRDefault="000D166D" w:rsidP="003608D0">
      <w:pPr>
        <w:pStyle w:val="BodyText"/>
        <w:numPr>
          <w:ilvl w:val="0"/>
          <w:numId w:val="12"/>
        </w:numPr>
        <w:kinsoku w:val="0"/>
        <w:overflowPunct w:val="0"/>
        <w:rPr>
          <w:spacing w:val="-2"/>
        </w:rPr>
      </w:pPr>
      <w:r>
        <w:t>Direttiva RoHS 2011/65/UE e Direttiva RoHS di modifica 2015/863</w:t>
      </w:r>
    </w:p>
    <w:p w14:paraId="0E395389" w14:textId="77777777" w:rsidR="000D166D" w:rsidRPr="000D166D" w:rsidRDefault="000D166D" w:rsidP="003608D0">
      <w:pPr>
        <w:pStyle w:val="BodyText"/>
        <w:numPr>
          <w:ilvl w:val="0"/>
          <w:numId w:val="12"/>
        </w:numPr>
        <w:kinsoku w:val="0"/>
        <w:overflowPunct w:val="0"/>
        <w:rPr>
          <w:spacing w:val="-2"/>
        </w:rPr>
      </w:pPr>
      <w:r>
        <w:t>Regolamento (CE) sulle sostanze chimiche (REACH) N. 1907/2006</w:t>
      </w:r>
    </w:p>
    <w:p w14:paraId="48466A56" w14:textId="77777777" w:rsidR="000D166D" w:rsidRDefault="000D166D" w:rsidP="003608D0">
      <w:pPr>
        <w:pStyle w:val="BodyText"/>
        <w:numPr>
          <w:ilvl w:val="0"/>
          <w:numId w:val="12"/>
        </w:numPr>
        <w:kinsoku w:val="0"/>
        <w:overflowPunct w:val="0"/>
        <w:rPr>
          <w:spacing w:val="-2"/>
        </w:rPr>
      </w:pPr>
      <w:r>
        <w:t>Direttiva sugli imballaggi e i rifiuti di imballaggio 94/62/CE e Direttiva di modifica 2005/20/CE</w:t>
      </w:r>
    </w:p>
    <w:p w14:paraId="506A4E97" w14:textId="77777777" w:rsidR="00DF3509" w:rsidRPr="00D67FE6" w:rsidRDefault="00E159DB" w:rsidP="003608D0">
      <w:pPr>
        <w:pStyle w:val="BodyText"/>
        <w:spacing w:before="120" w:after="120"/>
        <w:ind w:left="720"/>
      </w:pPr>
      <w:r>
        <w:t xml:space="preserve">   Per apparecchiature diverse dalle radio:</w:t>
      </w:r>
    </w:p>
    <w:p w14:paraId="1955DF88" w14:textId="77777777" w:rsidR="00DF3509" w:rsidRPr="00D67FE6" w:rsidRDefault="00DF3509" w:rsidP="003608D0">
      <w:pPr>
        <w:pStyle w:val="BodyText"/>
        <w:numPr>
          <w:ilvl w:val="0"/>
          <w:numId w:val="7"/>
        </w:numPr>
      </w:pPr>
      <w:r>
        <w:t>Direttiva EMC 2014/30/UE</w:t>
      </w:r>
    </w:p>
    <w:p w14:paraId="0E6D34BC" w14:textId="77777777" w:rsidR="00DF3509" w:rsidRPr="00D67FE6" w:rsidRDefault="00DF3509" w:rsidP="003608D0">
      <w:pPr>
        <w:pStyle w:val="BodyText"/>
        <w:numPr>
          <w:ilvl w:val="0"/>
          <w:numId w:val="7"/>
        </w:numPr>
      </w:pPr>
      <w:r>
        <w:t>Direttiva bassa tensione 2014/35/UE</w:t>
      </w:r>
    </w:p>
    <w:p w14:paraId="0E8CB8FC" w14:textId="77777777" w:rsidR="00DF3509" w:rsidRPr="00D67FE6" w:rsidRDefault="00E159DB" w:rsidP="003608D0">
      <w:pPr>
        <w:pStyle w:val="BodyText"/>
        <w:spacing w:before="120" w:after="120"/>
        <w:ind w:left="482" w:firstLine="238"/>
      </w:pPr>
      <w:r>
        <w:t xml:space="preserve">   Per apparecchiature radio:</w:t>
      </w:r>
    </w:p>
    <w:p w14:paraId="47A16739" w14:textId="77777777" w:rsidR="00DF3509" w:rsidRPr="00D67FE6" w:rsidRDefault="00DF3509" w:rsidP="003608D0">
      <w:pPr>
        <w:pStyle w:val="BodyText"/>
        <w:numPr>
          <w:ilvl w:val="0"/>
          <w:numId w:val="7"/>
        </w:numPr>
      </w:pPr>
      <w:r>
        <w:t>Direttiva 2014/53/UE per le apparecchiature radio (RED)</w:t>
      </w:r>
    </w:p>
    <w:p w14:paraId="1601E115" w14:textId="77777777" w:rsidR="00DF3509" w:rsidRPr="003608D0" w:rsidRDefault="00DF3509" w:rsidP="003608D0">
      <w:pPr>
        <w:pStyle w:val="BodyText"/>
        <w:rPr>
          <w:highlight w:val="yellow"/>
        </w:rPr>
      </w:pPr>
    </w:p>
    <w:p w14:paraId="6124A144" w14:textId="4AA0DBB0" w:rsidR="00DF3509" w:rsidRDefault="00DF3509">
      <w:pPr>
        <w:pStyle w:val="BodyText"/>
        <w:kinsoku w:val="0"/>
        <w:overflowPunct w:val="0"/>
        <w:spacing w:line="276" w:lineRule="auto"/>
        <w:ind w:left="840" w:right="873"/>
        <w:rPr>
          <w:color w:val="000000"/>
          <w:spacing w:val="-2"/>
        </w:rPr>
      </w:pPr>
      <w:r>
        <w:t xml:space="preserve">L'ottemperanza a queste direttive implica la conformità alle norme europee armonizzate, come indicato nella Dichiarazione di conformità dell'UE. La Dichiarazione di conformità CE dell'UE è disponibile all'indirizzo </w:t>
      </w:r>
      <w:hyperlink r:id="rId16" w:history="1">
        <w:r>
          <w:rPr>
            <w:color w:val="0000FF"/>
            <w:u w:val="single"/>
          </w:rPr>
          <w:t>http://support.netgear.com/app/answers/detail/a_id/11621/</w:t>
        </w:r>
        <w:r>
          <w:rPr>
            <w:color w:val="000000"/>
          </w:rPr>
          <w:t>.</w:t>
        </w:r>
      </w:hyperlink>
    </w:p>
    <w:p w14:paraId="554BA836" w14:textId="77777777" w:rsidR="00DF3509" w:rsidRDefault="00DF3509">
      <w:pPr>
        <w:pStyle w:val="BodyText"/>
        <w:kinsoku w:val="0"/>
        <w:overflowPunct w:val="0"/>
        <w:spacing w:before="3"/>
        <w:rPr>
          <w:sz w:val="9"/>
          <w:szCs w:val="9"/>
        </w:rPr>
      </w:pPr>
    </w:p>
    <w:p w14:paraId="5280F8C8" w14:textId="77777777" w:rsidR="00DF3509" w:rsidRDefault="00DF3509">
      <w:pPr>
        <w:pStyle w:val="BodyText"/>
        <w:kinsoku w:val="0"/>
        <w:overflowPunct w:val="0"/>
        <w:spacing w:before="94"/>
        <w:ind w:left="840" w:right="779"/>
      </w:pPr>
      <w:r>
        <w:t>I prodotti con marchio UKCA sono conformi agli atti legislativi del Regno Unito e agli standard designati appropriati indicati nella Dichiarazione di conformità UKCA. La Dichiarazione di conformità UKCA è disponibile all'indirizzo:</w:t>
      </w:r>
    </w:p>
    <w:p w14:paraId="38D4F057" w14:textId="08939AB6" w:rsidR="00DF3509" w:rsidRDefault="00000000">
      <w:pPr>
        <w:pStyle w:val="BodyText"/>
        <w:kinsoku w:val="0"/>
        <w:overflowPunct w:val="0"/>
        <w:ind w:left="840"/>
        <w:rPr>
          <w:color w:val="0462C1"/>
          <w:spacing w:val="-2"/>
        </w:rPr>
      </w:pPr>
      <w:hyperlink r:id="rId17" w:history="1">
        <w:r w:rsidR="00DF3509">
          <w:rPr>
            <w:color w:val="0462C1"/>
            <w:u w:val="single"/>
          </w:rPr>
          <w:t>https://kb.netgear.com/000062897/UKCA-Declarations-of-Conformity</w:t>
        </w:r>
      </w:hyperlink>
    </w:p>
    <w:p w14:paraId="5C1511B8" w14:textId="77777777" w:rsidR="00DF3509" w:rsidRDefault="00DF3509">
      <w:pPr>
        <w:pStyle w:val="BodyText"/>
        <w:kinsoku w:val="0"/>
        <w:overflowPunct w:val="0"/>
        <w:spacing w:before="3"/>
        <w:rPr>
          <w:sz w:val="17"/>
          <w:szCs w:val="17"/>
        </w:rPr>
      </w:pPr>
    </w:p>
    <w:p w14:paraId="2F55B110" w14:textId="77777777" w:rsidR="00DF3509" w:rsidRDefault="00DF3509">
      <w:pPr>
        <w:pStyle w:val="Heading2"/>
        <w:kinsoku w:val="0"/>
        <w:overflowPunct w:val="0"/>
        <w:rPr>
          <w:spacing w:val="-2"/>
        </w:rPr>
      </w:pPr>
      <w:bookmarkStart w:id="21" w:name="_bookmark10"/>
      <w:bookmarkStart w:id="22" w:name="_Toc147398204"/>
      <w:bookmarkEnd w:id="21"/>
      <w:r>
        <w:t>Conformità alla Direttiva 2014/53/UE per le apparecchiature radio (RED)</w:t>
      </w:r>
      <w:bookmarkEnd w:id="22"/>
    </w:p>
    <w:p w14:paraId="057677E6" w14:textId="77777777" w:rsidR="00DF3509" w:rsidRDefault="00DF3509">
      <w:pPr>
        <w:pStyle w:val="BodyText"/>
        <w:kinsoku w:val="0"/>
        <w:overflowPunct w:val="0"/>
        <w:spacing w:before="102" w:line="280" w:lineRule="auto"/>
        <w:ind w:left="840" w:right="873"/>
      </w:pPr>
      <w:r>
        <w:t>I prodotti NETGEAR recanti il marchio CE sono conformi al requisito dell'Articolo 10, paragrafo 2, qualora vengano utilizzati in almeno uno degli Stati membri dell'Unione europea, come esaminato.</w:t>
      </w:r>
    </w:p>
    <w:p w14:paraId="2CE2782A" w14:textId="77777777" w:rsidR="00DF3509" w:rsidRDefault="00DF3509">
      <w:pPr>
        <w:pStyle w:val="BodyText"/>
        <w:kinsoku w:val="0"/>
        <w:overflowPunct w:val="0"/>
        <w:spacing w:before="9"/>
        <w:rPr>
          <w:sz w:val="16"/>
          <w:szCs w:val="16"/>
        </w:rPr>
      </w:pPr>
    </w:p>
    <w:p w14:paraId="0728B349" w14:textId="77777777" w:rsidR="00DF3509" w:rsidRDefault="00DF3509">
      <w:pPr>
        <w:pStyle w:val="BodyText"/>
        <w:kinsoku w:val="0"/>
        <w:overflowPunct w:val="0"/>
        <w:spacing w:line="278" w:lineRule="auto"/>
        <w:ind w:left="840" w:right="779"/>
      </w:pPr>
      <w:r>
        <w:t>In conformità all'articolo 10(10), il seguente pittogramma riportato sulla confezione dei prodotti NETGEAR indica che il dispositivo presenta restrizioni descritte di seguito nei Paesi indicati:</w:t>
      </w:r>
    </w:p>
    <w:p w14:paraId="3F72AAB2" w14:textId="35A2DE78" w:rsidR="00DF3509" w:rsidRDefault="0052779B">
      <w:pPr>
        <w:pStyle w:val="BodyText"/>
        <w:kinsoku w:val="0"/>
        <w:overflowPunct w:val="0"/>
        <w:spacing w:before="11"/>
        <w:rPr>
          <w:sz w:val="21"/>
          <w:szCs w:val="21"/>
        </w:rPr>
      </w:pPr>
      <w:r>
        <w:rPr>
          <w:noProof/>
        </w:rPr>
        <mc:AlternateContent>
          <mc:Choice Requires="wps">
            <w:drawing>
              <wp:anchor distT="0" distB="0" distL="0" distR="0" simplePos="0" relativeHeight="251651072" behindDoc="0" locked="0" layoutInCell="0" allowOverlap="1" wp14:anchorId="5268F30F" wp14:editId="311CB6F0">
                <wp:simplePos x="0" y="0"/>
                <wp:positionH relativeFrom="page">
                  <wp:posOffset>958850</wp:posOffset>
                </wp:positionH>
                <wp:positionV relativeFrom="paragraph">
                  <wp:posOffset>175895</wp:posOffset>
                </wp:positionV>
                <wp:extent cx="1727200" cy="660400"/>
                <wp:effectExtent l="0" t="0" r="0" b="0"/>
                <wp:wrapTopAndBottom/>
                <wp:docPr id="141862645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0E767" w14:textId="05CB3AE1" w:rsidR="00BE289B" w:rsidRDefault="0052779B">
                            <w:pPr>
                              <w:widowControl/>
                              <w:autoSpaceDE/>
                              <w:autoSpaceDN/>
                              <w:adjustRightInd/>
                              <w:spacing w:line="1040" w:lineRule="atLeast"/>
                              <w:rPr>
                                <w:rFonts w:ascii="Times New Roman" w:hAnsi="Times New Roman" w:cs="Times New Roman"/>
                                <w:sz w:val="24"/>
                                <w:szCs w:val="24"/>
                              </w:rPr>
                            </w:pPr>
                            <w:r>
                              <w:rPr>
                                <w:rFonts w:ascii="Times New Roman" w:hAnsi="Times New Roman"/>
                                <w:noProof/>
                                <w:sz w:val="24"/>
                              </w:rPr>
                              <w:drawing>
                                <wp:inline distT="0" distB="0" distL="0" distR="0" wp14:anchorId="45D6EAAC" wp14:editId="6C90B060">
                                  <wp:extent cx="1725295" cy="664210"/>
                                  <wp:effectExtent l="0" t="0" r="0" b="0"/>
                                  <wp:docPr id="833559458" name="Picture 833559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a:ln>
                                            <a:noFill/>
                                          </a:ln>
                                        </pic:spPr>
                                      </pic:pic>
                                    </a:graphicData>
                                  </a:graphic>
                                </wp:inline>
                              </w:drawing>
                            </w:r>
                          </w:p>
                          <w:p w14:paraId="072A571A"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8F30F" id="Rectangle 7" o:spid="_x0000_s1028" style="position:absolute;margin-left:75.5pt;margin-top:13.85pt;width:136pt;height:5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" o:allowincell="f" filled="f" stroked="f">
                <v:textbox inset="0,0,0,0">
                  <w:txbxContent>
                    <w:p w14:paraId="7830E767" w14:textId="05CB3AE1" w:rsidR="00BE289B" w:rsidRDefault="0052779B">
                      <w:pPr>
                        <w:widowControl/>
                        <w:autoSpaceDE/>
                        <w:autoSpaceDN/>
                        <w:adjustRightInd/>
                        <w:spacing w:line="1040" w:lineRule="atLeast"/>
                        <w:rPr>
                          <w:rFonts w:ascii="Times New Roman" w:hAnsi="Times New Roman" w:cs="Times New Roman"/>
                          <w:sz w:val="24"/>
                          <w:szCs w:val="24"/>
                        </w:rPr>
                      </w:pPr>
                      <w:r>
                        <w:rPr>
                          <w:rFonts w:ascii="Times New Roman" w:hAnsi="Times New Roman"/>
                          <w:noProof/>
                          <w:sz w:val="24"/>
                        </w:rPr>
                        <w:drawing>
                          <wp:inline distT="0" distB="0" distL="0" distR="0" wp14:anchorId="45D6EAAC" wp14:editId="6C90B060">
                            <wp:extent cx="1725295" cy="664210"/>
                            <wp:effectExtent l="0" t="0" r="0" b="0"/>
                            <wp:docPr id="833559458" name="Picture 833559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a:ln>
                                      <a:noFill/>
                                    </a:ln>
                                  </pic:spPr>
                                </pic:pic>
                              </a:graphicData>
                            </a:graphic>
                          </wp:inline>
                        </w:drawing>
                      </w:r>
                    </w:p>
                    <w:p w14:paraId="072A571A" w14:textId="77777777" w:rsidR="00BE289B" w:rsidRDefault="00BE289B">
                      <w:pPr>
                        <w:rPr>
                          <w:rFonts w:ascii="Times New Roman" w:hAnsi="Times New Roman" w:cs="Times New Roman"/>
                          <w:sz w:val="24"/>
                          <w:szCs w:val="24"/>
                        </w:rPr>
                      </w:pPr>
                    </w:p>
                  </w:txbxContent>
                </v:textbox>
                <w10:wrap type="topAndBottom" anchorx="page"/>
              </v:rect>
            </w:pict>
          </mc:Fallback>
        </mc:AlternateContent>
      </w:r>
    </w:p>
    <w:p w14:paraId="2D0B4AD4" w14:textId="77777777" w:rsidR="00DF3509" w:rsidRDefault="00DF3509">
      <w:pPr>
        <w:pStyle w:val="BodyText"/>
        <w:kinsoku w:val="0"/>
        <w:overflowPunct w:val="0"/>
        <w:spacing w:before="7"/>
        <w:rPr>
          <w:sz w:val="21"/>
          <w:szCs w:val="21"/>
        </w:rPr>
      </w:pPr>
    </w:p>
    <w:p w14:paraId="25426A87" w14:textId="77777777" w:rsidR="00DF3509" w:rsidRDefault="00DF3509">
      <w:pPr>
        <w:pStyle w:val="ListParagraph"/>
        <w:numPr>
          <w:ilvl w:val="0"/>
          <w:numId w:val="6"/>
        </w:numPr>
        <w:tabs>
          <w:tab w:val="left" w:pos="1560"/>
        </w:tabs>
        <w:kinsoku w:val="0"/>
        <w:overflowPunct w:val="0"/>
        <w:spacing w:line="280" w:lineRule="atLeast"/>
        <w:ind w:right="2817"/>
        <w:rPr>
          <w:sz w:val="18"/>
          <w:szCs w:val="18"/>
        </w:rPr>
      </w:pPr>
      <w:r>
        <w:rPr>
          <w:sz w:val="18"/>
        </w:rPr>
        <w:t>Il dispositivo può essere utilizzato solo in ambienti interni quando è in funzione negli intervalli di frequenza: da 5150 a 5350 MHz</w:t>
      </w:r>
    </w:p>
    <w:p w14:paraId="7FFD89C4" w14:textId="77777777" w:rsidR="00DF3509" w:rsidRDefault="00DF3509">
      <w:pPr>
        <w:pStyle w:val="BodyText"/>
        <w:kinsoku w:val="0"/>
        <w:overflowPunct w:val="0"/>
        <w:spacing w:before="6"/>
        <w:ind w:left="1560"/>
        <w:rPr>
          <w:spacing w:val="-5"/>
        </w:rPr>
      </w:pPr>
      <w:r>
        <w:t>da 5945 a 6425 MHz</w:t>
      </w:r>
    </w:p>
    <w:p w14:paraId="3C9B2468" w14:textId="77777777" w:rsidR="00DF3509" w:rsidRPr="00D67FE6" w:rsidRDefault="00DF3509">
      <w:pPr>
        <w:pStyle w:val="ListParagraph"/>
        <w:numPr>
          <w:ilvl w:val="0"/>
          <w:numId w:val="6"/>
        </w:numPr>
        <w:tabs>
          <w:tab w:val="left" w:pos="1560"/>
        </w:tabs>
        <w:kinsoku w:val="0"/>
        <w:overflowPunct w:val="0"/>
        <w:spacing w:before="78"/>
        <w:ind w:right="1096"/>
        <w:rPr>
          <w:sz w:val="18"/>
          <w:szCs w:val="18"/>
        </w:rPr>
      </w:pPr>
      <w:r>
        <w:t>Il funzionamento nella gamma di frequenza da 5945 a 6425 MHz non è consentito nei Paesi dell'UE e dell'EFTA prima di dicembre 2021, a eccezione di Cipro, Repubblica Ceca, Germania, Francia, Slovenia, Norvegia e Regno Unito (Irlanda del Nord).</w:t>
      </w:r>
    </w:p>
    <w:p w14:paraId="26D07B88" w14:textId="77777777" w:rsidR="00DF3509" w:rsidRDefault="00DF3509">
      <w:pPr>
        <w:pStyle w:val="ListParagraph"/>
        <w:numPr>
          <w:ilvl w:val="0"/>
          <w:numId w:val="6"/>
        </w:numPr>
        <w:tabs>
          <w:tab w:val="left" w:pos="1560"/>
        </w:tabs>
        <w:kinsoku w:val="0"/>
        <w:overflowPunct w:val="0"/>
        <w:spacing w:before="77"/>
        <w:ind w:right="954"/>
        <w:rPr>
          <w:sz w:val="18"/>
          <w:szCs w:val="18"/>
        </w:rPr>
      </w:pPr>
      <w:r>
        <w:rPr>
          <w:sz w:val="18"/>
        </w:rPr>
        <w:t>I dispositivi con gamma di frequenza da 5945 a 6425 MHz sono consentiti in Belgio da ottobre 2021 ai sensi del regime di autorizzazione fino all'aggiornamento del decreto reale per rendere questa banda di frequenza esente o non autorizzata. Ogni località richiede una licenza generale per i dispositivi. Consultare il sito Web BIPT per i dettagli. Riferimenti aggiuntivi:</w:t>
      </w:r>
    </w:p>
    <w:p w14:paraId="271FCA67" w14:textId="038DE860" w:rsidR="00DF3509" w:rsidRDefault="00000000">
      <w:pPr>
        <w:pStyle w:val="ListParagraph"/>
        <w:numPr>
          <w:ilvl w:val="1"/>
          <w:numId w:val="6"/>
        </w:numPr>
        <w:tabs>
          <w:tab w:val="left" w:pos="2279"/>
        </w:tabs>
        <w:kinsoku w:val="0"/>
        <w:overflowPunct w:val="0"/>
        <w:spacing w:before="84"/>
        <w:ind w:left="2279" w:hanging="359"/>
        <w:rPr>
          <w:color w:val="0000FF"/>
          <w:spacing w:val="-2"/>
          <w:sz w:val="18"/>
          <w:szCs w:val="18"/>
        </w:rPr>
      </w:pPr>
      <w:hyperlink r:id="rId19" w:history="1">
        <w:r w:rsidR="00DF3509">
          <w:rPr>
            <w:color w:val="0000FF"/>
            <w:sz w:val="18"/>
            <w:u w:val="single"/>
          </w:rPr>
          <w:t>https://www.bipt.be/consumers/free-use-of-radio</w:t>
        </w:r>
      </w:hyperlink>
    </w:p>
    <w:p w14:paraId="09A49B87" w14:textId="20782DE7" w:rsidR="00DF3509" w:rsidRDefault="00000000">
      <w:pPr>
        <w:pStyle w:val="ListParagraph"/>
        <w:numPr>
          <w:ilvl w:val="1"/>
          <w:numId w:val="6"/>
        </w:numPr>
        <w:tabs>
          <w:tab w:val="left" w:pos="2279"/>
        </w:tabs>
        <w:kinsoku w:val="0"/>
        <w:overflowPunct w:val="0"/>
        <w:spacing w:before="62"/>
        <w:ind w:left="2279" w:hanging="359"/>
        <w:rPr>
          <w:color w:val="0000FF"/>
          <w:spacing w:val="-2"/>
          <w:sz w:val="18"/>
          <w:szCs w:val="18"/>
        </w:rPr>
      </w:pPr>
      <w:hyperlink r:id="rId20" w:history="1">
        <w:r w:rsidR="00DF3509">
          <w:rPr>
            <w:color w:val="0000FF"/>
            <w:sz w:val="18"/>
            <w:u w:val="single"/>
          </w:rPr>
          <w:t>https://www.bipt.be/operators/general-holders-licences</w:t>
        </w:r>
      </w:hyperlink>
    </w:p>
    <w:p w14:paraId="0AEF2FCF" w14:textId="77777777" w:rsidR="00DF3509" w:rsidRDefault="00DF3509">
      <w:pPr>
        <w:pStyle w:val="BodyText"/>
        <w:kinsoku w:val="0"/>
        <w:overflowPunct w:val="0"/>
        <w:spacing w:before="8"/>
        <w:rPr>
          <w:sz w:val="23"/>
          <w:szCs w:val="23"/>
        </w:rPr>
      </w:pPr>
    </w:p>
    <w:p w14:paraId="1509E0A8" w14:textId="77777777" w:rsidR="00DF3509" w:rsidRDefault="00DF3509">
      <w:pPr>
        <w:pStyle w:val="Heading3"/>
        <w:kinsoku w:val="0"/>
        <w:overflowPunct w:val="0"/>
        <w:jc w:val="both"/>
        <w:rPr>
          <w:spacing w:val="-2"/>
        </w:rPr>
      </w:pPr>
      <w:bookmarkStart w:id="23" w:name="_Toc147398205"/>
      <w:r>
        <w:lastRenderedPageBreak/>
        <w:t>Indicazioni per l'esposizione alle radiofrequenze</w:t>
      </w:r>
      <w:bookmarkEnd w:id="23"/>
    </w:p>
    <w:p w14:paraId="7D8C16C0" w14:textId="36676965" w:rsidR="00DF3509" w:rsidRDefault="00DF3509">
      <w:pPr>
        <w:pStyle w:val="BodyText"/>
        <w:kinsoku w:val="0"/>
        <w:overflowPunct w:val="0"/>
        <w:spacing w:before="82"/>
        <w:ind w:left="840"/>
        <w:rPr>
          <w:color w:val="0000FF"/>
          <w:spacing w:val="-2"/>
        </w:rPr>
      </w:pPr>
      <w:r>
        <w:t>Per i dispositivi diversi dagli hotspot mobili e dai modem USB, per soddisfare le condizioni di esposizione massima consentita (MPE), assicurarsi di mantenere una distanza di almeno 20 cm tra il dispositivo wireless NETGEAR e il corpo dell'utente. Per ulteriori dettagli, consultare la sezione Esposizione alle radiofrequenze all'indirizzo:</w:t>
      </w:r>
      <w:r w:rsidR="00692195">
        <w:t xml:space="preserve"> </w:t>
      </w:r>
      <w:hyperlink r:id="rId21" w:history="1">
        <w:r w:rsidR="00692195" w:rsidRPr="00327D13">
          <w:rPr>
            <w:rStyle w:val="Hyperlink"/>
            <w:rFonts w:cs="Arial"/>
          </w:rPr>
          <w:t>https://www.netgear.com/it/about/regulatory/</w:t>
        </w:r>
      </w:hyperlink>
    </w:p>
    <w:p w14:paraId="0251C142" w14:textId="77777777" w:rsidR="00DF3509" w:rsidRDefault="00DF3509">
      <w:pPr>
        <w:pStyle w:val="BodyText"/>
        <w:kinsoku w:val="0"/>
        <w:overflowPunct w:val="0"/>
        <w:spacing w:before="9"/>
        <w:rPr>
          <w:sz w:val="11"/>
          <w:szCs w:val="11"/>
        </w:rPr>
      </w:pPr>
    </w:p>
    <w:p w14:paraId="156FBE0C" w14:textId="77777777" w:rsidR="00DF3509" w:rsidRDefault="00DF3509">
      <w:pPr>
        <w:pStyle w:val="BodyText"/>
        <w:kinsoku w:val="0"/>
        <w:overflowPunct w:val="0"/>
        <w:spacing w:before="94" w:line="278" w:lineRule="auto"/>
        <w:ind w:left="840" w:right="873"/>
      </w:pPr>
      <w:r>
        <w:t>In conformità all'Articolo 10.8(a) e 10.8(b) della direttiva RED, la seguente tabella fornisce informazioni sulle bande di frequenza utilizzate e sulla potenza di trasmissione RF massima dei prodotti wireless NETGEAR per la vendita nell'UE:</w:t>
      </w:r>
    </w:p>
    <w:p w14:paraId="7ADA8742" w14:textId="77777777" w:rsidR="00DF3509" w:rsidRDefault="00DF3509">
      <w:pPr>
        <w:pStyle w:val="BodyText"/>
        <w:kinsoku w:val="0"/>
        <w:overflowPunct w:val="0"/>
        <w:spacing w:before="1"/>
        <w:rPr>
          <w:sz w:val="17"/>
          <w:szCs w:val="17"/>
        </w:rPr>
      </w:pPr>
    </w:p>
    <w:p w14:paraId="2C83E8F6" w14:textId="77777777" w:rsidR="00DF3509" w:rsidRDefault="00DF3509">
      <w:pPr>
        <w:pStyle w:val="BodyText"/>
        <w:kinsoku w:val="0"/>
        <w:overflowPunct w:val="0"/>
        <w:ind w:left="840"/>
        <w:rPr>
          <w:i/>
          <w:iCs/>
          <w:spacing w:val="-7"/>
        </w:rPr>
      </w:pPr>
      <w:r>
        <w:rPr>
          <w:i/>
        </w:rPr>
        <w:t>Wi-Fi</w:t>
      </w:r>
    </w:p>
    <w:p w14:paraId="5B8CF41E" w14:textId="77777777" w:rsidR="00DF3509" w:rsidRDefault="00DF3509">
      <w:pPr>
        <w:pStyle w:val="BodyText"/>
        <w:kinsoku w:val="0"/>
        <w:overflowPunct w:val="0"/>
        <w:spacing w:before="1"/>
        <w:rPr>
          <w:i/>
          <w:iCs/>
          <w:sz w:val="20"/>
          <w:szCs w:val="20"/>
        </w:rPr>
      </w:pPr>
    </w:p>
    <w:tbl>
      <w:tblPr>
        <w:tblW w:w="0" w:type="auto"/>
        <w:tblInd w:w="860" w:type="dxa"/>
        <w:tblLayout w:type="fixed"/>
        <w:tblCellMar>
          <w:left w:w="0" w:type="dxa"/>
          <w:right w:w="0" w:type="dxa"/>
        </w:tblCellMar>
        <w:tblLook w:val="0000" w:firstRow="0" w:lastRow="0" w:firstColumn="0" w:lastColumn="0" w:noHBand="0" w:noVBand="0"/>
      </w:tblPr>
      <w:tblGrid>
        <w:gridCol w:w="2497"/>
        <w:gridCol w:w="1671"/>
        <w:gridCol w:w="3301"/>
      </w:tblGrid>
      <w:tr w:rsidR="00DF3509" w:rsidRPr="001F545D" w14:paraId="3D42795C" w14:textId="77777777">
        <w:trPr>
          <w:trHeight w:val="438"/>
        </w:trPr>
        <w:tc>
          <w:tcPr>
            <w:tcW w:w="2497" w:type="dxa"/>
            <w:tcBorders>
              <w:top w:val="single" w:sz="8" w:space="0" w:color="000000"/>
              <w:left w:val="single" w:sz="8" w:space="0" w:color="000000"/>
              <w:bottom w:val="single" w:sz="8" w:space="0" w:color="000000"/>
              <w:right w:val="single" w:sz="8" w:space="0" w:color="000000"/>
            </w:tcBorders>
          </w:tcPr>
          <w:p w14:paraId="497DF911" w14:textId="77777777" w:rsidR="00DF3509" w:rsidRPr="001F545D" w:rsidRDefault="00DF3509">
            <w:pPr>
              <w:pStyle w:val="TableParagraph"/>
              <w:kinsoku w:val="0"/>
              <w:overflowPunct w:val="0"/>
              <w:spacing w:before="1"/>
              <w:rPr>
                <w:rFonts w:eastAsia="Times New Roman"/>
                <w:b/>
                <w:bCs/>
                <w:spacing w:val="-4"/>
                <w:sz w:val="18"/>
                <w:szCs w:val="18"/>
              </w:rPr>
            </w:pPr>
            <w:r>
              <w:rPr>
                <w:b/>
                <w:sz w:val="18"/>
              </w:rPr>
              <w:t>Gamma di frequenza (MHz)</w:t>
            </w:r>
          </w:p>
        </w:tc>
        <w:tc>
          <w:tcPr>
            <w:tcW w:w="1671" w:type="dxa"/>
            <w:tcBorders>
              <w:top w:val="single" w:sz="8" w:space="0" w:color="000000"/>
              <w:left w:val="single" w:sz="8" w:space="0" w:color="000000"/>
              <w:bottom w:val="single" w:sz="8" w:space="0" w:color="000000"/>
              <w:right w:val="single" w:sz="8" w:space="0" w:color="000000"/>
            </w:tcBorders>
          </w:tcPr>
          <w:p w14:paraId="00C8D6AC" w14:textId="77777777" w:rsidR="00DF3509" w:rsidRPr="001F545D" w:rsidRDefault="00DF3509">
            <w:pPr>
              <w:pStyle w:val="TableParagraph"/>
              <w:kinsoku w:val="0"/>
              <w:overflowPunct w:val="0"/>
              <w:spacing w:before="1"/>
              <w:rPr>
                <w:rFonts w:eastAsia="Times New Roman"/>
                <w:b/>
                <w:bCs/>
                <w:spacing w:val="-4"/>
                <w:sz w:val="18"/>
                <w:szCs w:val="18"/>
              </w:rPr>
            </w:pPr>
            <w:r>
              <w:rPr>
                <w:b/>
                <w:sz w:val="18"/>
              </w:rPr>
              <w:t>Canali utilizzati</w:t>
            </w:r>
          </w:p>
        </w:tc>
        <w:tc>
          <w:tcPr>
            <w:tcW w:w="3301" w:type="dxa"/>
            <w:tcBorders>
              <w:top w:val="single" w:sz="8" w:space="0" w:color="000000"/>
              <w:left w:val="single" w:sz="8" w:space="0" w:color="000000"/>
              <w:bottom w:val="single" w:sz="8" w:space="0" w:color="000000"/>
              <w:right w:val="single" w:sz="8" w:space="0" w:color="000000"/>
            </w:tcBorders>
          </w:tcPr>
          <w:p w14:paraId="33E041A0" w14:textId="77777777" w:rsidR="00DF3509" w:rsidRPr="001F545D" w:rsidRDefault="00DF3509">
            <w:pPr>
              <w:pStyle w:val="TableParagraph"/>
              <w:kinsoku w:val="0"/>
              <w:overflowPunct w:val="0"/>
              <w:spacing w:before="1"/>
              <w:ind w:left="106"/>
              <w:rPr>
                <w:rFonts w:eastAsia="Times New Roman"/>
                <w:b/>
                <w:bCs/>
                <w:spacing w:val="-2"/>
                <w:sz w:val="18"/>
                <w:szCs w:val="18"/>
              </w:rPr>
            </w:pPr>
            <w:r>
              <w:rPr>
                <w:b/>
                <w:sz w:val="18"/>
              </w:rPr>
              <w:t>Potenza di trasmissione max (dBm/mW)</w:t>
            </w:r>
          </w:p>
        </w:tc>
      </w:tr>
      <w:tr w:rsidR="00DF3509" w:rsidRPr="001F545D" w14:paraId="423E2E3C" w14:textId="77777777">
        <w:trPr>
          <w:trHeight w:val="474"/>
        </w:trPr>
        <w:tc>
          <w:tcPr>
            <w:tcW w:w="2497" w:type="dxa"/>
            <w:tcBorders>
              <w:top w:val="single" w:sz="8" w:space="0" w:color="000000"/>
              <w:left w:val="single" w:sz="8" w:space="0" w:color="000000"/>
              <w:bottom w:val="single" w:sz="8" w:space="0" w:color="000000"/>
              <w:right w:val="single" w:sz="8" w:space="0" w:color="000000"/>
            </w:tcBorders>
          </w:tcPr>
          <w:p w14:paraId="3A36826C"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2400-2483,5</w:t>
            </w:r>
          </w:p>
        </w:tc>
        <w:tc>
          <w:tcPr>
            <w:tcW w:w="1671" w:type="dxa"/>
            <w:tcBorders>
              <w:top w:val="single" w:sz="8" w:space="0" w:color="000000"/>
              <w:left w:val="single" w:sz="8" w:space="0" w:color="000000"/>
              <w:bottom w:val="single" w:sz="8" w:space="0" w:color="000000"/>
              <w:right w:val="single" w:sz="8" w:space="0" w:color="000000"/>
            </w:tcBorders>
          </w:tcPr>
          <w:p w14:paraId="583629AC" w14:textId="77777777" w:rsidR="00DF3509" w:rsidRPr="001F545D" w:rsidRDefault="00DF3509">
            <w:pPr>
              <w:pStyle w:val="TableParagraph"/>
              <w:kinsoku w:val="0"/>
              <w:overflowPunct w:val="0"/>
              <w:spacing w:line="206" w:lineRule="exact"/>
              <w:rPr>
                <w:rFonts w:eastAsia="Times New Roman"/>
                <w:spacing w:val="-5"/>
                <w:sz w:val="18"/>
                <w:szCs w:val="18"/>
              </w:rPr>
            </w:pPr>
            <w:r>
              <w:rPr>
                <w:sz w:val="18"/>
              </w:rPr>
              <w:t>1-13</w:t>
            </w:r>
          </w:p>
        </w:tc>
        <w:tc>
          <w:tcPr>
            <w:tcW w:w="3301" w:type="dxa"/>
            <w:tcBorders>
              <w:top w:val="single" w:sz="8" w:space="0" w:color="000000"/>
              <w:left w:val="single" w:sz="8" w:space="0" w:color="000000"/>
              <w:bottom w:val="single" w:sz="8" w:space="0" w:color="000000"/>
              <w:right w:val="single" w:sz="8" w:space="0" w:color="000000"/>
            </w:tcBorders>
          </w:tcPr>
          <w:p w14:paraId="30E98D6B" w14:textId="77777777" w:rsidR="00DF3509" w:rsidRPr="001F545D" w:rsidRDefault="00DF3509">
            <w:pPr>
              <w:pStyle w:val="TableParagraph"/>
              <w:kinsoku w:val="0"/>
              <w:overflowPunct w:val="0"/>
              <w:spacing w:line="206" w:lineRule="exact"/>
              <w:ind w:left="106"/>
              <w:rPr>
                <w:rFonts w:eastAsia="Times New Roman"/>
                <w:spacing w:val="-2"/>
                <w:sz w:val="18"/>
                <w:szCs w:val="18"/>
              </w:rPr>
            </w:pPr>
            <w:r>
              <w:rPr>
                <w:sz w:val="18"/>
              </w:rPr>
              <w:t>ODFM: 19,9 dBm (97,7 mW)</w:t>
            </w:r>
          </w:p>
          <w:p w14:paraId="0AE304DC" w14:textId="77777777" w:rsidR="00DF3509" w:rsidRPr="001F545D" w:rsidRDefault="00DF3509">
            <w:pPr>
              <w:pStyle w:val="TableParagraph"/>
              <w:kinsoku w:val="0"/>
              <w:overflowPunct w:val="0"/>
              <w:spacing w:before="30"/>
              <w:ind w:left="106"/>
              <w:rPr>
                <w:rFonts w:eastAsia="Times New Roman"/>
                <w:spacing w:val="-2"/>
                <w:sz w:val="18"/>
                <w:szCs w:val="18"/>
              </w:rPr>
            </w:pPr>
            <w:r>
              <w:rPr>
                <w:sz w:val="18"/>
              </w:rPr>
              <w:t>CCK: 17,9 dBm (61,7 mW)</w:t>
            </w:r>
          </w:p>
        </w:tc>
      </w:tr>
      <w:tr w:rsidR="00DF3509" w:rsidRPr="001F545D" w14:paraId="03D48E30" w14:textId="77777777">
        <w:trPr>
          <w:trHeight w:val="239"/>
        </w:trPr>
        <w:tc>
          <w:tcPr>
            <w:tcW w:w="2497" w:type="dxa"/>
            <w:tcBorders>
              <w:top w:val="single" w:sz="8" w:space="0" w:color="000000"/>
              <w:left w:val="single" w:sz="8" w:space="0" w:color="000000"/>
              <w:bottom w:val="single" w:sz="8" w:space="0" w:color="000000"/>
              <w:right w:val="single" w:sz="8" w:space="0" w:color="000000"/>
            </w:tcBorders>
          </w:tcPr>
          <w:p w14:paraId="6680841E" w14:textId="77777777" w:rsidR="00DF3509" w:rsidRPr="001F545D" w:rsidRDefault="00DF3509">
            <w:pPr>
              <w:pStyle w:val="TableParagraph"/>
              <w:kinsoku w:val="0"/>
              <w:overflowPunct w:val="0"/>
              <w:spacing w:before="1"/>
              <w:rPr>
                <w:rFonts w:eastAsia="Times New Roman"/>
                <w:spacing w:val="-4"/>
                <w:sz w:val="18"/>
                <w:szCs w:val="18"/>
              </w:rPr>
            </w:pPr>
            <w:r>
              <w:rPr>
                <w:sz w:val="18"/>
              </w:rPr>
              <w:t>5150-5250</w:t>
            </w:r>
          </w:p>
        </w:tc>
        <w:tc>
          <w:tcPr>
            <w:tcW w:w="1671" w:type="dxa"/>
            <w:tcBorders>
              <w:top w:val="single" w:sz="8" w:space="0" w:color="000000"/>
              <w:left w:val="single" w:sz="8" w:space="0" w:color="000000"/>
              <w:bottom w:val="single" w:sz="8" w:space="0" w:color="000000"/>
              <w:right w:val="single" w:sz="8" w:space="0" w:color="000000"/>
            </w:tcBorders>
          </w:tcPr>
          <w:p w14:paraId="6B59684F" w14:textId="77777777" w:rsidR="00DF3509" w:rsidRPr="001F545D" w:rsidRDefault="00DF3509">
            <w:pPr>
              <w:pStyle w:val="TableParagraph"/>
              <w:kinsoku w:val="0"/>
              <w:overflowPunct w:val="0"/>
              <w:spacing w:before="1"/>
              <w:rPr>
                <w:rFonts w:eastAsia="Times New Roman"/>
                <w:spacing w:val="-7"/>
                <w:sz w:val="18"/>
                <w:szCs w:val="18"/>
              </w:rPr>
            </w:pPr>
            <w:r>
              <w:rPr>
                <w:sz w:val="18"/>
              </w:rPr>
              <w:t>36-48</w:t>
            </w:r>
          </w:p>
        </w:tc>
        <w:tc>
          <w:tcPr>
            <w:tcW w:w="3301" w:type="dxa"/>
            <w:tcBorders>
              <w:top w:val="single" w:sz="8" w:space="0" w:color="000000"/>
              <w:left w:val="single" w:sz="8" w:space="0" w:color="000000"/>
              <w:bottom w:val="single" w:sz="8" w:space="0" w:color="000000"/>
              <w:right w:val="single" w:sz="8" w:space="0" w:color="000000"/>
            </w:tcBorders>
          </w:tcPr>
          <w:p w14:paraId="600390BD" w14:textId="77777777" w:rsidR="00DF3509" w:rsidRPr="001F545D" w:rsidRDefault="00DF3509">
            <w:pPr>
              <w:pStyle w:val="TableParagraph"/>
              <w:kinsoku w:val="0"/>
              <w:overflowPunct w:val="0"/>
              <w:spacing w:before="1"/>
              <w:ind w:left="106"/>
              <w:rPr>
                <w:rFonts w:eastAsia="Times New Roman"/>
                <w:spacing w:val="-2"/>
                <w:sz w:val="18"/>
                <w:szCs w:val="18"/>
              </w:rPr>
            </w:pPr>
            <w:r>
              <w:rPr>
                <w:sz w:val="18"/>
              </w:rPr>
              <w:t>22,9 dBm (195 mW)</w:t>
            </w:r>
          </w:p>
        </w:tc>
      </w:tr>
      <w:tr w:rsidR="00DF3509" w:rsidRPr="001F545D" w14:paraId="51C6E56D" w14:textId="77777777">
        <w:trPr>
          <w:trHeight w:val="474"/>
        </w:trPr>
        <w:tc>
          <w:tcPr>
            <w:tcW w:w="2497" w:type="dxa"/>
            <w:tcBorders>
              <w:top w:val="single" w:sz="8" w:space="0" w:color="000000"/>
              <w:left w:val="single" w:sz="8" w:space="0" w:color="000000"/>
              <w:bottom w:val="single" w:sz="8" w:space="0" w:color="000000"/>
              <w:right w:val="single" w:sz="8" w:space="0" w:color="000000"/>
            </w:tcBorders>
          </w:tcPr>
          <w:p w14:paraId="0C5F6DA8" w14:textId="77777777" w:rsidR="00DF3509" w:rsidRPr="001F545D" w:rsidRDefault="00DF3509">
            <w:pPr>
              <w:pStyle w:val="TableParagraph"/>
              <w:kinsoku w:val="0"/>
              <w:overflowPunct w:val="0"/>
              <w:spacing w:line="206" w:lineRule="exact"/>
              <w:rPr>
                <w:rFonts w:eastAsia="Times New Roman"/>
                <w:spacing w:val="-4"/>
                <w:sz w:val="18"/>
                <w:szCs w:val="18"/>
              </w:rPr>
            </w:pPr>
            <w:r>
              <w:rPr>
                <w:sz w:val="18"/>
              </w:rPr>
              <w:t>5250-5350</w:t>
            </w:r>
          </w:p>
        </w:tc>
        <w:tc>
          <w:tcPr>
            <w:tcW w:w="1671" w:type="dxa"/>
            <w:tcBorders>
              <w:top w:val="single" w:sz="8" w:space="0" w:color="000000"/>
              <w:left w:val="single" w:sz="8" w:space="0" w:color="000000"/>
              <w:bottom w:val="single" w:sz="8" w:space="0" w:color="000000"/>
              <w:right w:val="single" w:sz="8" w:space="0" w:color="000000"/>
            </w:tcBorders>
          </w:tcPr>
          <w:p w14:paraId="43FE6B92" w14:textId="77777777" w:rsidR="00DF3509" w:rsidRPr="001F545D" w:rsidRDefault="00DF3509">
            <w:pPr>
              <w:pStyle w:val="TableParagraph"/>
              <w:kinsoku w:val="0"/>
              <w:overflowPunct w:val="0"/>
              <w:spacing w:line="206" w:lineRule="exact"/>
              <w:rPr>
                <w:rFonts w:eastAsia="Times New Roman"/>
                <w:spacing w:val="-7"/>
                <w:sz w:val="18"/>
                <w:szCs w:val="18"/>
              </w:rPr>
            </w:pPr>
            <w:r>
              <w:rPr>
                <w:sz w:val="18"/>
              </w:rPr>
              <w:t>52-64</w:t>
            </w:r>
          </w:p>
        </w:tc>
        <w:tc>
          <w:tcPr>
            <w:tcW w:w="3301" w:type="dxa"/>
            <w:tcBorders>
              <w:top w:val="single" w:sz="8" w:space="0" w:color="000000"/>
              <w:left w:val="single" w:sz="8" w:space="0" w:color="000000"/>
              <w:bottom w:val="single" w:sz="8" w:space="0" w:color="000000"/>
              <w:right w:val="single" w:sz="8" w:space="0" w:color="000000"/>
            </w:tcBorders>
          </w:tcPr>
          <w:p w14:paraId="127199F5" w14:textId="77777777" w:rsidR="00DF3509" w:rsidRPr="001F545D" w:rsidRDefault="00DF3509">
            <w:pPr>
              <w:pStyle w:val="TableParagraph"/>
              <w:kinsoku w:val="0"/>
              <w:overflowPunct w:val="0"/>
              <w:spacing w:line="206" w:lineRule="exact"/>
              <w:ind w:left="106"/>
              <w:rPr>
                <w:rFonts w:eastAsia="Times New Roman"/>
                <w:spacing w:val="-5"/>
                <w:sz w:val="18"/>
                <w:szCs w:val="18"/>
              </w:rPr>
            </w:pPr>
            <w:r>
              <w:rPr>
                <w:sz w:val="18"/>
              </w:rPr>
              <w:t>22,9 dBm (195 mW) con TPC</w:t>
            </w:r>
          </w:p>
          <w:p w14:paraId="2B2BFE48" w14:textId="77777777" w:rsidR="00DF3509" w:rsidRPr="001F545D" w:rsidRDefault="00DF3509">
            <w:pPr>
              <w:pStyle w:val="TableParagraph"/>
              <w:kinsoku w:val="0"/>
              <w:overflowPunct w:val="0"/>
              <w:spacing w:before="30"/>
              <w:ind w:left="106"/>
              <w:rPr>
                <w:rFonts w:eastAsia="Times New Roman"/>
                <w:spacing w:val="-5"/>
                <w:sz w:val="18"/>
                <w:szCs w:val="18"/>
              </w:rPr>
            </w:pPr>
            <w:r>
              <w:rPr>
                <w:sz w:val="18"/>
              </w:rPr>
              <w:t>19,9 dBm (97,7 mW) non TPC</w:t>
            </w:r>
          </w:p>
        </w:tc>
      </w:tr>
      <w:tr w:rsidR="00DF3509" w:rsidRPr="001F545D" w14:paraId="304DE8CA" w14:textId="77777777">
        <w:trPr>
          <w:trHeight w:val="477"/>
        </w:trPr>
        <w:tc>
          <w:tcPr>
            <w:tcW w:w="2497" w:type="dxa"/>
            <w:tcBorders>
              <w:top w:val="single" w:sz="8" w:space="0" w:color="000000"/>
              <w:left w:val="single" w:sz="8" w:space="0" w:color="000000"/>
              <w:bottom w:val="single" w:sz="8" w:space="0" w:color="000000"/>
              <w:right w:val="single" w:sz="8" w:space="0" w:color="000000"/>
            </w:tcBorders>
          </w:tcPr>
          <w:p w14:paraId="565C5532" w14:textId="77777777" w:rsidR="00DF3509" w:rsidRPr="001F545D" w:rsidRDefault="00DF3509">
            <w:pPr>
              <w:pStyle w:val="TableParagraph"/>
              <w:kinsoku w:val="0"/>
              <w:overflowPunct w:val="0"/>
              <w:spacing w:before="1"/>
              <w:rPr>
                <w:rFonts w:eastAsia="Times New Roman"/>
                <w:spacing w:val="-4"/>
                <w:sz w:val="18"/>
                <w:szCs w:val="18"/>
              </w:rPr>
            </w:pPr>
            <w:r>
              <w:rPr>
                <w:sz w:val="18"/>
              </w:rPr>
              <w:t>5470-5725</w:t>
            </w:r>
          </w:p>
        </w:tc>
        <w:tc>
          <w:tcPr>
            <w:tcW w:w="1671" w:type="dxa"/>
            <w:tcBorders>
              <w:top w:val="single" w:sz="8" w:space="0" w:color="000000"/>
              <w:left w:val="single" w:sz="8" w:space="0" w:color="000000"/>
              <w:bottom w:val="single" w:sz="8" w:space="0" w:color="000000"/>
              <w:right w:val="single" w:sz="8" w:space="0" w:color="000000"/>
            </w:tcBorders>
          </w:tcPr>
          <w:p w14:paraId="2F3D4DC2" w14:textId="77777777" w:rsidR="00DF3509" w:rsidRPr="001F545D" w:rsidRDefault="00DF3509">
            <w:pPr>
              <w:pStyle w:val="TableParagraph"/>
              <w:kinsoku w:val="0"/>
              <w:overflowPunct w:val="0"/>
              <w:spacing w:before="1"/>
              <w:rPr>
                <w:rFonts w:eastAsia="Times New Roman"/>
                <w:spacing w:val="-5"/>
                <w:sz w:val="18"/>
                <w:szCs w:val="18"/>
              </w:rPr>
            </w:pPr>
            <w:r>
              <w:rPr>
                <w:sz w:val="18"/>
              </w:rPr>
              <w:t>100-140</w:t>
            </w:r>
          </w:p>
        </w:tc>
        <w:tc>
          <w:tcPr>
            <w:tcW w:w="3301" w:type="dxa"/>
            <w:tcBorders>
              <w:top w:val="single" w:sz="8" w:space="0" w:color="000000"/>
              <w:left w:val="single" w:sz="8" w:space="0" w:color="000000"/>
              <w:bottom w:val="single" w:sz="8" w:space="0" w:color="000000"/>
              <w:right w:val="single" w:sz="8" w:space="0" w:color="000000"/>
            </w:tcBorders>
          </w:tcPr>
          <w:p w14:paraId="5DDCE936" w14:textId="77777777" w:rsidR="00DF3509" w:rsidRPr="001F545D" w:rsidRDefault="00DF3509">
            <w:pPr>
              <w:pStyle w:val="TableParagraph"/>
              <w:kinsoku w:val="0"/>
              <w:overflowPunct w:val="0"/>
              <w:spacing w:before="1"/>
              <w:ind w:left="106"/>
              <w:rPr>
                <w:rFonts w:eastAsia="Times New Roman"/>
                <w:spacing w:val="-5"/>
                <w:sz w:val="18"/>
                <w:szCs w:val="18"/>
              </w:rPr>
            </w:pPr>
            <w:r>
              <w:rPr>
                <w:sz w:val="18"/>
              </w:rPr>
              <w:t>29,9 dBm (977 mW) con TPC</w:t>
            </w:r>
          </w:p>
          <w:p w14:paraId="7EEB9F5F" w14:textId="77777777" w:rsidR="00DF3509" w:rsidRPr="001F545D" w:rsidRDefault="00DF3509">
            <w:pPr>
              <w:pStyle w:val="TableParagraph"/>
              <w:kinsoku w:val="0"/>
              <w:overflowPunct w:val="0"/>
              <w:spacing w:before="31"/>
              <w:ind w:left="106"/>
              <w:rPr>
                <w:rFonts w:eastAsia="Times New Roman"/>
                <w:spacing w:val="-5"/>
                <w:sz w:val="18"/>
                <w:szCs w:val="18"/>
              </w:rPr>
            </w:pPr>
            <w:r>
              <w:rPr>
                <w:sz w:val="18"/>
              </w:rPr>
              <w:t>26,9 dBm (490 mW) non TPC</w:t>
            </w:r>
          </w:p>
        </w:tc>
      </w:tr>
      <w:tr w:rsidR="00DF3509" w:rsidRPr="001F545D" w14:paraId="034F9565" w14:textId="77777777">
        <w:trPr>
          <w:trHeight w:val="239"/>
        </w:trPr>
        <w:tc>
          <w:tcPr>
            <w:tcW w:w="2497" w:type="dxa"/>
            <w:tcBorders>
              <w:top w:val="single" w:sz="8" w:space="0" w:color="000000"/>
              <w:left w:val="single" w:sz="8" w:space="0" w:color="000000"/>
              <w:bottom w:val="single" w:sz="8" w:space="0" w:color="000000"/>
              <w:right w:val="single" w:sz="8" w:space="0" w:color="000000"/>
            </w:tcBorders>
          </w:tcPr>
          <w:p w14:paraId="37E848CD" w14:textId="77777777" w:rsidR="00DF3509" w:rsidRPr="001F545D" w:rsidRDefault="00DF3509">
            <w:pPr>
              <w:pStyle w:val="TableParagraph"/>
              <w:kinsoku w:val="0"/>
              <w:overflowPunct w:val="0"/>
              <w:spacing w:line="206" w:lineRule="exact"/>
              <w:rPr>
                <w:rFonts w:eastAsia="Times New Roman"/>
                <w:spacing w:val="-4"/>
                <w:sz w:val="18"/>
                <w:szCs w:val="18"/>
              </w:rPr>
            </w:pPr>
            <w:r>
              <w:rPr>
                <w:sz w:val="18"/>
              </w:rPr>
              <w:t>5945-6425</w:t>
            </w:r>
          </w:p>
        </w:tc>
        <w:tc>
          <w:tcPr>
            <w:tcW w:w="1671" w:type="dxa"/>
            <w:tcBorders>
              <w:top w:val="single" w:sz="8" w:space="0" w:color="000000"/>
              <w:left w:val="single" w:sz="8" w:space="0" w:color="000000"/>
              <w:bottom w:val="single" w:sz="8" w:space="0" w:color="000000"/>
              <w:right w:val="single" w:sz="8" w:space="0" w:color="000000"/>
            </w:tcBorders>
          </w:tcPr>
          <w:p w14:paraId="653DBBE2" w14:textId="77777777" w:rsidR="00DF3509" w:rsidRPr="003608D0" w:rsidRDefault="00C63EEA" w:rsidP="00C63EEA">
            <w:pPr>
              <w:pStyle w:val="TableParagraph"/>
              <w:kinsoku w:val="0"/>
              <w:overflowPunct w:val="0"/>
              <w:ind w:left="0"/>
              <w:rPr>
                <w:sz w:val="18"/>
                <w:szCs w:val="18"/>
              </w:rPr>
            </w:pPr>
            <w:r>
              <w:rPr>
                <w:sz w:val="18"/>
              </w:rPr>
              <w:t xml:space="preserve">   1 -93</w:t>
            </w:r>
          </w:p>
        </w:tc>
        <w:tc>
          <w:tcPr>
            <w:tcW w:w="3301" w:type="dxa"/>
            <w:tcBorders>
              <w:top w:val="single" w:sz="8" w:space="0" w:color="000000"/>
              <w:left w:val="single" w:sz="8" w:space="0" w:color="000000"/>
              <w:bottom w:val="single" w:sz="8" w:space="0" w:color="000000"/>
              <w:right w:val="single" w:sz="8" w:space="0" w:color="000000"/>
            </w:tcBorders>
          </w:tcPr>
          <w:p w14:paraId="0C5DBE06" w14:textId="77777777" w:rsidR="00DF3509" w:rsidRPr="001F545D" w:rsidRDefault="00DF3509">
            <w:pPr>
              <w:pStyle w:val="TableParagraph"/>
              <w:kinsoku w:val="0"/>
              <w:overflowPunct w:val="0"/>
              <w:spacing w:line="206" w:lineRule="exact"/>
              <w:ind w:left="106"/>
              <w:rPr>
                <w:rFonts w:eastAsia="Times New Roman"/>
                <w:spacing w:val="-2"/>
                <w:sz w:val="18"/>
                <w:szCs w:val="18"/>
              </w:rPr>
            </w:pPr>
            <w:r>
              <w:rPr>
                <w:sz w:val="18"/>
              </w:rPr>
              <w:t>22,9 dBm (195 mW)</w:t>
            </w:r>
          </w:p>
        </w:tc>
      </w:tr>
    </w:tbl>
    <w:p w14:paraId="1F22F36C" w14:textId="77777777" w:rsidR="00DF3509" w:rsidRDefault="00DF3509">
      <w:pPr>
        <w:pStyle w:val="BodyText"/>
        <w:kinsoku w:val="0"/>
        <w:overflowPunct w:val="0"/>
        <w:spacing w:before="10"/>
        <w:rPr>
          <w:i/>
          <w:iCs/>
          <w:sz w:val="20"/>
          <w:szCs w:val="20"/>
        </w:rPr>
      </w:pPr>
    </w:p>
    <w:p w14:paraId="1AE144C4" w14:textId="77777777" w:rsidR="00DF3509" w:rsidRDefault="00DF3509">
      <w:pPr>
        <w:pStyle w:val="BodyText"/>
        <w:kinsoku w:val="0"/>
        <w:overflowPunct w:val="0"/>
        <w:ind w:left="840"/>
        <w:rPr>
          <w:spacing w:val="-2"/>
        </w:rPr>
      </w:pPr>
      <w:r>
        <w:t>TPC: Transmit Power Control.</w:t>
      </w:r>
    </w:p>
    <w:p w14:paraId="4F17C51B" w14:textId="77777777" w:rsidR="00DF3509" w:rsidRDefault="00DF3509">
      <w:pPr>
        <w:pStyle w:val="BodyText"/>
        <w:kinsoku w:val="0"/>
        <w:overflowPunct w:val="0"/>
        <w:spacing w:before="2"/>
        <w:rPr>
          <w:sz w:val="20"/>
          <w:szCs w:val="20"/>
        </w:rPr>
      </w:pPr>
    </w:p>
    <w:p w14:paraId="5DF17599" w14:textId="77777777" w:rsidR="00DF3509" w:rsidRDefault="00DF3509">
      <w:pPr>
        <w:pStyle w:val="BodyText"/>
        <w:kinsoku w:val="0"/>
        <w:overflowPunct w:val="0"/>
        <w:ind w:left="840"/>
        <w:rPr>
          <w:i/>
          <w:iCs/>
          <w:spacing w:val="-2"/>
        </w:rPr>
      </w:pPr>
      <w:r>
        <w:rPr>
          <w:i/>
        </w:rPr>
        <w:t>Cellulare</w:t>
      </w:r>
    </w:p>
    <w:p w14:paraId="133951CA" w14:textId="77777777" w:rsidR="00DF3509" w:rsidRDefault="00DF3509">
      <w:pPr>
        <w:pStyle w:val="BodyText"/>
        <w:kinsoku w:val="0"/>
        <w:overflowPunct w:val="0"/>
        <w:spacing w:before="10"/>
        <w:rPr>
          <w:i/>
          <w:iCs/>
          <w:sz w:val="19"/>
          <w:szCs w:val="19"/>
        </w:rPr>
      </w:pPr>
    </w:p>
    <w:tbl>
      <w:tblPr>
        <w:tblW w:w="0" w:type="auto"/>
        <w:tblInd w:w="850" w:type="dxa"/>
        <w:tblLayout w:type="fixed"/>
        <w:tblCellMar>
          <w:left w:w="0" w:type="dxa"/>
          <w:right w:w="0" w:type="dxa"/>
        </w:tblCellMar>
        <w:tblLook w:val="0000" w:firstRow="0" w:lastRow="0" w:firstColumn="0" w:lastColumn="0" w:noHBand="0" w:noVBand="0"/>
      </w:tblPr>
      <w:tblGrid>
        <w:gridCol w:w="2516"/>
        <w:gridCol w:w="1620"/>
        <w:gridCol w:w="5216"/>
      </w:tblGrid>
      <w:tr w:rsidR="00DF3509" w:rsidRPr="001F545D" w14:paraId="7E450BFE"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190378BE" w14:textId="77777777" w:rsidR="00DF3509" w:rsidRPr="001F545D" w:rsidRDefault="00DF3509">
            <w:pPr>
              <w:pStyle w:val="TableParagraph"/>
              <w:kinsoku w:val="0"/>
              <w:overflowPunct w:val="0"/>
              <w:spacing w:line="188" w:lineRule="exact"/>
              <w:rPr>
                <w:rFonts w:eastAsia="Times New Roman"/>
                <w:b/>
                <w:bCs/>
                <w:spacing w:val="-4"/>
                <w:sz w:val="18"/>
                <w:szCs w:val="18"/>
              </w:rPr>
            </w:pPr>
            <w:r>
              <w:rPr>
                <w:b/>
                <w:sz w:val="18"/>
              </w:rPr>
              <w:t>Frequenza (MHz)</w:t>
            </w:r>
          </w:p>
        </w:tc>
        <w:tc>
          <w:tcPr>
            <w:tcW w:w="1620" w:type="dxa"/>
            <w:tcBorders>
              <w:top w:val="single" w:sz="4" w:space="0" w:color="000000"/>
              <w:left w:val="single" w:sz="4" w:space="0" w:color="000000"/>
              <w:bottom w:val="single" w:sz="4" w:space="0" w:color="000000"/>
              <w:right w:val="single" w:sz="4" w:space="0" w:color="000000"/>
            </w:tcBorders>
          </w:tcPr>
          <w:p w14:paraId="353BDA01" w14:textId="77777777" w:rsidR="00DF3509" w:rsidRPr="001F545D" w:rsidRDefault="00DF3509">
            <w:pPr>
              <w:pStyle w:val="TableParagraph"/>
              <w:kinsoku w:val="0"/>
              <w:overflowPunct w:val="0"/>
              <w:spacing w:line="188" w:lineRule="exact"/>
              <w:rPr>
                <w:rFonts w:eastAsia="Times New Roman"/>
                <w:b/>
                <w:bCs/>
                <w:spacing w:val="-4"/>
                <w:sz w:val="18"/>
                <w:szCs w:val="18"/>
              </w:rPr>
            </w:pPr>
            <w:r>
              <w:rPr>
                <w:b/>
                <w:sz w:val="18"/>
              </w:rPr>
              <w:t>Bande utilizzate</w:t>
            </w:r>
          </w:p>
        </w:tc>
        <w:tc>
          <w:tcPr>
            <w:tcW w:w="5216" w:type="dxa"/>
            <w:tcBorders>
              <w:top w:val="single" w:sz="4" w:space="0" w:color="000000"/>
              <w:left w:val="single" w:sz="4" w:space="0" w:color="000000"/>
              <w:bottom w:val="single" w:sz="4" w:space="0" w:color="000000"/>
              <w:right w:val="single" w:sz="4" w:space="0" w:color="000000"/>
            </w:tcBorders>
          </w:tcPr>
          <w:p w14:paraId="54272F0E" w14:textId="77777777" w:rsidR="00DF3509" w:rsidRPr="001F545D" w:rsidRDefault="00DF3509">
            <w:pPr>
              <w:pStyle w:val="TableParagraph"/>
              <w:kinsoku w:val="0"/>
              <w:overflowPunct w:val="0"/>
              <w:spacing w:line="188" w:lineRule="exact"/>
              <w:rPr>
                <w:rFonts w:eastAsia="Times New Roman"/>
                <w:b/>
                <w:bCs/>
                <w:spacing w:val="-2"/>
                <w:sz w:val="18"/>
                <w:szCs w:val="18"/>
              </w:rPr>
            </w:pPr>
            <w:r>
              <w:rPr>
                <w:b/>
                <w:sz w:val="18"/>
              </w:rPr>
              <w:t>Potenza di trasmissione max (dBm/mW)</w:t>
            </w:r>
          </w:p>
        </w:tc>
      </w:tr>
      <w:tr w:rsidR="00DF3509" w:rsidRPr="001F545D" w14:paraId="6F5B0EF6" w14:textId="77777777">
        <w:trPr>
          <w:trHeight w:val="205"/>
        </w:trPr>
        <w:tc>
          <w:tcPr>
            <w:tcW w:w="2516" w:type="dxa"/>
            <w:tcBorders>
              <w:top w:val="single" w:sz="4" w:space="0" w:color="000000"/>
              <w:left w:val="single" w:sz="4" w:space="0" w:color="000000"/>
              <w:bottom w:val="single" w:sz="4" w:space="0" w:color="000000"/>
              <w:right w:val="single" w:sz="4" w:space="0" w:color="000000"/>
            </w:tcBorders>
          </w:tcPr>
          <w:p w14:paraId="39E9FC4B"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703-748</w:t>
            </w:r>
          </w:p>
        </w:tc>
        <w:tc>
          <w:tcPr>
            <w:tcW w:w="1620" w:type="dxa"/>
            <w:tcBorders>
              <w:top w:val="single" w:sz="4" w:space="0" w:color="000000"/>
              <w:left w:val="single" w:sz="4" w:space="0" w:color="000000"/>
              <w:bottom w:val="single" w:sz="4" w:space="0" w:color="000000"/>
              <w:right w:val="single" w:sz="4" w:space="0" w:color="000000"/>
            </w:tcBorders>
          </w:tcPr>
          <w:p w14:paraId="6080AE2C"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Banda 28</w:t>
            </w:r>
          </w:p>
        </w:tc>
        <w:tc>
          <w:tcPr>
            <w:tcW w:w="5216" w:type="dxa"/>
            <w:tcBorders>
              <w:top w:val="single" w:sz="4" w:space="0" w:color="000000"/>
              <w:left w:val="single" w:sz="4" w:space="0" w:color="000000"/>
              <w:bottom w:val="single" w:sz="4" w:space="0" w:color="000000"/>
              <w:right w:val="single" w:sz="4" w:space="0" w:color="000000"/>
            </w:tcBorders>
          </w:tcPr>
          <w:p w14:paraId="43A6C186"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23,9 dBm (245 mW)</w:t>
            </w:r>
          </w:p>
        </w:tc>
      </w:tr>
      <w:tr w:rsidR="00DF3509" w:rsidRPr="001F545D" w14:paraId="0751EC68"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1359F90B"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832-862</w:t>
            </w:r>
          </w:p>
        </w:tc>
        <w:tc>
          <w:tcPr>
            <w:tcW w:w="1620" w:type="dxa"/>
            <w:tcBorders>
              <w:top w:val="single" w:sz="4" w:space="0" w:color="000000"/>
              <w:left w:val="single" w:sz="4" w:space="0" w:color="000000"/>
              <w:bottom w:val="single" w:sz="4" w:space="0" w:color="000000"/>
              <w:right w:val="single" w:sz="4" w:space="0" w:color="000000"/>
            </w:tcBorders>
          </w:tcPr>
          <w:p w14:paraId="7DB3D044"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Banda 20</w:t>
            </w:r>
          </w:p>
        </w:tc>
        <w:tc>
          <w:tcPr>
            <w:tcW w:w="5216" w:type="dxa"/>
            <w:tcBorders>
              <w:top w:val="single" w:sz="4" w:space="0" w:color="000000"/>
              <w:left w:val="single" w:sz="4" w:space="0" w:color="000000"/>
              <w:bottom w:val="single" w:sz="4" w:space="0" w:color="000000"/>
              <w:right w:val="single" w:sz="4" w:space="0" w:color="000000"/>
            </w:tcBorders>
          </w:tcPr>
          <w:p w14:paraId="7649C686"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23,9 dBm (245 mW)</w:t>
            </w:r>
          </w:p>
        </w:tc>
      </w:tr>
      <w:tr w:rsidR="00DF3509" w:rsidRPr="001F545D" w14:paraId="55874486"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6CE710A5" w14:textId="77777777" w:rsidR="00DF3509" w:rsidRPr="001F545D" w:rsidRDefault="00DF3509">
            <w:pPr>
              <w:pStyle w:val="TableParagraph"/>
              <w:kinsoku w:val="0"/>
              <w:overflowPunct w:val="0"/>
              <w:spacing w:before="1" w:line="187" w:lineRule="exact"/>
              <w:rPr>
                <w:rFonts w:eastAsia="Times New Roman"/>
                <w:spacing w:val="-5"/>
                <w:sz w:val="18"/>
                <w:szCs w:val="18"/>
              </w:rPr>
            </w:pPr>
            <w:r>
              <w:rPr>
                <w:sz w:val="18"/>
              </w:rPr>
              <w:t>880-915</w:t>
            </w:r>
          </w:p>
        </w:tc>
        <w:tc>
          <w:tcPr>
            <w:tcW w:w="1620" w:type="dxa"/>
            <w:tcBorders>
              <w:top w:val="single" w:sz="4" w:space="0" w:color="000000"/>
              <w:left w:val="single" w:sz="4" w:space="0" w:color="000000"/>
              <w:bottom w:val="single" w:sz="4" w:space="0" w:color="000000"/>
              <w:right w:val="single" w:sz="4" w:space="0" w:color="000000"/>
            </w:tcBorders>
          </w:tcPr>
          <w:p w14:paraId="777672FD" w14:textId="77777777" w:rsidR="00DF3509" w:rsidRPr="001F545D" w:rsidRDefault="00DF3509">
            <w:pPr>
              <w:pStyle w:val="TableParagraph"/>
              <w:kinsoku w:val="0"/>
              <w:overflowPunct w:val="0"/>
              <w:spacing w:before="1" w:line="187" w:lineRule="exact"/>
              <w:rPr>
                <w:rFonts w:eastAsia="Times New Roman"/>
                <w:spacing w:val="-10"/>
                <w:sz w:val="18"/>
                <w:szCs w:val="18"/>
              </w:rPr>
            </w:pPr>
            <w:r>
              <w:rPr>
                <w:sz w:val="18"/>
              </w:rPr>
              <w:t>Banda 8</w:t>
            </w:r>
          </w:p>
        </w:tc>
        <w:tc>
          <w:tcPr>
            <w:tcW w:w="5216" w:type="dxa"/>
            <w:tcBorders>
              <w:top w:val="single" w:sz="4" w:space="0" w:color="000000"/>
              <w:left w:val="single" w:sz="4" w:space="0" w:color="000000"/>
              <w:bottom w:val="single" w:sz="4" w:space="0" w:color="000000"/>
              <w:right w:val="single" w:sz="4" w:space="0" w:color="000000"/>
            </w:tcBorders>
          </w:tcPr>
          <w:p w14:paraId="1626473A" w14:textId="77777777" w:rsidR="00DF3509" w:rsidRPr="001F545D" w:rsidRDefault="00DF3509">
            <w:pPr>
              <w:pStyle w:val="TableParagraph"/>
              <w:kinsoku w:val="0"/>
              <w:overflowPunct w:val="0"/>
              <w:spacing w:before="1" w:line="187" w:lineRule="exact"/>
              <w:rPr>
                <w:rFonts w:eastAsia="Times New Roman"/>
                <w:spacing w:val="-2"/>
                <w:sz w:val="18"/>
                <w:szCs w:val="18"/>
              </w:rPr>
            </w:pPr>
            <w:r>
              <w:rPr>
                <w:sz w:val="18"/>
              </w:rPr>
              <w:t>23,9 dBm (245 mW)</w:t>
            </w:r>
          </w:p>
        </w:tc>
      </w:tr>
      <w:tr w:rsidR="00DF3509" w:rsidRPr="001F545D" w14:paraId="6F3F0350"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415CBB52" w14:textId="77777777" w:rsidR="00DF3509" w:rsidRPr="001F545D" w:rsidRDefault="00DF3509">
            <w:pPr>
              <w:pStyle w:val="TableParagraph"/>
              <w:kinsoku w:val="0"/>
              <w:overflowPunct w:val="0"/>
              <w:spacing w:line="186" w:lineRule="exact"/>
              <w:rPr>
                <w:rFonts w:eastAsia="Times New Roman"/>
                <w:spacing w:val="-4"/>
                <w:sz w:val="18"/>
                <w:szCs w:val="18"/>
              </w:rPr>
            </w:pPr>
            <w:r>
              <w:rPr>
                <w:sz w:val="18"/>
              </w:rPr>
              <w:t>1710-1785</w:t>
            </w:r>
          </w:p>
        </w:tc>
        <w:tc>
          <w:tcPr>
            <w:tcW w:w="1620" w:type="dxa"/>
            <w:tcBorders>
              <w:top w:val="single" w:sz="4" w:space="0" w:color="000000"/>
              <w:left w:val="single" w:sz="4" w:space="0" w:color="000000"/>
              <w:bottom w:val="single" w:sz="4" w:space="0" w:color="000000"/>
              <w:right w:val="single" w:sz="4" w:space="0" w:color="000000"/>
            </w:tcBorders>
          </w:tcPr>
          <w:p w14:paraId="1D8B0F2F" w14:textId="77777777" w:rsidR="00DF3509" w:rsidRPr="001F545D" w:rsidRDefault="00DF3509">
            <w:pPr>
              <w:pStyle w:val="TableParagraph"/>
              <w:kinsoku w:val="0"/>
              <w:overflowPunct w:val="0"/>
              <w:spacing w:line="186" w:lineRule="exact"/>
              <w:rPr>
                <w:rFonts w:eastAsia="Times New Roman"/>
                <w:spacing w:val="-10"/>
                <w:sz w:val="18"/>
                <w:szCs w:val="18"/>
              </w:rPr>
            </w:pPr>
            <w:r>
              <w:rPr>
                <w:sz w:val="18"/>
              </w:rPr>
              <w:t>Banda 3</w:t>
            </w:r>
          </w:p>
        </w:tc>
        <w:tc>
          <w:tcPr>
            <w:tcW w:w="5216" w:type="dxa"/>
            <w:tcBorders>
              <w:top w:val="single" w:sz="4" w:space="0" w:color="000000"/>
              <w:left w:val="single" w:sz="4" w:space="0" w:color="000000"/>
              <w:bottom w:val="single" w:sz="4" w:space="0" w:color="000000"/>
              <w:right w:val="single" w:sz="4" w:space="0" w:color="000000"/>
            </w:tcBorders>
          </w:tcPr>
          <w:p w14:paraId="7AD2421B"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FDD: 23,9 dBm (245 mW)</w:t>
            </w:r>
          </w:p>
        </w:tc>
      </w:tr>
      <w:tr w:rsidR="00DF3509" w:rsidRPr="001F545D" w14:paraId="5B07DCF5"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5F6EF77E" w14:textId="77777777" w:rsidR="00DF3509" w:rsidRPr="001F545D" w:rsidRDefault="00DF3509">
            <w:pPr>
              <w:pStyle w:val="TableParagraph"/>
              <w:kinsoku w:val="0"/>
              <w:overflowPunct w:val="0"/>
              <w:spacing w:line="188" w:lineRule="exact"/>
              <w:rPr>
                <w:rFonts w:eastAsia="Times New Roman"/>
                <w:spacing w:val="-4"/>
                <w:sz w:val="18"/>
                <w:szCs w:val="18"/>
              </w:rPr>
            </w:pPr>
            <w:r>
              <w:rPr>
                <w:sz w:val="18"/>
              </w:rPr>
              <w:t>1920-1980</w:t>
            </w:r>
          </w:p>
        </w:tc>
        <w:tc>
          <w:tcPr>
            <w:tcW w:w="1620" w:type="dxa"/>
            <w:tcBorders>
              <w:top w:val="single" w:sz="4" w:space="0" w:color="000000"/>
              <w:left w:val="single" w:sz="4" w:space="0" w:color="000000"/>
              <w:bottom w:val="single" w:sz="4" w:space="0" w:color="000000"/>
              <w:right w:val="single" w:sz="4" w:space="0" w:color="000000"/>
            </w:tcBorders>
          </w:tcPr>
          <w:p w14:paraId="3F19781D" w14:textId="77777777" w:rsidR="00DF3509" w:rsidRPr="001F545D" w:rsidRDefault="00DF3509">
            <w:pPr>
              <w:pStyle w:val="TableParagraph"/>
              <w:kinsoku w:val="0"/>
              <w:overflowPunct w:val="0"/>
              <w:spacing w:line="188" w:lineRule="exact"/>
              <w:rPr>
                <w:rFonts w:eastAsia="Times New Roman"/>
                <w:spacing w:val="-10"/>
                <w:sz w:val="18"/>
                <w:szCs w:val="18"/>
              </w:rPr>
            </w:pPr>
            <w:r>
              <w:rPr>
                <w:sz w:val="18"/>
              </w:rPr>
              <w:t>Banda 1</w:t>
            </w:r>
          </w:p>
        </w:tc>
        <w:tc>
          <w:tcPr>
            <w:tcW w:w="5216" w:type="dxa"/>
            <w:tcBorders>
              <w:top w:val="single" w:sz="4" w:space="0" w:color="000000"/>
              <w:left w:val="single" w:sz="4" w:space="0" w:color="000000"/>
              <w:bottom w:val="single" w:sz="4" w:space="0" w:color="000000"/>
              <w:right w:val="single" w:sz="4" w:space="0" w:color="000000"/>
            </w:tcBorders>
          </w:tcPr>
          <w:p w14:paraId="4F21B41F"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23,9 dBm (245 mW)</w:t>
            </w:r>
          </w:p>
        </w:tc>
      </w:tr>
      <w:tr w:rsidR="00DF3509" w:rsidRPr="001F545D" w14:paraId="5EDF30AA"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57B478B9" w14:textId="77777777" w:rsidR="00DF3509" w:rsidRPr="001F545D" w:rsidRDefault="00DF3509">
            <w:pPr>
              <w:pStyle w:val="TableParagraph"/>
              <w:kinsoku w:val="0"/>
              <w:overflowPunct w:val="0"/>
              <w:spacing w:line="186" w:lineRule="exact"/>
              <w:rPr>
                <w:rFonts w:eastAsia="Times New Roman"/>
                <w:spacing w:val="-4"/>
                <w:sz w:val="18"/>
                <w:szCs w:val="18"/>
              </w:rPr>
            </w:pPr>
            <w:r>
              <w:rPr>
                <w:sz w:val="18"/>
              </w:rPr>
              <w:t>2300-2400</w:t>
            </w:r>
          </w:p>
        </w:tc>
        <w:tc>
          <w:tcPr>
            <w:tcW w:w="1620" w:type="dxa"/>
            <w:tcBorders>
              <w:top w:val="single" w:sz="4" w:space="0" w:color="000000"/>
              <w:left w:val="single" w:sz="4" w:space="0" w:color="000000"/>
              <w:bottom w:val="single" w:sz="4" w:space="0" w:color="000000"/>
              <w:right w:val="single" w:sz="4" w:space="0" w:color="000000"/>
            </w:tcBorders>
          </w:tcPr>
          <w:p w14:paraId="41882341"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Banda 40</w:t>
            </w:r>
          </w:p>
        </w:tc>
        <w:tc>
          <w:tcPr>
            <w:tcW w:w="5216" w:type="dxa"/>
            <w:tcBorders>
              <w:top w:val="single" w:sz="4" w:space="0" w:color="000000"/>
              <w:left w:val="single" w:sz="4" w:space="0" w:color="000000"/>
              <w:bottom w:val="single" w:sz="4" w:space="0" w:color="000000"/>
              <w:right w:val="single" w:sz="4" w:space="0" w:color="000000"/>
            </w:tcBorders>
          </w:tcPr>
          <w:p w14:paraId="1EBD4A7C"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23,9 dBm (245 mW)</w:t>
            </w:r>
          </w:p>
        </w:tc>
      </w:tr>
      <w:tr w:rsidR="00DF3509" w:rsidRPr="001F545D" w14:paraId="21E6EC5B"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335ADDBF" w14:textId="77777777" w:rsidR="00DF3509" w:rsidRPr="001F545D" w:rsidRDefault="00DF3509">
            <w:pPr>
              <w:pStyle w:val="TableParagraph"/>
              <w:kinsoku w:val="0"/>
              <w:overflowPunct w:val="0"/>
              <w:spacing w:line="186" w:lineRule="exact"/>
              <w:rPr>
                <w:rFonts w:eastAsia="Times New Roman"/>
                <w:spacing w:val="-4"/>
                <w:sz w:val="18"/>
                <w:szCs w:val="18"/>
              </w:rPr>
            </w:pPr>
            <w:r>
              <w:rPr>
                <w:sz w:val="18"/>
              </w:rPr>
              <w:t>2496-2690</w:t>
            </w:r>
          </w:p>
        </w:tc>
        <w:tc>
          <w:tcPr>
            <w:tcW w:w="1620" w:type="dxa"/>
            <w:tcBorders>
              <w:top w:val="single" w:sz="4" w:space="0" w:color="000000"/>
              <w:left w:val="single" w:sz="4" w:space="0" w:color="000000"/>
              <w:bottom w:val="single" w:sz="4" w:space="0" w:color="000000"/>
              <w:right w:val="single" w:sz="4" w:space="0" w:color="000000"/>
            </w:tcBorders>
          </w:tcPr>
          <w:p w14:paraId="3FF9C91F"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Banda 41</w:t>
            </w:r>
          </w:p>
        </w:tc>
        <w:tc>
          <w:tcPr>
            <w:tcW w:w="5216" w:type="dxa"/>
            <w:tcBorders>
              <w:top w:val="single" w:sz="4" w:space="0" w:color="000000"/>
              <w:left w:val="single" w:sz="4" w:space="0" w:color="000000"/>
              <w:bottom w:val="single" w:sz="4" w:space="0" w:color="000000"/>
              <w:right w:val="single" w:sz="4" w:space="0" w:color="000000"/>
            </w:tcBorders>
          </w:tcPr>
          <w:p w14:paraId="6CA570D7"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26,9 dBm (500 mW)</w:t>
            </w:r>
          </w:p>
        </w:tc>
      </w:tr>
      <w:tr w:rsidR="00DF3509" w:rsidRPr="001F545D" w14:paraId="37E97E53"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33062977" w14:textId="77777777" w:rsidR="00DF3509" w:rsidRPr="001F545D" w:rsidRDefault="00DF3509">
            <w:pPr>
              <w:pStyle w:val="TableParagraph"/>
              <w:kinsoku w:val="0"/>
              <w:overflowPunct w:val="0"/>
              <w:spacing w:before="1" w:line="187" w:lineRule="exact"/>
              <w:rPr>
                <w:rFonts w:eastAsia="Times New Roman"/>
                <w:spacing w:val="-4"/>
                <w:sz w:val="18"/>
                <w:szCs w:val="18"/>
              </w:rPr>
            </w:pPr>
            <w:r>
              <w:rPr>
                <w:sz w:val="18"/>
              </w:rPr>
              <w:t>2500-2570</w:t>
            </w:r>
          </w:p>
        </w:tc>
        <w:tc>
          <w:tcPr>
            <w:tcW w:w="1620" w:type="dxa"/>
            <w:tcBorders>
              <w:top w:val="single" w:sz="4" w:space="0" w:color="000000"/>
              <w:left w:val="single" w:sz="4" w:space="0" w:color="000000"/>
              <w:bottom w:val="single" w:sz="4" w:space="0" w:color="000000"/>
              <w:right w:val="single" w:sz="4" w:space="0" w:color="000000"/>
            </w:tcBorders>
          </w:tcPr>
          <w:p w14:paraId="0E717BDF" w14:textId="77777777" w:rsidR="00DF3509" w:rsidRPr="001F545D" w:rsidRDefault="00DF3509">
            <w:pPr>
              <w:pStyle w:val="TableParagraph"/>
              <w:kinsoku w:val="0"/>
              <w:overflowPunct w:val="0"/>
              <w:spacing w:before="1" w:line="187" w:lineRule="exact"/>
              <w:rPr>
                <w:rFonts w:eastAsia="Times New Roman"/>
                <w:spacing w:val="-10"/>
                <w:sz w:val="18"/>
                <w:szCs w:val="18"/>
              </w:rPr>
            </w:pPr>
            <w:r>
              <w:rPr>
                <w:sz w:val="18"/>
              </w:rPr>
              <w:t>Banda 7</w:t>
            </w:r>
          </w:p>
        </w:tc>
        <w:tc>
          <w:tcPr>
            <w:tcW w:w="5216" w:type="dxa"/>
            <w:tcBorders>
              <w:top w:val="single" w:sz="4" w:space="0" w:color="000000"/>
              <w:left w:val="single" w:sz="4" w:space="0" w:color="000000"/>
              <w:bottom w:val="single" w:sz="4" w:space="0" w:color="000000"/>
              <w:right w:val="single" w:sz="4" w:space="0" w:color="000000"/>
            </w:tcBorders>
          </w:tcPr>
          <w:p w14:paraId="32A9D1FC" w14:textId="77777777" w:rsidR="00DF3509" w:rsidRPr="001F545D" w:rsidRDefault="00DF3509">
            <w:pPr>
              <w:pStyle w:val="TableParagraph"/>
              <w:kinsoku w:val="0"/>
              <w:overflowPunct w:val="0"/>
              <w:spacing w:before="1" w:line="187" w:lineRule="exact"/>
              <w:rPr>
                <w:rFonts w:eastAsia="Times New Roman"/>
                <w:spacing w:val="-2"/>
                <w:sz w:val="18"/>
                <w:szCs w:val="18"/>
              </w:rPr>
            </w:pPr>
            <w:r>
              <w:rPr>
                <w:sz w:val="18"/>
              </w:rPr>
              <w:t>23,9 dBm (245 mW)</w:t>
            </w:r>
          </w:p>
        </w:tc>
      </w:tr>
      <w:tr w:rsidR="00DF3509" w:rsidRPr="001F545D" w14:paraId="5764AC30" w14:textId="77777777">
        <w:trPr>
          <w:trHeight w:val="205"/>
        </w:trPr>
        <w:tc>
          <w:tcPr>
            <w:tcW w:w="2516" w:type="dxa"/>
            <w:tcBorders>
              <w:top w:val="single" w:sz="4" w:space="0" w:color="000000"/>
              <w:left w:val="single" w:sz="4" w:space="0" w:color="000000"/>
              <w:bottom w:val="single" w:sz="4" w:space="0" w:color="000000"/>
              <w:right w:val="single" w:sz="4" w:space="0" w:color="000000"/>
            </w:tcBorders>
          </w:tcPr>
          <w:p w14:paraId="139FFE76" w14:textId="77777777" w:rsidR="00DF3509" w:rsidRPr="001F545D" w:rsidRDefault="00DF3509">
            <w:pPr>
              <w:pStyle w:val="TableParagraph"/>
              <w:kinsoku w:val="0"/>
              <w:overflowPunct w:val="0"/>
              <w:spacing w:line="186" w:lineRule="exact"/>
              <w:rPr>
                <w:rFonts w:eastAsia="Times New Roman"/>
                <w:spacing w:val="-4"/>
                <w:sz w:val="18"/>
                <w:szCs w:val="18"/>
              </w:rPr>
            </w:pPr>
            <w:r>
              <w:rPr>
                <w:sz w:val="18"/>
              </w:rPr>
              <w:t>2570-2620</w:t>
            </w:r>
          </w:p>
        </w:tc>
        <w:tc>
          <w:tcPr>
            <w:tcW w:w="1620" w:type="dxa"/>
            <w:tcBorders>
              <w:top w:val="single" w:sz="4" w:space="0" w:color="000000"/>
              <w:left w:val="single" w:sz="4" w:space="0" w:color="000000"/>
              <w:bottom w:val="single" w:sz="4" w:space="0" w:color="000000"/>
              <w:right w:val="single" w:sz="4" w:space="0" w:color="000000"/>
            </w:tcBorders>
          </w:tcPr>
          <w:p w14:paraId="7BF1B334"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Banda 38</w:t>
            </w:r>
          </w:p>
        </w:tc>
        <w:tc>
          <w:tcPr>
            <w:tcW w:w="5216" w:type="dxa"/>
            <w:tcBorders>
              <w:top w:val="single" w:sz="4" w:space="0" w:color="000000"/>
              <w:left w:val="single" w:sz="4" w:space="0" w:color="000000"/>
              <w:bottom w:val="single" w:sz="4" w:space="0" w:color="000000"/>
              <w:right w:val="single" w:sz="4" w:space="0" w:color="000000"/>
            </w:tcBorders>
          </w:tcPr>
          <w:p w14:paraId="0274D6E4"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23,9 dBm (245 mW)</w:t>
            </w:r>
          </w:p>
        </w:tc>
      </w:tr>
      <w:tr w:rsidR="00DF3509" w:rsidRPr="001F545D" w14:paraId="30BEA30A"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4C2E9298" w14:textId="77777777" w:rsidR="00DF3509" w:rsidRPr="001F545D" w:rsidRDefault="00DF3509">
            <w:pPr>
              <w:pStyle w:val="TableParagraph"/>
              <w:kinsoku w:val="0"/>
              <w:overflowPunct w:val="0"/>
              <w:spacing w:line="188" w:lineRule="exact"/>
              <w:rPr>
                <w:rFonts w:eastAsia="Times New Roman"/>
                <w:spacing w:val="-4"/>
                <w:sz w:val="18"/>
                <w:szCs w:val="18"/>
              </w:rPr>
            </w:pPr>
            <w:r>
              <w:rPr>
                <w:sz w:val="18"/>
              </w:rPr>
              <w:t>3300-4200</w:t>
            </w:r>
          </w:p>
        </w:tc>
        <w:tc>
          <w:tcPr>
            <w:tcW w:w="1620" w:type="dxa"/>
            <w:tcBorders>
              <w:top w:val="single" w:sz="4" w:space="0" w:color="000000"/>
              <w:left w:val="single" w:sz="4" w:space="0" w:color="000000"/>
              <w:bottom w:val="single" w:sz="4" w:space="0" w:color="000000"/>
              <w:right w:val="single" w:sz="4" w:space="0" w:color="000000"/>
            </w:tcBorders>
          </w:tcPr>
          <w:p w14:paraId="31BAA3F1" w14:textId="77777777" w:rsidR="00DF3509" w:rsidRPr="001F545D" w:rsidRDefault="00DF3509">
            <w:pPr>
              <w:pStyle w:val="TableParagraph"/>
              <w:kinsoku w:val="0"/>
              <w:overflowPunct w:val="0"/>
              <w:spacing w:line="188" w:lineRule="exact"/>
              <w:rPr>
                <w:rFonts w:eastAsia="Times New Roman"/>
                <w:spacing w:val="-5"/>
                <w:sz w:val="18"/>
                <w:szCs w:val="18"/>
              </w:rPr>
            </w:pPr>
            <w:r>
              <w:rPr>
                <w:sz w:val="18"/>
              </w:rPr>
              <w:t>Banda 77, 78</w:t>
            </w:r>
          </w:p>
        </w:tc>
        <w:tc>
          <w:tcPr>
            <w:tcW w:w="5216" w:type="dxa"/>
            <w:tcBorders>
              <w:top w:val="single" w:sz="4" w:space="0" w:color="000000"/>
              <w:left w:val="single" w:sz="4" w:space="0" w:color="000000"/>
              <w:bottom w:val="single" w:sz="4" w:space="0" w:color="000000"/>
              <w:right w:val="single" w:sz="4" w:space="0" w:color="000000"/>
            </w:tcBorders>
          </w:tcPr>
          <w:p w14:paraId="60301C68"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26,9 dBm (500 mW)</w:t>
            </w:r>
          </w:p>
        </w:tc>
      </w:tr>
    </w:tbl>
    <w:p w14:paraId="1C8187A2" w14:textId="77777777" w:rsidR="00DF3509" w:rsidRDefault="00DF3509">
      <w:pPr>
        <w:pStyle w:val="BodyText"/>
        <w:kinsoku w:val="0"/>
        <w:overflowPunct w:val="0"/>
        <w:rPr>
          <w:i/>
          <w:iCs/>
          <w:sz w:val="20"/>
          <w:szCs w:val="20"/>
        </w:rPr>
      </w:pPr>
    </w:p>
    <w:p w14:paraId="303D12E4" w14:textId="77777777" w:rsidR="00DF3509" w:rsidRDefault="00DF3509">
      <w:pPr>
        <w:pStyle w:val="BodyText"/>
        <w:kinsoku w:val="0"/>
        <w:overflowPunct w:val="0"/>
        <w:spacing w:before="4"/>
        <w:rPr>
          <w:i/>
          <w:iCs/>
        </w:rPr>
      </w:pPr>
    </w:p>
    <w:p w14:paraId="320A81C8" w14:textId="77777777" w:rsidR="00DF3509" w:rsidRDefault="00DF3509">
      <w:pPr>
        <w:pStyle w:val="Heading2"/>
        <w:kinsoku w:val="0"/>
        <w:overflowPunct w:val="0"/>
        <w:rPr>
          <w:spacing w:val="-5"/>
        </w:rPr>
      </w:pPr>
      <w:bookmarkStart w:id="24" w:name="_bookmark12"/>
      <w:bookmarkStart w:id="25" w:name="_Toc147398206"/>
      <w:bookmarkEnd w:id="24"/>
      <w:r>
        <w:t>Precauzioni specifiche per EMC</w:t>
      </w:r>
      <w:bookmarkEnd w:id="25"/>
    </w:p>
    <w:p w14:paraId="58219E09" w14:textId="77777777" w:rsidR="00DF3509" w:rsidRDefault="00DF3509">
      <w:pPr>
        <w:pStyle w:val="BodyText"/>
        <w:kinsoku w:val="0"/>
        <w:overflowPunct w:val="0"/>
        <w:spacing w:before="105" w:line="278" w:lineRule="auto"/>
        <w:ind w:left="840" w:right="873"/>
      </w:pPr>
      <w:r>
        <w:t>I prodotti NETGEAR, come tutti i piccoli switch, moduli e dispositivi wireless, sono dispositivi EMC di classe B. Gli switch Ethernet con più di 8 porte sono, generalmente, considerati dispositivi EMC di classe A.</w:t>
      </w:r>
    </w:p>
    <w:p w14:paraId="1CB8AAF2" w14:textId="77777777" w:rsidR="00DF3509" w:rsidRDefault="00DF3509">
      <w:pPr>
        <w:pStyle w:val="BodyText"/>
        <w:kinsoku w:val="0"/>
        <w:overflowPunct w:val="0"/>
        <w:spacing w:before="10"/>
        <w:rPr>
          <w:sz w:val="16"/>
          <w:szCs w:val="16"/>
        </w:rPr>
      </w:pPr>
    </w:p>
    <w:p w14:paraId="7382BA10" w14:textId="77777777" w:rsidR="00DF3509" w:rsidRDefault="00DF3509">
      <w:pPr>
        <w:pStyle w:val="BodyText"/>
        <w:kinsoku w:val="0"/>
        <w:overflowPunct w:val="0"/>
        <w:spacing w:before="1" w:line="280" w:lineRule="auto"/>
        <w:ind w:left="840" w:right="873"/>
      </w:pPr>
      <w:r>
        <w:t>Attenzione: le apparecchiature NETGEAR di classe A sono conformi con la classe A dello standard EN 55032. In un ambiente residenziale, questo apparecchio può causare interferenze radio. In tal caso, l'utente potrebbe essere tenuto a prendere misure adeguate.</w:t>
      </w:r>
    </w:p>
    <w:p w14:paraId="7928E1D5" w14:textId="77777777" w:rsidR="00DF3509" w:rsidRDefault="00DF3509">
      <w:pPr>
        <w:pStyle w:val="BodyText"/>
        <w:kinsoku w:val="0"/>
        <w:overflowPunct w:val="0"/>
        <w:rPr>
          <w:sz w:val="20"/>
          <w:szCs w:val="20"/>
        </w:rPr>
      </w:pPr>
    </w:p>
    <w:p w14:paraId="306CA97B" w14:textId="77777777" w:rsidR="00DF3509" w:rsidRDefault="00DF3509">
      <w:pPr>
        <w:pStyle w:val="BodyText"/>
        <w:kinsoku w:val="0"/>
        <w:overflowPunct w:val="0"/>
        <w:spacing w:before="2"/>
        <w:rPr>
          <w:sz w:val="21"/>
          <w:szCs w:val="21"/>
        </w:rPr>
      </w:pPr>
    </w:p>
    <w:p w14:paraId="53AEAC53" w14:textId="77777777" w:rsidR="00DF3509" w:rsidRDefault="00DF3509">
      <w:pPr>
        <w:pStyle w:val="Heading1"/>
        <w:kinsoku w:val="0"/>
        <w:overflowPunct w:val="0"/>
        <w:rPr>
          <w:spacing w:val="-2"/>
        </w:rPr>
      </w:pPr>
      <w:bookmarkStart w:id="26" w:name="_bookmark13"/>
      <w:bookmarkStart w:id="27" w:name="_Toc147398207"/>
      <w:bookmarkEnd w:id="26"/>
      <w:r>
        <w:t>Requisiti FCC per il funzionamento negli Stati Uniti</w:t>
      </w:r>
      <w:bookmarkEnd w:id="27"/>
    </w:p>
    <w:p w14:paraId="6F15C16B" w14:textId="52FC04F7" w:rsidR="00DF3509" w:rsidRDefault="0052779B">
      <w:pPr>
        <w:pStyle w:val="BodyText"/>
        <w:kinsoku w:val="0"/>
        <w:overflowPunct w:val="0"/>
        <w:spacing w:before="4"/>
        <w:rPr>
          <w:sz w:val="17"/>
          <w:szCs w:val="17"/>
        </w:rPr>
      </w:pPr>
      <w:r>
        <w:rPr>
          <w:noProof/>
        </w:rPr>
        <mc:AlternateContent>
          <mc:Choice Requires="wps">
            <w:drawing>
              <wp:anchor distT="0" distB="0" distL="114300" distR="114300" simplePos="0" relativeHeight="251652096" behindDoc="0" locked="0" layoutInCell="0" allowOverlap="1" wp14:anchorId="1F4168C2" wp14:editId="49C62EBE">
                <wp:simplePos x="0" y="0"/>
                <wp:positionH relativeFrom="page">
                  <wp:posOffset>940435</wp:posOffset>
                </wp:positionH>
                <wp:positionV relativeFrom="paragraph">
                  <wp:posOffset>13970</wp:posOffset>
                </wp:positionV>
                <wp:extent cx="558800" cy="393700"/>
                <wp:effectExtent l="0" t="0" r="0" b="0"/>
                <wp:wrapNone/>
                <wp:docPr id="19815471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0A5DB" w14:textId="77777777" w:rsidR="00BE289B" w:rsidRDefault="00BE289B">
                            <w:pPr>
                              <w:widowControl/>
                              <w:autoSpaceDE/>
                              <w:autoSpaceDN/>
                              <w:adjustRightInd/>
                              <w:spacing w:line="620" w:lineRule="atLeast"/>
                              <w:rPr>
                                <w:rFonts w:ascii="Times New Roman" w:hAnsi="Times New Roman" w:cs="Times New Roman"/>
                                <w:sz w:val="24"/>
                                <w:szCs w:val="24"/>
                              </w:rPr>
                            </w:pPr>
                          </w:p>
                          <w:p w14:paraId="1AD77F54"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168C2" id="Rectangle 8" o:spid="_x0000_s1029" style="position:absolute;margin-left:74.05pt;margin-top:1.1pt;width:44pt;height:3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" o:allowincell="f" filled="f" stroked="f">
                <v:textbox inset="0,0,0,0">
                  <w:txbxContent>
                    <w:p w14:paraId="33B0A5DB" w14:textId="77777777" w:rsidR="00BE289B" w:rsidRDefault="00BE289B">
                      <w:pPr>
                        <w:widowControl/>
                        <w:autoSpaceDE/>
                        <w:autoSpaceDN/>
                        <w:adjustRightInd/>
                        <w:spacing w:line="620" w:lineRule="atLeast"/>
                        <w:rPr>
                          <w:rFonts w:ascii="Times New Roman" w:hAnsi="Times New Roman" w:cs="Times New Roman"/>
                          <w:sz w:val="24"/>
                          <w:szCs w:val="24"/>
                        </w:rPr>
                      </w:pPr>
                    </w:p>
                    <w:p w14:paraId="1AD77F54" w14:textId="77777777" w:rsidR="00BE289B" w:rsidRDefault="00BE289B">
                      <w:pPr>
                        <w:rPr>
                          <w:rFonts w:ascii="Times New Roman" w:hAnsi="Times New Roman" w:cs="Times New Roman"/>
                          <w:sz w:val="24"/>
                          <w:szCs w:val="24"/>
                        </w:rPr>
                      </w:pPr>
                    </w:p>
                  </w:txbxContent>
                </v:textbox>
                <w10:wrap anchorx="page"/>
              </v:rect>
            </w:pict>
          </mc:Fallback>
        </mc:AlternateContent>
      </w:r>
    </w:p>
    <w:p w14:paraId="30AA1AD6" w14:textId="77777777" w:rsidR="00DF3509" w:rsidRDefault="00DF3509">
      <w:pPr>
        <w:pStyle w:val="Heading2"/>
        <w:kinsoku w:val="0"/>
        <w:overflowPunct w:val="0"/>
        <w:rPr>
          <w:spacing w:val="-2"/>
        </w:rPr>
      </w:pPr>
      <w:bookmarkStart w:id="28" w:name="_bookmark14"/>
      <w:bookmarkStart w:id="29" w:name="_Toc147398208"/>
      <w:bookmarkEnd w:id="28"/>
      <w:r>
        <w:t>Dichiarazione di conformità FCC</w:t>
      </w:r>
      <w:bookmarkEnd w:id="29"/>
    </w:p>
    <w:p w14:paraId="08D44C0D" w14:textId="365A77A6" w:rsidR="00DF3509" w:rsidRDefault="00DF3509">
      <w:pPr>
        <w:pStyle w:val="BodyText"/>
        <w:kinsoku w:val="0"/>
        <w:overflowPunct w:val="0"/>
        <w:spacing w:before="105" w:line="276" w:lineRule="auto"/>
        <w:ind w:left="840" w:right="779"/>
      </w:pPr>
      <w:r>
        <w:t>NETGEAR, Inc., 350 East Plumeria Drive, San Jose, CA 95134 (</w:t>
      </w:r>
      <w:hyperlink r:id="rId22" w:history="1">
        <w:r>
          <w:rPr>
            <w:i/>
            <w:sz w:val="20"/>
          </w:rPr>
          <w:t>www.netgear.it/support</w:t>
        </w:r>
      </w:hyperlink>
      <w:r>
        <w:t>), dichiara in base alla propria e unica responsabilità che tutti i prodotti sono conformi alla Parte 15 sottoparte B delle normative FCC CFR47. Il funzionamento è soggetto alle due condizioni indicate:</w:t>
      </w:r>
    </w:p>
    <w:p w14:paraId="53764D10" w14:textId="77777777" w:rsidR="00DF3509" w:rsidRDefault="00DF3509">
      <w:pPr>
        <w:pStyle w:val="BodyText"/>
        <w:kinsoku w:val="0"/>
        <w:overflowPunct w:val="0"/>
        <w:spacing w:before="105" w:line="276" w:lineRule="auto"/>
        <w:ind w:left="840" w:right="779"/>
        <w:sectPr w:rsidR="00DF3509">
          <w:pgSz w:w="12240" w:h="15840"/>
          <w:pgMar w:top="1360" w:right="680" w:bottom="1140" w:left="600" w:header="0" w:footer="950" w:gutter="0"/>
          <w:cols w:space="720"/>
          <w:noEndnote/>
        </w:sectPr>
      </w:pPr>
    </w:p>
    <w:p w14:paraId="7C773D72" w14:textId="77777777" w:rsidR="00DF3509" w:rsidRDefault="00DF3509">
      <w:pPr>
        <w:pStyle w:val="ListParagraph"/>
        <w:numPr>
          <w:ilvl w:val="0"/>
          <w:numId w:val="5"/>
        </w:numPr>
        <w:tabs>
          <w:tab w:val="left" w:pos="1558"/>
        </w:tabs>
        <w:kinsoku w:val="0"/>
        <w:overflowPunct w:val="0"/>
        <w:spacing w:before="79"/>
        <w:ind w:left="1558" w:hanging="358"/>
        <w:rPr>
          <w:spacing w:val="-5"/>
          <w:sz w:val="18"/>
          <w:szCs w:val="18"/>
        </w:rPr>
      </w:pPr>
      <w:r>
        <w:rPr>
          <w:sz w:val="18"/>
        </w:rPr>
        <w:lastRenderedPageBreak/>
        <w:t>Il dispositivo non deve causare interferenze dannose e</w:t>
      </w:r>
    </w:p>
    <w:p w14:paraId="057D2811" w14:textId="77777777" w:rsidR="00DF3509" w:rsidRDefault="00DF3509">
      <w:pPr>
        <w:pStyle w:val="ListParagraph"/>
        <w:numPr>
          <w:ilvl w:val="0"/>
          <w:numId w:val="5"/>
        </w:numPr>
        <w:tabs>
          <w:tab w:val="left" w:pos="1560"/>
        </w:tabs>
        <w:kinsoku w:val="0"/>
        <w:overflowPunct w:val="0"/>
        <w:spacing w:before="31" w:line="278" w:lineRule="auto"/>
        <w:ind w:right="1510"/>
        <w:rPr>
          <w:spacing w:val="-2"/>
          <w:sz w:val="18"/>
          <w:szCs w:val="18"/>
        </w:rPr>
      </w:pPr>
      <w:r>
        <w:rPr>
          <w:sz w:val="18"/>
        </w:rPr>
        <w:t>Il dispositivo deve accettare qualsiasi interferenza ricevuta, compresa un'eventuale interferenza che potrebbe causare un funzionamento indesiderato.</w:t>
      </w:r>
    </w:p>
    <w:p w14:paraId="2D76CC26" w14:textId="77777777" w:rsidR="00DF3509" w:rsidRDefault="00DF3509">
      <w:pPr>
        <w:pStyle w:val="BodyText"/>
        <w:kinsoku w:val="0"/>
        <w:overflowPunct w:val="0"/>
        <w:spacing w:before="3"/>
        <w:rPr>
          <w:sz w:val="17"/>
          <w:szCs w:val="17"/>
        </w:rPr>
      </w:pPr>
    </w:p>
    <w:p w14:paraId="41829B95" w14:textId="77777777" w:rsidR="00DF3509" w:rsidRDefault="00DF3509">
      <w:pPr>
        <w:pStyle w:val="Heading2"/>
        <w:kinsoku w:val="0"/>
        <w:overflowPunct w:val="0"/>
        <w:rPr>
          <w:spacing w:val="-4"/>
        </w:rPr>
      </w:pPr>
      <w:bookmarkStart w:id="30" w:name="_bookmark15"/>
      <w:bookmarkStart w:id="31" w:name="_Toc147398209"/>
      <w:bookmarkEnd w:id="30"/>
      <w:r>
        <w:t>Informazioni FCC destinate all'utente</w:t>
      </w:r>
      <w:bookmarkEnd w:id="31"/>
    </w:p>
    <w:p w14:paraId="4A976B6F" w14:textId="77777777" w:rsidR="00DF3509" w:rsidRDefault="00DF3509">
      <w:pPr>
        <w:pStyle w:val="BodyText"/>
        <w:kinsoku w:val="0"/>
        <w:overflowPunct w:val="0"/>
        <w:spacing w:before="102" w:line="278" w:lineRule="auto"/>
        <w:ind w:left="840" w:right="873"/>
      </w:pPr>
      <w:r>
        <w:t>Questo prodotto NETGEAR non contiene componenti riparabili dall'utente. Qualunque modifica o cambiamento apportato al prodotto invaliderà tutte le certificazioni e le approvazioni normative applicabili.</w:t>
      </w:r>
    </w:p>
    <w:p w14:paraId="2E016607" w14:textId="77777777" w:rsidR="00DF3509" w:rsidRDefault="00DF3509">
      <w:pPr>
        <w:pStyle w:val="BodyText"/>
        <w:kinsoku w:val="0"/>
        <w:overflowPunct w:val="0"/>
        <w:spacing w:before="4"/>
        <w:rPr>
          <w:sz w:val="17"/>
          <w:szCs w:val="17"/>
        </w:rPr>
      </w:pPr>
    </w:p>
    <w:p w14:paraId="06B3F92E" w14:textId="77777777" w:rsidR="00DF3509" w:rsidRDefault="00DF3509">
      <w:pPr>
        <w:pStyle w:val="BodyText"/>
        <w:kinsoku w:val="0"/>
        <w:overflowPunct w:val="0"/>
        <w:ind w:left="840"/>
        <w:rPr>
          <w:spacing w:val="-2"/>
        </w:rPr>
      </w:pPr>
      <w:r>
        <w:t>La seguente informativa si applica ai prodotti in cui la dichiarazione di conformità FCC non può essere riportata sull'etichetta:</w:t>
      </w:r>
    </w:p>
    <w:p w14:paraId="416B1CFF" w14:textId="77777777" w:rsidR="00DF3509" w:rsidRDefault="00DF3509">
      <w:pPr>
        <w:pStyle w:val="BodyText"/>
        <w:kinsoku w:val="0"/>
        <w:overflowPunct w:val="0"/>
        <w:spacing w:before="9"/>
        <w:rPr>
          <w:sz w:val="19"/>
          <w:szCs w:val="19"/>
        </w:rPr>
      </w:pPr>
    </w:p>
    <w:p w14:paraId="454440D2" w14:textId="77777777" w:rsidR="00DF3509" w:rsidRDefault="00DF3509">
      <w:pPr>
        <w:pStyle w:val="BodyText"/>
        <w:kinsoku w:val="0"/>
        <w:overflowPunct w:val="0"/>
        <w:spacing w:after="32"/>
        <w:ind w:left="840"/>
        <w:rPr>
          <w:rFonts w:ascii="Cambria" w:hAnsi="Cambria" w:cs="Cambria"/>
          <w:i/>
          <w:iCs/>
          <w:color w:val="365F91"/>
          <w:spacing w:val="-4"/>
        </w:rPr>
      </w:pPr>
      <w:r>
        <w:rPr>
          <w:rFonts w:ascii="Cambria" w:hAnsi="Cambria"/>
          <w:i/>
          <w:color w:val="365F91"/>
        </w:rPr>
        <w:t>Tabella 3. Prodotti troppo piccoli per l'etichetta FCC</w:t>
      </w:r>
    </w:p>
    <w:tbl>
      <w:tblPr>
        <w:tblW w:w="0" w:type="auto"/>
        <w:tblInd w:w="1570" w:type="dxa"/>
        <w:tblLayout w:type="fixed"/>
        <w:tblCellMar>
          <w:left w:w="0" w:type="dxa"/>
          <w:right w:w="0" w:type="dxa"/>
        </w:tblCellMar>
        <w:tblLook w:val="0000" w:firstRow="0" w:lastRow="0" w:firstColumn="0" w:lastColumn="0" w:noHBand="0" w:noVBand="0"/>
      </w:tblPr>
      <w:tblGrid>
        <w:gridCol w:w="1615"/>
        <w:gridCol w:w="1260"/>
        <w:gridCol w:w="1259"/>
        <w:gridCol w:w="1259"/>
        <w:gridCol w:w="1259"/>
        <w:gridCol w:w="1260"/>
      </w:tblGrid>
      <w:tr w:rsidR="00DF3509" w:rsidRPr="001F545D" w14:paraId="5FBFF6F4" w14:textId="77777777">
        <w:trPr>
          <w:trHeight w:val="208"/>
        </w:trPr>
        <w:tc>
          <w:tcPr>
            <w:tcW w:w="1615" w:type="dxa"/>
            <w:tcBorders>
              <w:top w:val="single" w:sz="4" w:space="0" w:color="000000"/>
              <w:left w:val="single" w:sz="4" w:space="0" w:color="000000"/>
              <w:bottom w:val="single" w:sz="4" w:space="0" w:color="000000"/>
              <w:right w:val="single" w:sz="4" w:space="0" w:color="000000"/>
            </w:tcBorders>
          </w:tcPr>
          <w:p w14:paraId="66779E7D" w14:textId="77777777" w:rsidR="00DF3509" w:rsidRPr="001F545D" w:rsidRDefault="00DF3509">
            <w:pPr>
              <w:pStyle w:val="TableParagraph"/>
              <w:kinsoku w:val="0"/>
              <w:overflowPunct w:val="0"/>
              <w:spacing w:before="1" w:line="187" w:lineRule="exact"/>
              <w:rPr>
                <w:rFonts w:eastAsia="Times New Roman"/>
                <w:spacing w:val="-2"/>
                <w:sz w:val="18"/>
                <w:szCs w:val="18"/>
              </w:rPr>
            </w:pPr>
            <w:r>
              <w:rPr>
                <w:sz w:val="18"/>
              </w:rPr>
              <w:t>A6100</w:t>
            </w:r>
          </w:p>
        </w:tc>
        <w:tc>
          <w:tcPr>
            <w:tcW w:w="1260" w:type="dxa"/>
            <w:tcBorders>
              <w:top w:val="single" w:sz="4" w:space="0" w:color="000000"/>
              <w:left w:val="single" w:sz="4" w:space="0" w:color="000000"/>
              <w:bottom w:val="single" w:sz="4" w:space="0" w:color="000000"/>
              <w:right w:val="single" w:sz="4" w:space="0" w:color="000000"/>
            </w:tcBorders>
          </w:tcPr>
          <w:p w14:paraId="16081853" w14:textId="77777777" w:rsidR="00DF3509" w:rsidRPr="001F545D" w:rsidRDefault="00DF3509">
            <w:pPr>
              <w:pStyle w:val="TableParagraph"/>
              <w:kinsoku w:val="0"/>
              <w:overflowPunct w:val="0"/>
              <w:spacing w:before="1" w:line="187" w:lineRule="exact"/>
              <w:ind w:left="108"/>
              <w:rPr>
                <w:rFonts w:eastAsia="Times New Roman"/>
                <w:spacing w:val="-2"/>
                <w:sz w:val="18"/>
                <w:szCs w:val="18"/>
              </w:rPr>
            </w:pPr>
            <w:r>
              <w:rPr>
                <w:sz w:val="18"/>
              </w:rPr>
              <w:t>A7000</w:t>
            </w:r>
          </w:p>
        </w:tc>
        <w:tc>
          <w:tcPr>
            <w:tcW w:w="1259" w:type="dxa"/>
            <w:tcBorders>
              <w:top w:val="single" w:sz="4" w:space="0" w:color="000000"/>
              <w:left w:val="single" w:sz="4" w:space="0" w:color="000000"/>
              <w:bottom w:val="single" w:sz="4" w:space="0" w:color="000000"/>
              <w:right w:val="single" w:sz="4" w:space="0" w:color="000000"/>
            </w:tcBorders>
          </w:tcPr>
          <w:p w14:paraId="4F99E5BE" w14:textId="77777777" w:rsidR="00DF3509" w:rsidRPr="001F545D" w:rsidRDefault="00DF3509">
            <w:pPr>
              <w:pStyle w:val="TableParagraph"/>
              <w:kinsoku w:val="0"/>
              <w:overflowPunct w:val="0"/>
              <w:spacing w:before="1" w:line="187" w:lineRule="exact"/>
              <w:ind w:left="108"/>
              <w:rPr>
                <w:rFonts w:eastAsia="Times New Roman"/>
                <w:spacing w:val="-2"/>
                <w:sz w:val="18"/>
                <w:szCs w:val="18"/>
              </w:rPr>
            </w:pPr>
            <w:r>
              <w:rPr>
                <w:sz w:val="18"/>
              </w:rPr>
              <w:t>ACC763</w:t>
            </w:r>
          </w:p>
        </w:tc>
        <w:tc>
          <w:tcPr>
            <w:tcW w:w="1259" w:type="dxa"/>
            <w:tcBorders>
              <w:top w:val="single" w:sz="4" w:space="0" w:color="000000"/>
              <w:left w:val="single" w:sz="4" w:space="0" w:color="000000"/>
              <w:bottom w:val="single" w:sz="4" w:space="0" w:color="000000"/>
              <w:right w:val="single" w:sz="4" w:space="0" w:color="000000"/>
            </w:tcBorders>
          </w:tcPr>
          <w:p w14:paraId="5E0F8FB3" w14:textId="77777777" w:rsidR="00DF3509" w:rsidRPr="001F545D" w:rsidRDefault="00DF3509">
            <w:pPr>
              <w:pStyle w:val="TableParagraph"/>
              <w:kinsoku w:val="0"/>
              <w:overflowPunct w:val="0"/>
              <w:spacing w:before="1" w:line="187" w:lineRule="exact"/>
              <w:ind w:left="110"/>
              <w:rPr>
                <w:rFonts w:eastAsia="Times New Roman"/>
                <w:spacing w:val="-2"/>
                <w:sz w:val="18"/>
                <w:szCs w:val="18"/>
              </w:rPr>
            </w:pPr>
            <w:r>
              <w:rPr>
                <w:sz w:val="18"/>
              </w:rPr>
              <w:t>AGM731F</w:t>
            </w:r>
          </w:p>
        </w:tc>
        <w:tc>
          <w:tcPr>
            <w:tcW w:w="1259" w:type="dxa"/>
            <w:tcBorders>
              <w:top w:val="single" w:sz="4" w:space="0" w:color="000000"/>
              <w:left w:val="single" w:sz="4" w:space="0" w:color="000000"/>
              <w:bottom w:val="single" w:sz="4" w:space="0" w:color="000000"/>
              <w:right w:val="single" w:sz="4" w:space="0" w:color="000000"/>
            </w:tcBorders>
          </w:tcPr>
          <w:p w14:paraId="1608B287" w14:textId="77777777" w:rsidR="00DF3509" w:rsidRPr="001F545D" w:rsidRDefault="00DF3509">
            <w:pPr>
              <w:pStyle w:val="TableParagraph"/>
              <w:kinsoku w:val="0"/>
              <w:overflowPunct w:val="0"/>
              <w:spacing w:before="1" w:line="187" w:lineRule="exact"/>
              <w:ind w:left="111"/>
              <w:rPr>
                <w:rFonts w:eastAsia="Times New Roman"/>
                <w:spacing w:val="-2"/>
                <w:sz w:val="18"/>
                <w:szCs w:val="18"/>
              </w:rPr>
            </w:pPr>
            <w:r>
              <w:rPr>
                <w:sz w:val="18"/>
              </w:rPr>
              <w:t>AXM761</w:t>
            </w:r>
          </w:p>
        </w:tc>
        <w:tc>
          <w:tcPr>
            <w:tcW w:w="1260" w:type="dxa"/>
            <w:tcBorders>
              <w:top w:val="single" w:sz="4" w:space="0" w:color="000000"/>
              <w:left w:val="single" w:sz="4" w:space="0" w:color="000000"/>
              <w:bottom w:val="single" w:sz="4" w:space="0" w:color="000000"/>
              <w:right w:val="single" w:sz="4" w:space="0" w:color="000000"/>
            </w:tcBorders>
          </w:tcPr>
          <w:p w14:paraId="66B5991E" w14:textId="77777777" w:rsidR="00DF3509" w:rsidRPr="001F545D" w:rsidRDefault="00DF3509">
            <w:pPr>
              <w:pStyle w:val="TableParagraph"/>
              <w:kinsoku w:val="0"/>
              <w:overflowPunct w:val="0"/>
              <w:spacing w:before="1" w:line="187" w:lineRule="exact"/>
              <w:ind w:left="112"/>
              <w:rPr>
                <w:rFonts w:eastAsia="Times New Roman"/>
                <w:spacing w:val="-2"/>
                <w:sz w:val="18"/>
                <w:szCs w:val="18"/>
              </w:rPr>
            </w:pPr>
            <w:r>
              <w:rPr>
                <w:sz w:val="18"/>
              </w:rPr>
              <w:t>AXM764</w:t>
            </w:r>
          </w:p>
        </w:tc>
      </w:tr>
      <w:tr w:rsidR="00DF3509" w:rsidRPr="001F545D" w14:paraId="23142D75" w14:textId="77777777">
        <w:trPr>
          <w:trHeight w:val="205"/>
        </w:trPr>
        <w:tc>
          <w:tcPr>
            <w:tcW w:w="1615" w:type="dxa"/>
            <w:tcBorders>
              <w:top w:val="single" w:sz="4" w:space="0" w:color="000000"/>
              <w:left w:val="single" w:sz="4" w:space="0" w:color="000000"/>
              <w:bottom w:val="single" w:sz="4" w:space="0" w:color="000000"/>
              <w:right w:val="single" w:sz="4" w:space="0" w:color="000000"/>
            </w:tcBorders>
          </w:tcPr>
          <w:p w14:paraId="6271CD6C"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A6150</w:t>
            </w:r>
          </w:p>
        </w:tc>
        <w:tc>
          <w:tcPr>
            <w:tcW w:w="1260" w:type="dxa"/>
            <w:tcBorders>
              <w:top w:val="single" w:sz="4" w:space="0" w:color="000000"/>
              <w:left w:val="single" w:sz="4" w:space="0" w:color="000000"/>
              <w:bottom w:val="single" w:sz="4" w:space="0" w:color="000000"/>
              <w:right w:val="single" w:sz="4" w:space="0" w:color="000000"/>
            </w:tcBorders>
          </w:tcPr>
          <w:p w14:paraId="42E29FD2" w14:textId="77777777" w:rsidR="00DF3509" w:rsidRPr="001F545D" w:rsidRDefault="008D2723">
            <w:pPr>
              <w:pStyle w:val="TableParagraph"/>
              <w:kinsoku w:val="0"/>
              <w:overflowPunct w:val="0"/>
              <w:spacing w:line="186" w:lineRule="exact"/>
              <w:ind w:left="108"/>
              <w:rPr>
                <w:rFonts w:eastAsia="Times New Roman"/>
                <w:spacing w:val="-2"/>
                <w:sz w:val="18"/>
                <w:szCs w:val="18"/>
              </w:rPr>
            </w:pPr>
            <w:r>
              <w:rPr>
                <w:sz w:val="18"/>
              </w:rPr>
              <w:t>A8000</w:t>
            </w:r>
          </w:p>
        </w:tc>
        <w:tc>
          <w:tcPr>
            <w:tcW w:w="1259" w:type="dxa"/>
            <w:tcBorders>
              <w:top w:val="single" w:sz="4" w:space="0" w:color="000000"/>
              <w:left w:val="single" w:sz="4" w:space="0" w:color="000000"/>
              <w:bottom w:val="single" w:sz="4" w:space="0" w:color="000000"/>
              <w:right w:val="single" w:sz="4" w:space="0" w:color="000000"/>
            </w:tcBorders>
          </w:tcPr>
          <w:p w14:paraId="0B1A113C" w14:textId="77777777" w:rsidR="00DF3509" w:rsidRPr="001F545D" w:rsidRDefault="00DF3509">
            <w:pPr>
              <w:pStyle w:val="TableParagraph"/>
              <w:kinsoku w:val="0"/>
              <w:overflowPunct w:val="0"/>
              <w:spacing w:line="186" w:lineRule="exact"/>
              <w:ind w:left="108"/>
              <w:rPr>
                <w:rFonts w:eastAsia="Times New Roman"/>
                <w:spacing w:val="-2"/>
                <w:sz w:val="18"/>
                <w:szCs w:val="18"/>
              </w:rPr>
            </w:pPr>
            <w:r>
              <w:rPr>
                <w:sz w:val="18"/>
              </w:rPr>
              <w:t>ACM761</w:t>
            </w:r>
          </w:p>
        </w:tc>
        <w:tc>
          <w:tcPr>
            <w:tcW w:w="1259" w:type="dxa"/>
            <w:tcBorders>
              <w:top w:val="single" w:sz="4" w:space="0" w:color="000000"/>
              <w:left w:val="single" w:sz="4" w:space="0" w:color="000000"/>
              <w:bottom w:val="single" w:sz="4" w:space="0" w:color="000000"/>
              <w:right w:val="single" w:sz="4" w:space="0" w:color="000000"/>
            </w:tcBorders>
          </w:tcPr>
          <w:p w14:paraId="0213EB64" w14:textId="77777777" w:rsidR="00DF3509" w:rsidRPr="001F545D" w:rsidRDefault="00DF3509">
            <w:pPr>
              <w:pStyle w:val="TableParagraph"/>
              <w:kinsoku w:val="0"/>
              <w:overflowPunct w:val="0"/>
              <w:spacing w:line="186" w:lineRule="exact"/>
              <w:ind w:left="110"/>
              <w:rPr>
                <w:rFonts w:eastAsia="Times New Roman"/>
                <w:spacing w:val="-2"/>
                <w:sz w:val="18"/>
                <w:szCs w:val="18"/>
              </w:rPr>
            </w:pPr>
            <w:r>
              <w:rPr>
                <w:sz w:val="18"/>
              </w:rPr>
              <w:t>AGM732F</w:t>
            </w:r>
          </w:p>
        </w:tc>
        <w:tc>
          <w:tcPr>
            <w:tcW w:w="1259" w:type="dxa"/>
            <w:tcBorders>
              <w:top w:val="single" w:sz="4" w:space="0" w:color="000000"/>
              <w:left w:val="single" w:sz="4" w:space="0" w:color="000000"/>
              <w:bottom w:val="single" w:sz="4" w:space="0" w:color="000000"/>
              <w:right w:val="single" w:sz="4" w:space="0" w:color="000000"/>
            </w:tcBorders>
          </w:tcPr>
          <w:p w14:paraId="5139FE78" w14:textId="77777777" w:rsidR="00DF3509" w:rsidRPr="001F545D" w:rsidRDefault="00DF3509">
            <w:pPr>
              <w:pStyle w:val="TableParagraph"/>
              <w:kinsoku w:val="0"/>
              <w:overflowPunct w:val="0"/>
              <w:spacing w:line="186" w:lineRule="exact"/>
              <w:ind w:left="111"/>
              <w:rPr>
                <w:rFonts w:eastAsia="Times New Roman"/>
                <w:spacing w:val="-2"/>
                <w:sz w:val="18"/>
                <w:szCs w:val="18"/>
              </w:rPr>
            </w:pPr>
            <w:r>
              <w:rPr>
                <w:sz w:val="18"/>
              </w:rPr>
              <w:t>AXM762</w:t>
            </w:r>
          </w:p>
        </w:tc>
        <w:tc>
          <w:tcPr>
            <w:tcW w:w="1260" w:type="dxa"/>
            <w:tcBorders>
              <w:top w:val="single" w:sz="4" w:space="0" w:color="000000"/>
              <w:left w:val="single" w:sz="4" w:space="0" w:color="000000"/>
              <w:bottom w:val="single" w:sz="4" w:space="0" w:color="000000"/>
              <w:right w:val="single" w:sz="4" w:space="0" w:color="000000"/>
            </w:tcBorders>
          </w:tcPr>
          <w:p w14:paraId="38E422B4" w14:textId="77777777" w:rsidR="00DF3509" w:rsidRPr="001F545D" w:rsidRDefault="0078115C">
            <w:pPr>
              <w:pStyle w:val="TableParagraph"/>
              <w:kinsoku w:val="0"/>
              <w:overflowPunct w:val="0"/>
              <w:spacing w:line="186" w:lineRule="exact"/>
              <w:ind w:left="112"/>
              <w:rPr>
                <w:rFonts w:eastAsia="Times New Roman"/>
                <w:spacing w:val="-2"/>
                <w:sz w:val="18"/>
                <w:szCs w:val="18"/>
              </w:rPr>
            </w:pPr>
            <w:r>
              <w:rPr>
                <w:sz w:val="18"/>
              </w:rPr>
              <w:t>AXM765v2</w:t>
            </w:r>
          </w:p>
        </w:tc>
      </w:tr>
      <w:tr w:rsidR="00DF3509" w:rsidRPr="001F545D" w14:paraId="69886F37" w14:textId="77777777">
        <w:trPr>
          <w:trHeight w:val="208"/>
        </w:trPr>
        <w:tc>
          <w:tcPr>
            <w:tcW w:w="1615" w:type="dxa"/>
            <w:tcBorders>
              <w:top w:val="single" w:sz="4" w:space="0" w:color="000000"/>
              <w:left w:val="single" w:sz="4" w:space="0" w:color="000000"/>
              <w:bottom w:val="single" w:sz="4" w:space="0" w:color="000000"/>
              <w:right w:val="single" w:sz="4" w:space="0" w:color="000000"/>
            </w:tcBorders>
          </w:tcPr>
          <w:p w14:paraId="5820A1B7"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A6210</w:t>
            </w:r>
          </w:p>
        </w:tc>
        <w:tc>
          <w:tcPr>
            <w:tcW w:w="1260" w:type="dxa"/>
            <w:tcBorders>
              <w:top w:val="single" w:sz="4" w:space="0" w:color="000000"/>
              <w:left w:val="single" w:sz="4" w:space="0" w:color="000000"/>
              <w:bottom w:val="single" w:sz="4" w:space="0" w:color="000000"/>
              <w:right w:val="single" w:sz="4" w:space="0" w:color="000000"/>
            </w:tcBorders>
          </w:tcPr>
          <w:p w14:paraId="76E8DCDE" w14:textId="77777777" w:rsidR="00DF3509" w:rsidRPr="001F545D" w:rsidRDefault="00DF3509">
            <w:pPr>
              <w:pStyle w:val="TableParagraph"/>
              <w:kinsoku w:val="0"/>
              <w:overflowPunct w:val="0"/>
              <w:spacing w:line="188" w:lineRule="exact"/>
              <w:ind w:left="108"/>
              <w:rPr>
                <w:rFonts w:eastAsia="Times New Roman"/>
                <w:spacing w:val="-2"/>
                <w:sz w:val="18"/>
                <w:szCs w:val="18"/>
              </w:rPr>
            </w:pPr>
            <w:r>
              <w:rPr>
                <w:sz w:val="18"/>
              </w:rPr>
              <w:t>ACC761</w:t>
            </w:r>
          </w:p>
        </w:tc>
        <w:tc>
          <w:tcPr>
            <w:tcW w:w="1259" w:type="dxa"/>
            <w:tcBorders>
              <w:top w:val="single" w:sz="4" w:space="0" w:color="000000"/>
              <w:left w:val="single" w:sz="4" w:space="0" w:color="000000"/>
              <w:bottom w:val="single" w:sz="4" w:space="0" w:color="000000"/>
              <w:right w:val="single" w:sz="4" w:space="0" w:color="000000"/>
            </w:tcBorders>
          </w:tcPr>
          <w:p w14:paraId="5E6E265C" w14:textId="77777777" w:rsidR="00DF3509" w:rsidRPr="001F545D" w:rsidRDefault="00DF3509">
            <w:pPr>
              <w:pStyle w:val="TableParagraph"/>
              <w:kinsoku w:val="0"/>
              <w:overflowPunct w:val="0"/>
              <w:spacing w:line="188" w:lineRule="exact"/>
              <w:ind w:left="108"/>
              <w:rPr>
                <w:rFonts w:eastAsia="Times New Roman"/>
                <w:spacing w:val="-2"/>
                <w:sz w:val="18"/>
                <w:szCs w:val="18"/>
              </w:rPr>
            </w:pPr>
            <w:r>
              <w:rPr>
                <w:sz w:val="18"/>
              </w:rPr>
              <w:t>ACM762</w:t>
            </w:r>
          </w:p>
        </w:tc>
        <w:tc>
          <w:tcPr>
            <w:tcW w:w="1259" w:type="dxa"/>
            <w:tcBorders>
              <w:top w:val="single" w:sz="4" w:space="0" w:color="000000"/>
              <w:left w:val="single" w:sz="4" w:space="0" w:color="000000"/>
              <w:bottom w:val="single" w:sz="4" w:space="0" w:color="000000"/>
              <w:right w:val="single" w:sz="4" w:space="0" w:color="000000"/>
            </w:tcBorders>
          </w:tcPr>
          <w:p w14:paraId="42C27F0C" w14:textId="77777777" w:rsidR="00DF3509" w:rsidRPr="001F545D" w:rsidRDefault="00DF3509">
            <w:pPr>
              <w:pStyle w:val="TableParagraph"/>
              <w:kinsoku w:val="0"/>
              <w:overflowPunct w:val="0"/>
              <w:spacing w:line="188" w:lineRule="exact"/>
              <w:ind w:left="110"/>
              <w:rPr>
                <w:rFonts w:eastAsia="Times New Roman"/>
                <w:spacing w:val="-2"/>
                <w:sz w:val="18"/>
                <w:szCs w:val="18"/>
              </w:rPr>
            </w:pPr>
            <w:r>
              <w:rPr>
                <w:sz w:val="18"/>
              </w:rPr>
              <w:t>AGM734</w:t>
            </w:r>
          </w:p>
        </w:tc>
        <w:tc>
          <w:tcPr>
            <w:tcW w:w="1259" w:type="dxa"/>
            <w:tcBorders>
              <w:top w:val="single" w:sz="4" w:space="0" w:color="000000"/>
              <w:left w:val="single" w:sz="4" w:space="0" w:color="000000"/>
              <w:bottom w:val="single" w:sz="4" w:space="0" w:color="000000"/>
              <w:right w:val="single" w:sz="4" w:space="0" w:color="000000"/>
            </w:tcBorders>
          </w:tcPr>
          <w:p w14:paraId="3A90D137" w14:textId="77777777" w:rsidR="00DF3509" w:rsidRPr="001F545D" w:rsidRDefault="00DF3509">
            <w:pPr>
              <w:pStyle w:val="TableParagraph"/>
              <w:kinsoku w:val="0"/>
              <w:overflowPunct w:val="0"/>
              <w:spacing w:line="188" w:lineRule="exact"/>
              <w:ind w:left="111"/>
              <w:rPr>
                <w:rFonts w:eastAsia="Times New Roman"/>
                <w:spacing w:val="-2"/>
                <w:sz w:val="18"/>
                <w:szCs w:val="18"/>
              </w:rPr>
            </w:pPr>
            <w:r>
              <w:rPr>
                <w:sz w:val="18"/>
              </w:rPr>
              <w:t>AXM763</w:t>
            </w:r>
          </w:p>
        </w:tc>
        <w:tc>
          <w:tcPr>
            <w:tcW w:w="1260" w:type="dxa"/>
            <w:tcBorders>
              <w:top w:val="single" w:sz="4" w:space="0" w:color="000000"/>
              <w:left w:val="single" w:sz="4" w:space="0" w:color="000000"/>
              <w:bottom w:val="single" w:sz="4" w:space="0" w:color="000000"/>
              <w:right w:val="single" w:sz="4" w:space="0" w:color="000000"/>
            </w:tcBorders>
          </w:tcPr>
          <w:p w14:paraId="60B70D5C" w14:textId="77777777" w:rsidR="00DF3509" w:rsidRPr="001F545D" w:rsidRDefault="0078115C" w:rsidP="003608D0">
            <w:pPr>
              <w:pStyle w:val="TableParagraph"/>
              <w:kinsoku w:val="0"/>
              <w:overflowPunct w:val="0"/>
              <w:spacing w:line="186" w:lineRule="exact"/>
              <w:ind w:left="111"/>
              <w:rPr>
                <w:rFonts w:ascii="Times New Roman" w:hAnsi="Times New Roman" w:cs="Times New Roman"/>
                <w:sz w:val="14"/>
                <w:szCs w:val="14"/>
              </w:rPr>
            </w:pPr>
            <w:r>
              <w:rPr>
                <w:sz w:val="18"/>
              </w:rPr>
              <w:t>RBK40</w:t>
            </w:r>
          </w:p>
        </w:tc>
      </w:tr>
    </w:tbl>
    <w:p w14:paraId="321F874B" w14:textId="77777777" w:rsidR="00DF3509" w:rsidRDefault="00DF3509">
      <w:pPr>
        <w:pStyle w:val="BodyText"/>
        <w:kinsoku w:val="0"/>
        <w:overflowPunct w:val="0"/>
        <w:spacing w:before="61" w:line="276" w:lineRule="auto"/>
        <w:ind w:left="840" w:right="1233"/>
        <w:jc w:val="both"/>
      </w:pPr>
      <w:r>
        <w:t>Questo apparecchio è conforme alla Parte 15 delle norme FCC. Il funzionamento è soggetto alle due condizioni indicate: (1) il dispositivo non deve causare interferenze dannose e (2) il dispositivo deve accettare qualsiasi interferenza ricevuta, compresa un'eventuale interferenza che potrebbe causare un funzionamento indesiderato.</w:t>
      </w:r>
    </w:p>
    <w:p w14:paraId="7E961AD0" w14:textId="77777777" w:rsidR="00DF3509" w:rsidRDefault="00DF3509">
      <w:pPr>
        <w:pStyle w:val="BodyText"/>
        <w:kinsoku w:val="0"/>
        <w:overflowPunct w:val="0"/>
        <w:spacing w:before="6"/>
        <w:rPr>
          <w:sz w:val="17"/>
          <w:szCs w:val="17"/>
        </w:rPr>
      </w:pPr>
    </w:p>
    <w:p w14:paraId="5F8FA435" w14:textId="77777777" w:rsidR="00DF3509" w:rsidRDefault="00DF3509">
      <w:pPr>
        <w:pStyle w:val="Heading2"/>
        <w:kinsoku w:val="0"/>
        <w:overflowPunct w:val="0"/>
        <w:rPr>
          <w:spacing w:val="-2"/>
        </w:rPr>
      </w:pPr>
      <w:bookmarkStart w:id="32" w:name="_bookmark16"/>
      <w:bookmarkStart w:id="33" w:name="_Toc147398210"/>
      <w:bookmarkEnd w:id="32"/>
      <w:r>
        <w:t>Istruzioni e avvertenze sulle frequenze radio FCC</w:t>
      </w:r>
      <w:bookmarkEnd w:id="33"/>
    </w:p>
    <w:p w14:paraId="249B6ED4" w14:textId="77777777" w:rsidR="00DF3509" w:rsidRDefault="00DF3509">
      <w:pPr>
        <w:pStyle w:val="BodyText"/>
        <w:kinsoku w:val="0"/>
        <w:overflowPunct w:val="0"/>
        <w:spacing w:before="103" w:line="278" w:lineRule="auto"/>
        <w:ind w:left="840" w:right="1173"/>
        <w:jc w:val="both"/>
        <w:rPr>
          <w:spacing w:val="-2"/>
        </w:rPr>
      </w:pPr>
      <w:r>
        <w:t>Per i prodotti disponibili nel mercato statunitense, è possibile utilizzare soltanto il canale 1~11. La selezione di altri canali non è possibile.</w:t>
      </w:r>
    </w:p>
    <w:p w14:paraId="79F7923B" w14:textId="77777777" w:rsidR="00DF3509" w:rsidRDefault="00DF3509">
      <w:pPr>
        <w:pStyle w:val="BodyText"/>
        <w:kinsoku w:val="0"/>
        <w:overflowPunct w:val="0"/>
        <w:spacing w:before="1"/>
        <w:rPr>
          <w:sz w:val="17"/>
          <w:szCs w:val="17"/>
        </w:rPr>
      </w:pPr>
    </w:p>
    <w:p w14:paraId="29B1CBC2" w14:textId="77777777" w:rsidR="00DF3509" w:rsidRDefault="00DF3509">
      <w:pPr>
        <w:pStyle w:val="Heading3"/>
        <w:kinsoku w:val="0"/>
        <w:overflowPunct w:val="0"/>
        <w:jc w:val="both"/>
        <w:rPr>
          <w:spacing w:val="-2"/>
        </w:rPr>
      </w:pPr>
      <w:bookmarkStart w:id="34" w:name="_bookmark17"/>
      <w:bookmarkStart w:id="35" w:name="_Toc147398211"/>
      <w:bookmarkEnd w:id="34"/>
      <w:r>
        <w:t>Utilizzo della selezione del codice del Paese (dispositivi WLAN)</w:t>
      </w:r>
      <w:bookmarkEnd w:id="35"/>
    </w:p>
    <w:p w14:paraId="24E2A1BA" w14:textId="77777777" w:rsidR="00DF3509" w:rsidRDefault="00DF3509">
      <w:pPr>
        <w:pStyle w:val="BodyText"/>
        <w:kinsoku w:val="0"/>
        <w:overflowPunct w:val="0"/>
        <w:spacing w:before="91" w:line="278" w:lineRule="auto"/>
        <w:ind w:left="840" w:right="1159"/>
        <w:jc w:val="both"/>
      </w:pPr>
      <w:r>
        <w:t>La selezione del codice del Paese è valida solo per i modelli non statunitensi e non è disponibile per tutti i modelli statunitensi. In base alle normative FCC, tutti i prodotti Wi-Fi commercializzati negli Stati Uniti devono essere utilizzati solo sui canali operativi degli Stati Uniti.</w:t>
      </w:r>
    </w:p>
    <w:p w14:paraId="256324A7" w14:textId="77777777" w:rsidR="00DF3509" w:rsidRDefault="00DF3509">
      <w:pPr>
        <w:pStyle w:val="BodyText"/>
        <w:kinsoku w:val="0"/>
        <w:overflowPunct w:val="0"/>
        <w:spacing w:before="1"/>
        <w:rPr>
          <w:sz w:val="17"/>
          <w:szCs w:val="17"/>
        </w:rPr>
      </w:pPr>
    </w:p>
    <w:p w14:paraId="6781EA77" w14:textId="77777777" w:rsidR="00DF3509" w:rsidRDefault="00DF3509">
      <w:pPr>
        <w:pStyle w:val="BodyText"/>
        <w:kinsoku w:val="0"/>
        <w:overflowPunct w:val="0"/>
        <w:spacing w:line="276" w:lineRule="auto"/>
        <w:ind w:left="840" w:right="873"/>
        <w:rPr>
          <w:color w:val="FF0000"/>
        </w:rPr>
      </w:pPr>
      <w:r>
        <w:t>Questo prodotto NETGEAR deve essere utilizzato solo con antenne approvate. Questo dispositivo e le relative antenne non devono essere posizionati accanto a o utilizzati con altre antenne o trasmettitori, tranne nel caso in cui non sia permesso dalle procedure inerenti a prodotti multi-trasmettitore a norma FCC</w:t>
      </w:r>
      <w:r>
        <w:rPr>
          <w:color w:val="FF0000"/>
        </w:rPr>
        <w:t>.</w:t>
      </w:r>
    </w:p>
    <w:p w14:paraId="7E0CC239" w14:textId="77777777" w:rsidR="00DF3509" w:rsidRDefault="00DF3509">
      <w:pPr>
        <w:pStyle w:val="BodyText"/>
        <w:kinsoku w:val="0"/>
        <w:overflowPunct w:val="0"/>
        <w:spacing w:before="2"/>
        <w:rPr>
          <w:sz w:val="17"/>
          <w:szCs w:val="17"/>
        </w:rPr>
      </w:pPr>
    </w:p>
    <w:p w14:paraId="4A841398" w14:textId="77777777" w:rsidR="00DF3509" w:rsidRDefault="00DF3509">
      <w:pPr>
        <w:pStyle w:val="BodyText"/>
        <w:kinsoku w:val="0"/>
        <w:overflowPunct w:val="0"/>
        <w:spacing w:before="1" w:line="280" w:lineRule="auto"/>
        <w:ind w:left="840" w:right="873"/>
      </w:pPr>
      <w:r>
        <w:t>Il dispositivo e le relative antenne non devono essere posizionati ravvicinati o utilizzati con altre antenne o trasmettitori, tranne nel caso in cui non sia permesso dalle normative FCC.</w:t>
      </w:r>
    </w:p>
    <w:p w14:paraId="47F0970B" w14:textId="77777777" w:rsidR="00DF3509" w:rsidRDefault="00DF3509">
      <w:pPr>
        <w:pStyle w:val="BodyText"/>
        <w:kinsoku w:val="0"/>
        <w:overflowPunct w:val="0"/>
        <w:spacing w:before="8"/>
        <w:rPr>
          <w:sz w:val="16"/>
          <w:szCs w:val="16"/>
        </w:rPr>
      </w:pPr>
    </w:p>
    <w:p w14:paraId="73DF5F41" w14:textId="77777777" w:rsidR="00DF3509" w:rsidRDefault="00DF3509">
      <w:pPr>
        <w:pStyle w:val="BodyText"/>
        <w:kinsoku w:val="0"/>
        <w:overflowPunct w:val="0"/>
        <w:spacing w:line="278" w:lineRule="auto"/>
        <w:ind w:left="840" w:right="1060"/>
        <w:jc w:val="both"/>
      </w:pPr>
      <w:r>
        <w:t>Avviso FCC: qualsiasi cambiamento o modifica non approvata espressamente dall'ente responsabile della conformità potrebbe precludere il diritto dell'utente all'utilizzo del presente apparecchio.</w:t>
      </w:r>
    </w:p>
    <w:p w14:paraId="5B562DC8" w14:textId="77777777" w:rsidR="00DF3509" w:rsidRDefault="00DF3509">
      <w:pPr>
        <w:pStyle w:val="BodyText"/>
        <w:kinsoku w:val="0"/>
        <w:overflowPunct w:val="0"/>
        <w:spacing w:before="1"/>
        <w:rPr>
          <w:sz w:val="17"/>
          <w:szCs w:val="17"/>
        </w:rPr>
      </w:pPr>
    </w:p>
    <w:p w14:paraId="14274486" w14:textId="77777777" w:rsidR="00DF3509" w:rsidRDefault="00DF3509">
      <w:pPr>
        <w:pStyle w:val="Heading3"/>
        <w:kinsoku w:val="0"/>
        <w:overflowPunct w:val="0"/>
        <w:rPr>
          <w:spacing w:val="-2"/>
        </w:rPr>
      </w:pPr>
      <w:bookmarkStart w:id="36" w:name="_bookmark18"/>
      <w:bookmarkStart w:id="37" w:name="_Toc147398212"/>
      <w:bookmarkEnd w:id="36"/>
      <w:r>
        <w:t>Dispositivi Wi-Fi da 5,9 e 6 GHz</w:t>
      </w:r>
      <w:bookmarkEnd w:id="37"/>
    </w:p>
    <w:p w14:paraId="417C8D9D" w14:textId="77777777" w:rsidR="00DF3509" w:rsidRDefault="00DF3509">
      <w:pPr>
        <w:pStyle w:val="BodyText"/>
        <w:kinsoku w:val="0"/>
        <w:overflowPunct w:val="0"/>
        <w:spacing w:before="91" w:line="276" w:lineRule="auto"/>
        <w:ind w:left="840" w:right="873"/>
        <w:rPr>
          <w:spacing w:val="-2"/>
        </w:rPr>
      </w:pPr>
      <w:r>
        <w:t>Le normative FCC limitano l'utilizzo di questo dispositivo esclusivamente agli ambienti interni. Questo dispositivo non può essere utilizzato per fornire il collegamento tra edifici o strutture separate. L'utilizzo è vietato su piattaforme petrolifere, automobili, treni, barche e aerei, a eccezione di aerei di grandi dimensioni che volano sopra i 3.000 m (10.000 piedi) di altezza. L'utilizzo di trasmettitori nella banda da 5,915 a 7,125 GHz è vietato per il controllo o le comunicazioni con sistemi aerei non presidiati.</w:t>
      </w:r>
    </w:p>
    <w:p w14:paraId="62519E12" w14:textId="77777777" w:rsidR="00DF3509" w:rsidRDefault="00DF3509">
      <w:pPr>
        <w:pStyle w:val="BodyText"/>
        <w:kinsoku w:val="0"/>
        <w:overflowPunct w:val="0"/>
        <w:spacing w:before="6"/>
        <w:rPr>
          <w:sz w:val="17"/>
          <w:szCs w:val="17"/>
        </w:rPr>
      </w:pPr>
    </w:p>
    <w:p w14:paraId="7029F0CD" w14:textId="77777777" w:rsidR="00DF3509" w:rsidRDefault="00DF3509">
      <w:pPr>
        <w:pStyle w:val="Heading2"/>
        <w:kinsoku w:val="0"/>
        <w:overflowPunct w:val="0"/>
        <w:rPr>
          <w:spacing w:val="-2"/>
        </w:rPr>
      </w:pPr>
      <w:bookmarkStart w:id="38" w:name="_bookmark19"/>
      <w:bookmarkStart w:id="39" w:name="_Toc147398213"/>
      <w:bookmarkEnd w:id="38"/>
      <w:r>
        <w:t>Dichiarazioni FCC sull'esposizione alle radiofrequenze e informative SAR</w:t>
      </w:r>
      <w:bookmarkEnd w:id="39"/>
    </w:p>
    <w:p w14:paraId="1407E7A1" w14:textId="77777777" w:rsidR="00DF3509" w:rsidRDefault="00DF3509">
      <w:pPr>
        <w:pStyle w:val="Heading3"/>
        <w:kinsoku w:val="0"/>
        <w:overflowPunct w:val="0"/>
        <w:spacing w:before="244" w:line="276" w:lineRule="auto"/>
        <w:ind w:right="873"/>
        <w:rPr>
          <w:spacing w:val="-2"/>
        </w:rPr>
      </w:pPr>
      <w:bookmarkStart w:id="40" w:name="_bookmark20"/>
      <w:bookmarkStart w:id="41" w:name="_Toc147398214"/>
      <w:bookmarkEnd w:id="40"/>
      <w:r>
        <w:t>Le informazioni contenute in questa sezione si applicano ai prodotti che trasmettono dati o comunicano in modalità wireless - Dichiarazione SAR</w:t>
      </w:r>
      <w:bookmarkEnd w:id="41"/>
    </w:p>
    <w:p w14:paraId="0E4DC869" w14:textId="77777777" w:rsidR="00DF3509" w:rsidRDefault="00DF3509">
      <w:pPr>
        <w:pStyle w:val="BodyText"/>
        <w:kinsoku w:val="0"/>
        <w:overflowPunct w:val="0"/>
        <w:spacing w:before="59" w:line="278" w:lineRule="auto"/>
        <w:ind w:left="840" w:right="873"/>
      </w:pPr>
      <w:r>
        <w:t>Le informazioni contenute in questa sezione si applicano ai prodotti wireless NETGEAR destinati all'uso in prossimità del corpo umano.</w:t>
      </w:r>
    </w:p>
    <w:p w14:paraId="590E0B1B" w14:textId="77777777" w:rsidR="00DF3509" w:rsidRDefault="00DF3509">
      <w:pPr>
        <w:pStyle w:val="BodyText"/>
        <w:kinsoku w:val="0"/>
        <w:overflowPunct w:val="0"/>
        <w:spacing w:before="1"/>
        <w:rPr>
          <w:sz w:val="17"/>
          <w:szCs w:val="17"/>
        </w:rPr>
      </w:pPr>
    </w:p>
    <w:p w14:paraId="5B2C97D8" w14:textId="3A76DD6F" w:rsidR="00DF3509" w:rsidRDefault="00DF3509" w:rsidP="00692195">
      <w:pPr>
        <w:pStyle w:val="BodyText"/>
        <w:kinsoku w:val="0"/>
        <w:overflowPunct w:val="0"/>
        <w:spacing w:line="276" w:lineRule="auto"/>
        <w:ind w:left="840" w:right="779"/>
      </w:pPr>
      <w:r>
        <w:t xml:space="preserve">I prodotti NETGEAR destinati all'uso in prossimità del corpo umano vengono testati per verificarne la conformità al tasso specifico di assorbimento (SAR). Questo prodotto è conforme ai requisiti SAR nazionali applicabili di 1,6 W/kg. Quando si trasporta il prodotto o lo si utilizza indossandolo, mantenerlo a una distanza di 10 mm dal corpo per </w:t>
      </w:r>
      <w:r>
        <w:lastRenderedPageBreak/>
        <w:t>garantire la conformità ai</w:t>
      </w:r>
      <w:r w:rsidR="00692195">
        <w:t xml:space="preserve"> </w:t>
      </w:r>
      <w:r>
        <w:t>requisiti sull'esposizione alle radiofrequenze. Per verificare la distanza minima, per ulteriori dettagli e per visualizzare il livello SAR più elevato misurato su questo dispositivo, consultare la sezione Esposizione alle radiofrequenze all'indirizzo:</w:t>
      </w:r>
    </w:p>
    <w:p w14:paraId="58CA11F5" w14:textId="77777777" w:rsidR="00DF3509" w:rsidRDefault="00DF3509">
      <w:pPr>
        <w:pStyle w:val="BodyText"/>
        <w:kinsoku w:val="0"/>
        <w:overflowPunct w:val="0"/>
        <w:spacing w:before="4"/>
        <w:rPr>
          <w:sz w:val="17"/>
          <w:szCs w:val="17"/>
        </w:rPr>
      </w:pPr>
    </w:p>
    <w:p w14:paraId="5B1FD1B3" w14:textId="4F1D76F1" w:rsidR="00DF3509" w:rsidRDefault="00000000">
      <w:pPr>
        <w:pStyle w:val="BodyText"/>
        <w:kinsoku w:val="0"/>
        <w:overflowPunct w:val="0"/>
        <w:ind w:left="840"/>
        <w:rPr>
          <w:color w:val="0000FF"/>
          <w:spacing w:val="-2"/>
        </w:rPr>
      </w:pPr>
      <w:hyperlink r:id="rId23" w:history="1">
        <w:r w:rsidR="00DF3509">
          <w:rPr>
            <w:color w:val="0000FF"/>
            <w:u w:val="single"/>
          </w:rPr>
          <w:t>https://www.netgear.com/it/about/regulatory/</w:t>
        </w:r>
      </w:hyperlink>
    </w:p>
    <w:p w14:paraId="6EBC96DE" w14:textId="77777777" w:rsidR="00DF3509" w:rsidRDefault="00DF3509">
      <w:pPr>
        <w:pStyle w:val="BodyText"/>
        <w:kinsoku w:val="0"/>
        <w:overflowPunct w:val="0"/>
        <w:spacing w:before="6"/>
        <w:rPr>
          <w:sz w:val="11"/>
          <w:szCs w:val="11"/>
        </w:rPr>
      </w:pPr>
    </w:p>
    <w:p w14:paraId="53F4B07E" w14:textId="77777777" w:rsidR="00DF3509" w:rsidRDefault="00DF3509">
      <w:pPr>
        <w:pStyle w:val="BodyText"/>
        <w:kinsoku w:val="0"/>
        <w:overflowPunct w:val="0"/>
        <w:spacing w:before="95" w:line="276" w:lineRule="auto"/>
        <w:ind w:left="840" w:right="873"/>
      </w:pPr>
      <w:r>
        <w:t>I trasmettitori dongle USB NETGEAR sono approvati per l'uso nei computer portatili tipici. Al fine di conformarsi alle normative FCC sull'esposizione alle radiofrequenze, non utilizzare i trasmettitori dongle USB NETGEAR in altri dispositivi o in alcune configurazioni di laptop e tablet computer in cui i connettori USB sul computer host non siano in grado di fornire o garantire le configurazioni operative necessarie affinché il dispositivo e i suoi utenti o spettatori soddisfino i requisiti di conformità alle normative FCC sull'esposizione alle radiofrequenze.</w:t>
      </w:r>
    </w:p>
    <w:p w14:paraId="6D23B6B3" w14:textId="77777777" w:rsidR="00DF3509" w:rsidRDefault="00DF3509">
      <w:pPr>
        <w:pStyle w:val="BodyText"/>
        <w:kinsoku w:val="0"/>
        <w:overflowPunct w:val="0"/>
        <w:spacing w:before="3"/>
        <w:rPr>
          <w:sz w:val="17"/>
          <w:szCs w:val="17"/>
        </w:rPr>
      </w:pPr>
    </w:p>
    <w:p w14:paraId="0E24E492" w14:textId="77777777" w:rsidR="00DF3509" w:rsidRDefault="00DF3509">
      <w:pPr>
        <w:pStyle w:val="Heading3"/>
        <w:kinsoku w:val="0"/>
        <w:overflowPunct w:val="0"/>
        <w:spacing w:before="1"/>
        <w:rPr>
          <w:spacing w:val="-2"/>
        </w:rPr>
      </w:pPr>
      <w:bookmarkStart w:id="42" w:name="_bookmark21"/>
      <w:bookmarkStart w:id="43" w:name="_Toc147398215"/>
      <w:bookmarkEnd w:id="42"/>
      <w:r>
        <w:t>Dichiarazione sull'esposizione massima consentita (MPE)</w:t>
      </w:r>
      <w:bookmarkEnd w:id="43"/>
    </w:p>
    <w:p w14:paraId="38616C1D" w14:textId="77777777" w:rsidR="00DF3509" w:rsidRDefault="00DF3509">
      <w:pPr>
        <w:pStyle w:val="BodyText"/>
        <w:kinsoku w:val="0"/>
        <w:overflowPunct w:val="0"/>
        <w:spacing w:before="93" w:line="278" w:lineRule="auto"/>
        <w:ind w:left="840" w:right="779"/>
      </w:pPr>
      <w:r>
        <w:t>Le informazioni contenute in questa sezione si applicano ai prodotti wireless NETGEAR destinati a essere utilizzati ad almeno 20 cm di distanza dal corpo umano.</w:t>
      </w:r>
    </w:p>
    <w:p w14:paraId="0C7D5B6C" w14:textId="77777777" w:rsidR="00DF3509" w:rsidRDefault="00DF3509">
      <w:pPr>
        <w:pStyle w:val="BodyText"/>
        <w:kinsoku w:val="0"/>
        <w:overflowPunct w:val="0"/>
        <w:spacing w:before="10"/>
        <w:rPr>
          <w:sz w:val="16"/>
          <w:szCs w:val="16"/>
        </w:rPr>
      </w:pPr>
    </w:p>
    <w:p w14:paraId="4028EB44" w14:textId="77777777" w:rsidR="00DF3509" w:rsidRDefault="00DF3509">
      <w:pPr>
        <w:pStyle w:val="BodyText"/>
        <w:kinsoku w:val="0"/>
        <w:overflowPunct w:val="0"/>
        <w:spacing w:before="1" w:line="278" w:lineRule="auto"/>
        <w:ind w:left="840" w:right="779"/>
      </w:pPr>
      <w:r>
        <w:t>I prodotti NETGEAR sono conformi ai limiti stabiliti dalla FCC per l'esposizione a radiazioni in ambiente non controllato. Si consiglia di installare e utilizzare questo apparecchio mantenendo una distanza minima di 35 cm tra il radiatore e il corpo dell'utente. Per verificare la distanza minima e per ulteriori dettagli su prodotti specifici, consultare la sezione Esposizione alle radiofrequenze all'indirizzo:</w:t>
      </w:r>
    </w:p>
    <w:p w14:paraId="7CD66FE8" w14:textId="77777777" w:rsidR="00DF3509" w:rsidRDefault="00DF3509">
      <w:pPr>
        <w:pStyle w:val="BodyText"/>
        <w:kinsoku w:val="0"/>
        <w:overflowPunct w:val="0"/>
        <w:spacing w:before="9"/>
        <w:rPr>
          <w:sz w:val="16"/>
          <w:szCs w:val="16"/>
        </w:rPr>
      </w:pPr>
    </w:p>
    <w:p w14:paraId="4990202D" w14:textId="2C55C665" w:rsidR="00DF3509" w:rsidRDefault="00000000">
      <w:pPr>
        <w:pStyle w:val="BodyText"/>
        <w:kinsoku w:val="0"/>
        <w:overflowPunct w:val="0"/>
        <w:spacing w:before="1"/>
        <w:ind w:left="840"/>
        <w:rPr>
          <w:color w:val="0000FF"/>
          <w:spacing w:val="-2"/>
        </w:rPr>
      </w:pPr>
      <w:hyperlink r:id="rId24" w:history="1">
        <w:r w:rsidR="00DF3509">
          <w:rPr>
            <w:color w:val="0000FF"/>
            <w:u w:val="single"/>
          </w:rPr>
          <w:t>https://www.netgear.com/it/about/regulatory/</w:t>
        </w:r>
      </w:hyperlink>
    </w:p>
    <w:p w14:paraId="392F32CB" w14:textId="77777777" w:rsidR="00DF3509" w:rsidRDefault="00DF3509">
      <w:pPr>
        <w:pStyle w:val="BodyText"/>
        <w:kinsoku w:val="0"/>
        <w:overflowPunct w:val="0"/>
        <w:spacing w:before="1"/>
        <w:rPr>
          <w:sz w:val="20"/>
          <w:szCs w:val="20"/>
        </w:rPr>
      </w:pPr>
    </w:p>
    <w:p w14:paraId="62BC646B" w14:textId="77777777" w:rsidR="00DF3509" w:rsidRDefault="00DF3509">
      <w:pPr>
        <w:pStyle w:val="Heading2"/>
        <w:kinsoku w:val="0"/>
        <w:overflowPunct w:val="0"/>
        <w:rPr>
          <w:spacing w:val="-5"/>
        </w:rPr>
      </w:pPr>
      <w:bookmarkStart w:id="44" w:name="_bookmark22"/>
      <w:bookmarkStart w:id="45" w:name="_Toc147398216"/>
      <w:bookmarkEnd w:id="44"/>
      <w:r>
        <w:t>Precauzioni specifiche per EMC</w:t>
      </w:r>
      <w:bookmarkEnd w:id="45"/>
    </w:p>
    <w:p w14:paraId="7065526E" w14:textId="77777777" w:rsidR="00DF3509" w:rsidRDefault="00DF3509">
      <w:pPr>
        <w:pStyle w:val="BodyText"/>
        <w:kinsoku w:val="0"/>
        <w:overflowPunct w:val="0"/>
        <w:spacing w:before="103" w:line="278" w:lineRule="auto"/>
        <w:ind w:left="840" w:right="873"/>
      </w:pPr>
      <w:r>
        <w:t>I prodotti NETGEAR, come tutti i piccoli switch, moduli e dispositivi wireless, sono dispositivi EMC di classe B. Gli switch Ethernet con più di 8 porte sono, generalmente, considerati dispositivi EMC di classe A.</w:t>
      </w:r>
    </w:p>
    <w:p w14:paraId="7A1845EF" w14:textId="77777777" w:rsidR="00DF3509" w:rsidRDefault="00DF3509">
      <w:pPr>
        <w:pStyle w:val="BodyText"/>
        <w:kinsoku w:val="0"/>
        <w:overflowPunct w:val="0"/>
        <w:spacing w:before="1"/>
        <w:rPr>
          <w:sz w:val="17"/>
          <w:szCs w:val="17"/>
        </w:rPr>
      </w:pPr>
    </w:p>
    <w:p w14:paraId="103FEB52" w14:textId="77777777" w:rsidR="00DF3509" w:rsidRDefault="00DF3509">
      <w:pPr>
        <w:pStyle w:val="Heading3"/>
        <w:kinsoku w:val="0"/>
        <w:overflowPunct w:val="0"/>
        <w:rPr>
          <w:spacing w:val="-2"/>
        </w:rPr>
      </w:pPr>
      <w:bookmarkStart w:id="46" w:name="_bookmark23"/>
      <w:bookmarkStart w:id="47" w:name="_Toc147398217"/>
      <w:bookmarkEnd w:id="46"/>
      <w:r>
        <w:t>Prodotti di classe B</w:t>
      </w:r>
      <w:bookmarkEnd w:id="47"/>
    </w:p>
    <w:p w14:paraId="7F336840" w14:textId="77777777" w:rsidR="00DF3509" w:rsidRDefault="00DF3509">
      <w:pPr>
        <w:pStyle w:val="BodyText"/>
        <w:kinsoku w:val="0"/>
        <w:overflowPunct w:val="0"/>
        <w:spacing w:before="90" w:line="276" w:lineRule="auto"/>
        <w:ind w:left="840" w:right="779"/>
      </w:pPr>
      <w:r>
        <w:t>Il prodotto NETGEAR è stato sottoposto a test ed è risultato conforme ai limiti relativi ai dispositivi digitali di classe B, ai sensi della Parte 15 delle norme FCC. Tali limiti sono stati concepiti per fornire una protezione ragionevole da interferenze dannose in un impianto residenziale. Questo apparecchio utilizza e può emettere energia a radiofrequenza e, se installato e impiegato diversamente dalle indicazioni fornite, può causare interferenze dannose per le comunicazioni radio. Tuttavia, non esiste alcuna garanzia che non si verificheranno interferenze in un particolare impianto. Se questo apparecchio causasse interferenze dannose per la ricezione delle trasmissioni radio o televisive, determinabili spegnendo e riaccendendo l'apparecchio stesso, si consiglia all'utente di cercare di risolvere il problema adottando i seguenti metodi:</w:t>
      </w:r>
    </w:p>
    <w:p w14:paraId="723359AE" w14:textId="77777777" w:rsidR="00DF3509" w:rsidRDefault="00DF3509">
      <w:pPr>
        <w:pStyle w:val="BodyText"/>
        <w:kinsoku w:val="0"/>
        <w:overflowPunct w:val="0"/>
        <w:spacing w:before="6"/>
        <w:rPr>
          <w:sz w:val="17"/>
          <w:szCs w:val="17"/>
        </w:rPr>
      </w:pPr>
    </w:p>
    <w:p w14:paraId="370460EC" w14:textId="77777777" w:rsidR="00DF3509" w:rsidRDefault="00DF3509">
      <w:pPr>
        <w:pStyle w:val="ListParagraph"/>
        <w:numPr>
          <w:ilvl w:val="0"/>
          <w:numId w:val="4"/>
        </w:numPr>
        <w:tabs>
          <w:tab w:val="left" w:pos="1560"/>
        </w:tabs>
        <w:kinsoku w:val="0"/>
        <w:overflowPunct w:val="0"/>
        <w:rPr>
          <w:spacing w:val="-2"/>
          <w:sz w:val="18"/>
          <w:szCs w:val="18"/>
        </w:rPr>
      </w:pPr>
      <w:r>
        <w:rPr>
          <w:sz w:val="18"/>
        </w:rPr>
        <w:t>Cambiare l'orientamento o la posizione dell'antenna ricevente.</w:t>
      </w:r>
    </w:p>
    <w:p w14:paraId="3E070930" w14:textId="77777777" w:rsidR="00DF3509" w:rsidRDefault="00DF3509">
      <w:pPr>
        <w:pStyle w:val="ListParagraph"/>
        <w:numPr>
          <w:ilvl w:val="0"/>
          <w:numId w:val="4"/>
        </w:numPr>
        <w:tabs>
          <w:tab w:val="left" w:pos="1560"/>
        </w:tabs>
        <w:kinsoku w:val="0"/>
        <w:overflowPunct w:val="0"/>
        <w:spacing w:before="29"/>
        <w:rPr>
          <w:spacing w:val="-2"/>
          <w:sz w:val="18"/>
          <w:szCs w:val="18"/>
        </w:rPr>
      </w:pPr>
      <w:r>
        <w:rPr>
          <w:sz w:val="18"/>
        </w:rPr>
        <w:t>Aumentare la distanza tra l'apparecchio e il ricevitore.</w:t>
      </w:r>
    </w:p>
    <w:p w14:paraId="2EF84CE8" w14:textId="77777777" w:rsidR="00DF3509" w:rsidRDefault="00DF3509">
      <w:pPr>
        <w:pStyle w:val="ListParagraph"/>
        <w:numPr>
          <w:ilvl w:val="0"/>
          <w:numId w:val="4"/>
        </w:numPr>
        <w:tabs>
          <w:tab w:val="left" w:pos="1560"/>
        </w:tabs>
        <w:kinsoku w:val="0"/>
        <w:overflowPunct w:val="0"/>
        <w:spacing w:before="29" w:line="271" w:lineRule="auto"/>
        <w:ind w:right="1179"/>
        <w:rPr>
          <w:spacing w:val="-2"/>
          <w:sz w:val="18"/>
          <w:szCs w:val="18"/>
        </w:rPr>
      </w:pPr>
      <w:r>
        <w:rPr>
          <w:sz w:val="18"/>
        </w:rPr>
        <w:t>Collegare l'apparecchio alla presa elettrica di un circuito diverso da quello a cui è collegato il ricevitore radio.</w:t>
      </w:r>
    </w:p>
    <w:p w14:paraId="06AB2B4A" w14:textId="77777777" w:rsidR="00DF3509" w:rsidRDefault="00DF3509">
      <w:pPr>
        <w:pStyle w:val="ListParagraph"/>
        <w:numPr>
          <w:ilvl w:val="0"/>
          <w:numId w:val="4"/>
        </w:numPr>
        <w:tabs>
          <w:tab w:val="left" w:pos="1560"/>
        </w:tabs>
        <w:kinsoku w:val="0"/>
        <w:overflowPunct w:val="0"/>
        <w:spacing w:before="7"/>
        <w:rPr>
          <w:spacing w:val="-2"/>
          <w:sz w:val="18"/>
          <w:szCs w:val="18"/>
        </w:rPr>
      </w:pPr>
      <w:r>
        <w:rPr>
          <w:sz w:val="18"/>
        </w:rPr>
        <w:t>Rivolgersi al rivenditore o a un tecnico radiotelevisivo qualificato.</w:t>
      </w:r>
    </w:p>
    <w:p w14:paraId="6FA8628A" w14:textId="77777777" w:rsidR="00DF3509" w:rsidRDefault="00DF3509">
      <w:pPr>
        <w:pStyle w:val="BodyText"/>
        <w:kinsoku w:val="0"/>
        <w:overflowPunct w:val="0"/>
        <w:spacing w:before="10"/>
        <w:rPr>
          <w:sz w:val="19"/>
          <w:szCs w:val="19"/>
        </w:rPr>
      </w:pPr>
    </w:p>
    <w:p w14:paraId="29D92BDD" w14:textId="77777777" w:rsidR="00DF3509" w:rsidRDefault="00DF3509">
      <w:pPr>
        <w:pStyle w:val="Heading3"/>
        <w:kinsoku w:val="0"/>
        <w:overflowPunct w:val="0"/>
        <w:rPr>
          <w:spacing w:val="-2"/>
        </w:rPr>
      </w:pPr>
      <w:bookmarkStart w:id="48" w:name="_bookmark24"/>
      <w:bookmarkStart w:id="49" w:name="_Toc147398218"/>
      <w:bookmarkEnd w:id="48"/>
      <w:r>
        <w:t>Prodotti di classe A</w:t>
      </w:r>
      <w:bookmarkEnd w:id="49"/>
    </w:p>
    <w:p w14:paraId="0B748E23" w14:textId="77777777" w:rsidR="00B86445" w:rsidRDefault="00DF3509">
      <w:pPr>
        <w:pStyle w:val="BodyText"/>
        <w:kinsoku w:val="0"/>
        <w:overflowPunct w:val="0"/>
        <w:spacing w:before="91" w:line="276" w:lineRule="auto"/>
        <w:ind w:left="840" w:right="873"/>
        <w:sectPr w:rsidR="00B86445">
          <w:pgSz w:w="12240" w:h="15840"/>
          <w:pgMar w:top="1360" w:right="680" w:bottom="1140" w:left="600" w:header="0" w:footer="950" w:gutter="0"/>
          <w:cols w:space="720"/>
          <w:noEndnote/>
        </w:sectPr>
      </w:pPr>
      <w:r>
        <w:t>Il prodotto NETGEAR è stato sottoposto a test ed è risultato conforme ai limiti relativi ai dispositivi digitali di classe A, ai sensi della Parte 15 delle norme FCC. Tali limiti sono stati concepiti per fornire una protezione ragionevole da interferenze dannose quando l'apparecchio è utilizzato in un ambiente commerciale. Questo apparecchio genera, utilizza e può emettere energia a radiofrequenza e, se installato e impiegato diversamente da quanto indicato sul manuale di istruzioni, può causare interferenze dannose per le comunicazioni radio. L'utilizzo di questo apparecchio in un'area residenziale può causare interferenze dannose. In tal caso, l'utente sarà tenuto a risolvere il problema a proprie spese.</w:t>
      </w:r>
    </w:p>
    <w:p w14:paraId="117D87D2" w14:textId="77777777" w:rsidR="00DF3509" w:rsidRDefault="00DF3509">
      <w:pPr>
        <w:pStyle w:val="Heading1"/>
        <w:kinsoku w:val="0"/>
        <w:overflowPunct w:val="0"/>
        <w:spacing w:line="276" w:lineRule="auto"/>
        <w:ind w:right="873"/>
      </w:pPr>
      <w:bookmarkStart w:id="50" w:name="_bookmark25"/>
      <w:bookmarkStart w:id="51" w:name="_bookmark26"/>
      <w:bookmarkStart w:id="52" w:name="_Toc147398219"/>
      <w:bookmarkEnd w:id="50"/>
      <w:bookmarkEnd w:id="51"/>
      <w:r>
        <w:lastRenderedPageBreak/>
        <w:t>Disposizioni dell'ISED (Innovation, Science and Economic Development) canadese</w:t>
      </w:r>
      <w:bookmarkEnd w:id="52"/>
    </w:p>
    <w:p w14:paraId="17D0321F" w14:textId="77777777" w:rsidR="00DF3509" w:rsidRDefault="00DF3509">
      <w:pPr>
        <w:pStyle w:val="BodyText"/>
        <w:kinsoku w:val="0"/>
        <w:overflowPunct w:val="0"/>
        <w:spacing w:before="61"/>
        <w:ind w:left="840"/>
        <w:rPr>
          <w:spacing w:val="-2"/>
        </w:rPr>
      </w:pPr>
      <w:r>
        <w:t>Le informazioni contenute in questa sezione si applicano ai prodotti recanti una delle seguenti informative:</w:t>
      </w:r>
    </w:p>
    <w:p w14:paraId="291F96E5" w14:textId="77777777" w:rsidR="00DF3509" w:rsidRDefault="00DF3509">
      <w:pPr>
        <w:pStyle w:val="BodyText"/>
        <w:kinsoku w:val="0"/>
        <w:overflowPunct w:val="0"/>
        <w:rPr>
          <w:sz w:val="20"/>
          <w:szCs w:val="20"/>
        </w:rPr>
      </w:pPr>
    </w:p>
    <w:p w14:paraId="3BEC9B8B" w14:textId="77777777" w:rsidR="00DF3509" w:rsidRPr="00D64177" w:rsidRDefault="00DF3509">
      <w:pPr>
        <w:pStyle w:val="BodyText"/>
        <w:kinsoku w:val="0"/>
        <w:overflowPunct w:val="0"/>
        <w:spacing w:line="415" w:lineRule="auto"/>
        <w:ind w:left="1560" w:right="6522"/>
        <w:rPr>
          <w:spacing w:val="-2"/>
        </w:rPr>
      </w:pPr>
      <w:r>
        <w:t>CAN ICES-003(B)/NMB-003(B) CAN ICES-003(A)/NMB-003(A)</w:t>
      </w:r>
    </w:p>
    <w:p w14:paraId="7F1800DA" w14:textId="77777777" w:rsidR="00DF3509" w:rsidRDefault="00DF3509">
      <w:pPr>
        <w:pStyle w:val="BodyText"/>
        <w:kinsoku w:val="0"/>
        <w:overflowPunct w:val="0"/>
        <w:spacing w:line="278" w:lineRule="auto"/>
        <w:ind w:left="1560" w:right="873"/>
      </w:pPr>
      <w:r>
        <w:t>"Tali dispositivi digitali non superano i limiti di classe B sulle emissioni dei disturbi radio stabiliti dal regolamento sulle interferenze radio del dipartimento canadese delle comunicazioni."</w:t>
      </w:r>
    </w:p>
    <w:p w14:paraId="56E5B7D6" w14:textId="77777777" w:rsidR="00DF3509" w:rsidRDefault="00DF3509">
      <w:pPr>
        <w:pStyle w:val="BodyText"/>
        <w:kinsoku w:val="0"/>
        <w:overflowPunct w:val="0"/>
        <w:rPr>
          <w:sz w:val="17"/>
          <w:szCs w:val="17"/>
        </w:rPr>
      </w:pPr>
    </w:p>
    <w:p w14:paraId="45CA6455" w14:textId="77777777" w:rsidR="00DF3509" w:rsidRDefault="00DF3509">
      <w:pPr>
        <w:pStyle w:val="BodyText"/>
        <w:kinsoku w:val="0"/>
        <w:overflowPunct w:val="0"/>
        <w:spacing w:before="1" w:line="276" w:lineRule="auto"/>
        <w:ind w:left="840" w:right="674"/>
      </w:pPr>
      <w:r>
        <w:t>Tutti i prodotti NETGEAR sono conformi agli standard RSS esenti da licenza a norma ISED. Il funzionamento è soggetto alle due condizioni indicate: (1) i prodotti NETGEAR non devono causare interferenze dannose e (2) i prodotti NETGEAR devono accettare qualsiasi interferenza ricevuta, compresa un'eventuale interferenza che potrebbe causare un funzionamento indesiderato.</w:t>
      </w:r>
    </w:p>
    <w:p w14:paraId="0077F7AF" w14:textId="77777777" w:rsidR="00DF3509" w:rsidRDefault="00DF3509">
      <w:pPr>
        <w:pStyle w:val="BodyText"/>
        <w:kinsoku w:val="0"/>
        <w:overflowPunct w:val="0"/>
        <w:spacing w:before="6"/>
        <w:rPr>
          <w:sz w:val="17"/>
          <w:szCs w:val="17"/>
        </w:rPr>
      </w:pPr>
    </w:p>
    <w:p w14:paraId="1565B025" w14:textId="77777777" w:rsidR="00DF3509" w:rsidRDefault="00DF3509">
      <w:pPr>
        <w:pStyle w:val="Heading2"/>
        <w:kinsoku w:val="0"/>
        <w:overflowPunct w:val="0"/>
        <w:rPr>
          <w:spacing w:val="-2"/>
        </w:rPr>
      </w:pPr>
      <w:bookmarkStart w:id="53" w:name="_bookmark27"/>
      <w:bookmarkStart w:id="54" w:name="_Toc147398220"/>
      <w:bookmarkEnd w:id="53"/>
      <w:r>
        <w:t>Istruzioni e avvertenze sulle frequenze radio</w:t>
      </w:r>
      <w:bookmarkEnd w:id="54"/>
    </w:p>
    <w:p w14:paraId="79233E6D" w14:textId="77777777" w:rsidR="00DF3509" w:rsidRDefault="00DF3509">
      <w:pPr>
        <w:pStyle w:val="BodyText"/>
        <w:kinsoku w:val="0"/>
        <w:overflowPunct w:val="0"/>
        <w:spacing w:before="103" w:line="278" w:lineRule="auto"/>
        <w:ind w:left="840" w:right="779"/>
      </w:pPr>
      <w:r>
        <w:t>Per i prodotti disponibili nel mercato statunitense/canadese, è possibile utilizzare soltanto il canale 1~11. La selezione di altri canali non è possibile.</w:t>
      </w:r>
    </w:p>
    <w:p w14:paraId="581ECFC6" w14:textId="77777777" w:rsidR="00DF3509" w:rsidRDefault="00DF3509">
      <w:pPr>
        <w:pStyle w:val="BodyText"/>
        <w:kinsoku w:val="0"/>
        <w:overflowPunct w:val="0"/>
        <w:spacing w:before="10"/>
        <w:rPr>
          <w:sz w:val="16"/>
          <w:szCs w:val="16"/>
        </w:rPr>
      </w:pPr>
    </w:p>
    <w:p w14:paraId="3115BE04" w14:textId="77777777" w:rsidR="00DF3509" w:rsidRDefault="00DF3509">
      <w:pPr>
        <w:pStyle w:val="BodyText"/>
        <w:kinsoku w:val="0"/>
        <w:overflowPunct w:val="0"/>
        <w:spacing w:line="280" w:lineRule="auto"/>
        <w:ind w:left="840" w:right="873"/>
      </w:pPr>
      <w:r>
        <w:t>Il dispositivo e le relative antenne non devono essere posizionati accanto a o utilizzati con altre antenne o trasmettitori, tranne nel caso in cui non sia permesso dalle procedure di prodotti multi-trasmettitore a norma IC.</w:t>
      </w:r>
    </w:p>
    <w:p w14:paraId="2A276630" w14:textId="77777777" w:rsidR="00DF3509" w:rsidRDefault="00DF3509">
      <w:pPr>
        <w:pStyle w:val="BodyText"/>
        <w:kinsoku w:val="0"/>
        <w:overflowPunct w:val="0"/>
        <w:spacing w:before="9"/>
        <w:rPr>
          <w:sz w:val="16"/>
          <w:szCs w:val="16"/>
        </w:rPr>
      </w:pPr>
    </w:p>
    <w:p w14:paraId="448804E5" w14:textId="77777777" w:rsidR="005F0F0E" w:rsidRDefault="005F0F0E">
      <w:pPr>
        <w:pStyle w:val="BodyText"/>
        <w:kinsoku w:val="0"/>
        <w:overflowPunct w:val="0"/>
        <w:spacing w:line="278" w:lineRule="auto"/>
        <w:ind w:left="840" w:right="873"/>
      </w:pPr>
      <w:r>
        <w:t xml:space="preserve">Il dispositivo per la banda 5150-5250 MHz e 5850-5895 MHz è destinato esclusivamente all'uso in ambienti interni, al fine di ridurre le potenziali interferenze dannose ai sistemi satellitari mobili che utilizzano gli stessi canali e alle applicazioni ITS. </w:t>
      </w:r>
    </w:p>
    <w:p w14:paraId="3130ADA5" w14:textId="77777777" w:rsidR="00DF3509" w:rsidRDefault="00DF3509">
      <w:pPr>
        <w:pStyle w:val="BodyText"/>
        <w:kinsoku w:val="0"/>
        <w:overflowPunct w:val="0"/>
        <w:spacing w:before="1"/>
        <w:rPr>
          <w:sz w:val="17"/>
          <w:szCs w:val="17"/>
        </w:rPr>
      </w:pPr>
    </w:p>
    <w:p w14:paraId="33824E5C" w14:textId="77777777" w:rsidR="00DF3509" w:rsidRDefault="00DF3509">
      <w:pPr>
        <w:pStyle w:val="BodyText"/>
        <w:kinsoku w:val="0"/>
        <w:overflowPunct w:val="0"/>
        <w:spacing w:line="276" w:lineRule="auto"/>
        <w:ind w:left="840" w:right="922"/>
        <w:rPr>
          <w:spacing w:val="-2"/>
        </w:rPr>
      </w:pPr>
      <w:r>
        <w:t>Gli utenti devono, inoltre, tenere presente che i radar ad alta potenza sono assegnati come utenti primari (cioè utenti prioritari) delle bande 5250-5350 MHz e 5650-5850 MHz e che tali radar potrebbero causare interferenze e/o danni ai dispositivi LE-LAN.</w:t>
      </w:r>
    </w:p>
    <w:p w14:paraId="2904FAD6" w14:textId="77777777" w:rsidR="00DF3509" w:rsidRDefault="00DF3509">
      <w:pPr>
        <w:pStyle w:val="BodyText"/>
        <w:kinsoku w:val="0"/>
        <w:overflowPunct w:val="0"/>
        <w:spacing w:before="5"/>
        <w:rPr>
          <w:sz w:val="17"/>
          <w:szCs w:val="17"/>
        </w:rPr>
      </w:pPr>
    </w:p>
    <w:p w14:paraId="3F17AE4C" w14:textId="77777777" w:rsidR="00DF3509" w:rsidRDefault="00DF3509">
      <w:pPr>
        <w:pStyle w:val="BodyText"/>
        <w:kinsoku w:val="0"/>
        <w:overflowPunct w:val="0"/>
        <w:spacing w:line="276" w:lineRule="auto"/>
        <w:ind w:left="840" w:right="674"/>
      </w:pPr>
      <w:r>
        <w:t>In base alle normative ISED, questo trasmettitore può funzionare solo con un'antenna di tipo e guadagno massimo (o inferiore) approvata per il trasmettitore in base alla norma ISED. Per ridurre le potenziali interferenze radio dannose per altri utenti, il tipo di antenna e il suo guadagno devono essere scelti in modo che la potenza isotropa irradiata equivalente (e.i.r.p.) non sia superiore a quella necessaria per una comunicazione efficace. Vedere la Tabella 2.</w:t>
      </w:r>
    </w:p>
    <w:p w14:paraId="0A866930" w14:textId="77777777" w:rsidR="00DF3509" w:rsidRDefault="00DF3509">
      <w:pPr>
        <w:pStyle w:val="BodyText"/>
        <w:kinsoku w:val="0"/>
        <w:overflowPunct w:val="0"/>
        <w:spacing w:before="4"/>
        <w:rPr>
          <w:sz w:val="17"/>
          <w:szCs w:val="17"/>
        </w:rPr>
      </w:pPr>
    </w:p>
    <w:p w14:paraId="617E062A" w14:textId="77777777" w:rsidR="00DF3509" w:rsidRDefault="00DF3509">
      <w:pPr>
        <w:pStyle w:val="BodyText"/>
        <w:kinsoku w:val="0"/>
        <w:overflowPunct w:val="0"/>
        <w:spacing w:line="278" w:lineRule="auto"/>
        <w:ind w:left="840" w:right="873"/>
      </w:pPr>
      <w:r>
        <w:t>Il guadagno massimo dell'antenna consentito per i dispositivi nelle bande 5250-5350 MHz e 5470-5725 MHz deve essere conforme al limite EIRP (Equivalent Isotropically Radiated Power).</w:t>
      </w:r>
    </w:p>
    <w:p w14:paraId="3ABF6E26" w14:textId="77777777" w:rsidR="00DF3509" w:rsidRDefault="00DF3509">
      <w:pPr>
        <w:pStyle w:val="BodyText"/>
        <w:kinsoku w:val="0"/>
        <w:overflowPunct w:val="0"/>
        <w:spacing w:before="11"/>
        <w:rPr>
          <w:sz w:val="16"/>
          <w:szCs w:val="16"/>
        </w:rPr>
      </w:pPr>
    </w:p>
    <w:p w14:paraId="5CF16911" w14:textId="77777777" w:rsidR="00DF3509" w:rsidRDefault="00DF3509">
      <w:pPr>
        <w:pStyle w:val="BodyText"/>
        <w:kinsoku w:val="0"/>
        <w:overflowPunct w:val="0"/>
        <w:spacing w:line="278" w:lineRule="auto"/>
        <w:ind w:left="840" w:right="873"/>
        <w:rPr>
          <w:spacing w:val="-2"/>
        </w:rPr>
      </w:pPr>
      <w:r>
        <w:t>Il guadagno massimo dell'antenna consentito per i dispositivi nella banda 5725-5825 MHz deve essere conforme ai limiti EIRP (Equivalent Isotropically Radiated Power) specificati per il funzionamento point-to-point o point-to-multipoint, a seconda dei casi.</w:t>
      </w:r>
    </w:p>
    <w:p w14:paraId="34589308" w14:textId="77777777" w:rsidR="00DF3509" w:rsidRDefault="00DF3509">
      <w:pPr>
        <w:pStyle w:val="BodyText"/>
        <w:kinsoku w:val="0"/>
        <w:overflowPunct w:val="0"/>
        <w:spacing w:before="10"/>
        <w:rPr>
          <w:sz w:val="16"/>
          <w:szCs w:val="16"/>
        </w:rPr>
      </w:pPr>
    </w:p>
    <w:p w14:paraId="450D7C4A" w14:textId="77777777" w:rsidR="00DF3509" w:rsidRDefault="00DF3509">
      <w:pPr>
        <w:pStyle w:val="BodyText"/>
        <w:kinsoku w:val="0"/>
        <w:overflowPunct w:val="0"/>
        <w:spacing w:line="278" w:lineRule="auto"/>
        <w:ind w:left="840" w:right="873"/>
      </w:pPr>
      <w:r>
        <w:t>Il dispositivo per la banda da 5925 a 6425 MHz è destinato esclusivamente all'uso in ambienti interni. L'utilizzo è vietato su piattaforme petrolifere, automobili, treni, barche e aerei, a eccezione di aerei di grandi dimensioni che volano sopra i 3.000 m (10.000 piedi) di altezza.</w:t>
      </w:r>
    </w:p>
    <w:p w14:paraId="3165E951" w14:textId="77777777" w:rsidR="00DF3509" w:rsidRDefault="00DF3509">
      <w:pPr>
        <w:pStyle w:val="BodyText"/>
        <w:kinsoku w:val="0"/>
        <w:overflowPunct w:val="0"/>
        <w:spacing w:line="278" w:lineRule="auto"/>
        <w:ind w:left="840" w:right="873"/>
      </w:pPr>
      <w:r>
        <w:t>L'utilizzo di trasmettitori nella banda da 5925 a 6425 MHz è vietato per il controllo o le comunicazioni con sistemi aerei non presidiati.</w:t>
      </w:r>
    </w:p>
    <w:p w14:paraId="2DB49860" w14:textId="77777777" w:rsidR="00DF3509" w:rsidRDefault="00DF3509">
      <w:pPr>
        <w:pStyle w:val="BodyText"/>
        <w:kinsoku w:val="0"/>
        <w:overflowPunct w:val="0"/>
        <w:spacing w:line="278" w:lineRule="auto"/>
        <w:ind w:left="840" w:right="873"/>
        <w:sectPr w:rsidR="00DF3509">
          <w:pgSz w:w="12240" w:h="15840"/>
          <w:pgMar w:top="1360" w:right="680" w:bottom="1140" w:left="600" w:header="0" w:footer="950" w:gutter="0"/>
          <w:cols w:space="720"/>
          <w:noEndnote/>
        </w:sectPr>
      </w:pPr>
    </w:p>
    <w:p w14:paraId="04466D73" w14:textId="77777777" w:rsidR="00DF3509" w:rsidRDefault="00DF3509">
      <w:pPr>
        <w:pStyle w:val="Heading2"/>
        <w:kinsoku w:val="0"/>
        <w:overflowPunct w:val="0"/>
        <w:spacing w:before="61"/>
        <w:rPr>
          <w:spacing w:val="-2"/>
        </w:rPr>
      </w:pPr>
      <w:bookmarkStart w:id="55" w:name="_bookmark28"/>
      <w:bookmarkStart w:id="56" w:name="_Toc147398221"/>
      <w:bookmarkEnd w:id="55"/>
      <w:r>
        <w:lastRenderedPageBreak/>
        <w:t>NOTA IMPORTANTE: Dichiarazione sull'esposizione alle radiazioni</w:t>
      </w:r>
      <w:bookmarkEnd w:id="56"/>
    </w:p>
    <w:p w14:paraId="1CE18EB3" w14:textId="77777777" w:rsidR="00DF3509" w:rsidRDefault="00DF3509">
      <w:pPr>
        <w:pStyle w:val="Heading3"/>
        <w:kinsoku w:val="0"/>
        <w:overflowPunct w:val="0"/>
        <w:spacing w:before="244"/>
        <w:rPr>
          <w:spacing w:val="-2"/>
        </w:rPr>
      </w:pPr>
      <w:bookmarkStart w:id="57" w:name="_bookmark29"/>
      <w:bookmarkStart w:id="58" w:name="_Toc147398222"/>
      <w:bookmarkEnd w:id="57"/>
      <w:r>
        <w:t>Avvertenza SAR:</w:t>
      </w:r>
      <w:bookmarkEnd w:id="58"/>
    </w:p>
    <w:p w14:paraId="142C2C2B" w14:textId="77777777" w:rsidR="00DF3509" w:rsidRDefault="00DF3509">
      <w:pPr>
        <w:pStyle w:val="BodyText"/>
        <w:kinsoku w:val="0"/>
        <w:overflowPunct w:val="0"/>
        <w:spacing w:before="91" w:line="278" w:lineRule="auto"/>
        <w:ind w:left="840" w:right="873"/>
      </w:pPr>
      <w:r>
        <w:t>Le informazioni contenute in questa sezione si applicano ai prodotti wireless NETGEAR destinati all'uso in prossimità del corpo umano.</w:t>
      </w:r>
    </w:p>
    <w:p w14:paraId="7DA71781" w14:textId="77777777" w:rsidR="00DF3509" w:rsidRDefault="00DF3509">
      <w:pPr>
        <w:pStyle w:val="BodyText"/>
        <w:kinsoku w:val="0"/>
        <w:overflowPunct w:val="0"/>
        <w:spacing w:before="10"/>
        <w:rPr>
          <w:sz w:val="16"/>
          <w:szCs w:val="16"/>
        </w:rPr>
      </w:pPr>
    </w:p>
    <w:p w14:paraId="0E3D9E50" w14:textId="77777777" w:rsidR="00DF3509" w:rsidRDefault="00DF3509">
      <w:pPr>
        <w:pStyle w:val="BodyText"/>
        <w:kinsoku w:val="0"/>
        <w:overflowPunct w:val="0"/>
        <w:spacing w:line="278" w:lineRule="auto"/>
        <w:ind w:left="840" w:right="959"/>
        <w:jc w:val="both"/>
      </w:pPr>
      <w:r>
        <w:t>I prodotti NETGEAR sono conformi alla normativa SAR per quanto riguarda i limiti di esposizione della popolazione/esposizione non controllata stabiliti dalle norme IC RSS-102 e sono stati sottoposti ai test in conformità ai metodi di misurazione e alle procedure specificate dallo standard IEEE 1528. Mantenere una distanza di almeno 10 mm se si indossano i prodotti.</w:t>
      </w:r>
    </w:p>
    <w:p w14:paraId="6CEF0CA5" w14:textId="77777777" w:rsidR="00DF3509" w:rsidRDefault="00DF3509">
      <w:pPr>
        <w:pStyle w:val="BodyText"/>
        <w:kinsoku w:val="0"/>
        <w:overflowPunct w:val="0"/>
        <w:spacing w:before="10"/>
        <w:rPr>
          <w:sz w:val="16"/>
          <w:szCs w:val="16"/>
        </w:rPr>
      </w:pPr>
    </w:p>
    <w:p w14:paraId="29C50EE1" w14:textId="77777777" w:rsidR="00DF3509" w:rsidRDefault="00DF3509">
      <w:pPr>
        <w:pStyle w:val="BodyText"/>
        <w:kinsoku w:val="0"/>
        <w:overflowPunct w:val="0"/>
        <w:spacing w:line="278" w:lineRule="auto"/>
        <w:ind w:left="840" w:right="873"/>
      </w:pPr>
      <w:r>
        <w:t>I prodotti NETGEAR sono conformi al limite di esposizione alle radiofrequenze dei dispositivi portatili in Canada, stabilito per un ambiente non controllato e sono sicuri per il funzionamento previsto, come descritto nel relativo manuale. È possibile ottenere un'ulteriore riduzione dell'esposizione alle radiofrequenze mantenendo il prodotto il più lontano possibile dal corpo o impostando il dispositivo su una potenza di output inferiore se tale funzione è disponibile.</w:t>
      </w:r>
    </w:p>
    <w:p w14:paraId="07D887D0" w14:textId="77777777" w:rsidR="00DF3509" w:rsidRDefault="00DF3509">
      <w:pPr>
        <w:pStyle w:val="BodyText"/>
        <w:kinsoku w:val="0"/>
        <w:overflowPunct w:val="0"/>
        <w:spacing w:before="10"/>
        <w:rPr>
          <w:sz w:val="16"/>
          <w:szCs w:val="16"/>
        </w:rPr>
      </w:pPr>
    </w:p>
    <w:p w14:paraId="18DEE146" w14:textId="73F5E638" w:rsidR="00DF3509" w:rsidRDefault="00DF3509">
      <w:pPr>
        <w:pStyle w:val="BodyText"/>
        <w:kinsoku w:val="0"/>
        <w:overflowPunct w:val="0"/>
        <w:spacing w:before="1" w:line="508" w:lineRule="auto"/>
        <w:ind w:left="840"/>
        <w:rPr>
          <w:color w:val="0000FF"/>
          <w:spacing w:val="-2"/>
        </w:rPr>
      </w:pPr>
      <w:r>
        <w:t xml:space="preserve">Per ulteriori dettagli e per visualizzare il livello SAR più elevato misurato per questo dispositivo, consultare la sezione Esposizione alle radiofrequenze all'indirizzo: </w:t>
      </w:r>
      <w:hyperlink r:id="rId25" w:history="1">
        <w:r>
          <w:rPr>
            <w:color w:val="0000FF"/>
            <w:u w:val="single"/>
          </w:rPr>
          <w:t>https://www.netgear.com/it/about/regulatory/</w:t>
        </w:r>
      </w:hyperlink>
    </w:p>
    <w:p w14:paraId="39750270" w14:textId="77777777" w:rsidR="00DF3509" w:rsidRDefault="00DF3509">
      <w:pPr>
        <w:pStyle w:val="Heading3"/>
        <w:kinsoku w:val="0"/>
        <w:overflowPunct w:val="0"/>
        <w:spacing w:line="203" w:lineRule="exact"/>
        <w:rPr>
          <w:spacing w:val="-2"/>
        </w:rPr>
      </w:pPr>
      <w:bookmarkStart w:id="59" w:name="_bookmark30"/>
      <w:bookmarkStart w:id="60" w:name="_Toc147398223"/>
      <w:bookmarkEnd w:id="59"/>
      <w:r>
        <w:t>Dichiarazione sull'esposizione massima consentita (MPE)</w:t>
      </w:r>
      <w:bookmarkEnd w:id="60"/>
    </w:p>
    <w:p w14:paraId="58EB4B84" w14:textId="77777777" w:rsidR="00DF3509" w:rsidRDefault="00DF3509">
      <w:pPr>
        <w:pStyle w:val="BodyText"/>
        <w:kinsoku w:val="0"/>
        <w:overflowPunct w:val="0"/>
        <w:spacing w:before="93" w:line="278" w:lineRule="auto"/>
        <w:ind w:left="840" w:right="779"/>
      </w:pPr>
      <w:r>
        <w:t>Le informazioni contenute in questa sezione si applicano ai prodotti wireless NETGEAR destinati a essere utilizzati ad almeno 20 cm di distanza dal corpo umano.</w:t>
      </w:r>
    </w:p>
    <w:p w14:paraId="55BCF612" w14:textId="77777777" w:rsidR="00DF3509" w:rsidRDefault="00DF3509">
      <w:pPr>
        <w:pStyle w:val="BodyText"/>
        <w:kinsoku w:val="0"/>
        <w:overflowPunct w:val="0"/>
        <w:spacing w:before="10"/>
        <w:rPr>
          <w:sz w:val="16"/>
          <w:szCs w:val="16"/>
        </w:rPr>
      </w:pPr>
    </w:p>
    <w:p w14:paraId="4D38F8B0" w14:textId="77777777" w:rsidR="00DF3509" w:rsidRDefault="00DF3509">
      <w:pPr>
        <w:pStyle w:val="BodyText"/>
        <w:kinsoku w:val="0"/>
        <w:overflowPunct w:val="0"/>
        <w:spacing w:line="278" w:lineRule="auto"/>
        <w:ind w:left="840" w:right="780"/>
      </w:pPr>
      <w:r>
        <w:t>I prodotti NETGEAR sono conformi ai limiti stabiliti dalla IC per l'esposizione a radiazioni in ambiente non controllato. I prodotti NETGEAR devono essere installati e utilizzati mantenendo una distanza minima di 70 cm tra il radiatore e il corpo dell'utente. Per verificare la distanza minima, per ulteriori dettagli e per visualizzare il livello SAR più elevato misurato su questo dispositivo, consultare la sezione Esposizione alle radiofrequenze all'indirizzo:</w:t>
      </w:r>
    </w:p>
    <w:p w14:paraId="1DA96436" w14:textId="77777777" w:rsidR="00DF3509" w:rsidRDefault="00DF3509">
      <w:pPr>
        <w:pStyle w:val="BodyText"/>
        <w:kinsoku w:val="0"/>
        <w:overflowPunct w:val="0"/>
        <w:spacing w:before="10"/>
        <w:rPr>
          <w:sz w:val="16"/>
          <w:szCs w:val="16"/>
        </w:rPr>
      </w:pPr>
    </w:p>
    <w:p w14:paraId="06763128" w14:textId="4E8AC305" w:rsidR="00DF3509" w:rsidRDefault="00000000">
      <w:pPr>
        <w:pStyle w:val="BodyText"/>
        <w:kinsoku w:val="0"/>
        <w:overflowPunct w:val="0"/>
        <w:ind w:left="840"/>
        <w:rPr>
          <w:color w:val="0000FF"/>
          <w:spacing w:val="-2"/>
        </w:rPr>
      </w:pPr>
      <w:hyperlink r:id="rId26" w:history="1">
        <w:r w:rsidR="00DF3509">
          <w:rPr>
            <w:color w:val="0000FF"/>
            <w:u w:val="single"/>
          </w:rPr>
          <w:t>https://www.netgear.com/it/about/regulatory/</w:t>
        </w:r>
      </w:hyperlink>
    </w:p>
    <w:p w14:paraId="7F486E38" w14:textId="77777777" w:rsidR="00DF3509" w:rsidRDefault="00DF3509">
      <w:pPr>
        <w:pStyle w:val="BodyText"/>
        <w:kinsoku w:val="0"/>
        <w:overflowPunct w:val="0"/>
        <w:spacing w:before="2"/>
        <w:rPr>
          <w:sz w:val="20"/>
          <w:szCs w:val="20"/>
        </w:rPr>
      </w:pPr>
    </w:p>
    <w:p w14:paraId="18B95E5F" w14:textId="77777777" w:rsidR="00DF3509" w:rsidRDefault="00DF3509">
      <w:pPr>
        <w:pStyle w:val="BodyText"/>
        <w:kinsoku w:val="0"/>
        <w:overflowPunct w:val="0"/>
        <w:ind w:left="840"/>
        <w:rPr>
          <w:b/>
          <w:bCs/>
          <w:color w:val="0000FF"/>
          <w:sz w:val="26"/>
          <w:szCs w:val="26"/>
        </w:rPr>
      </w:pPr>
      <w:bookmarkStart w:id="61" w:name="_bookmark31"/>
      <w:bookmarkEnd w:id="61"/>
      <w:r>
        <w:rPr>
          <w:b/>
          <w:color w:val="0000FF"/>
          <w:sz w:val="26"/>
          <w:u w:val="single"/>
        </w:rPr>
        <w:t>Normativa 522/20 dell'Ontario</w:t>
      </w:r>
    </w:p>
    <w:p w14:paraId="1A661817" w14:textId="107CAEC3" w:rsidR="00DF3509" w:rsidRDefault="00DF3509">
      <w:pPr>
        <w:pStyle w:val="BodyText"/>
        <w:kinsoku w:val="0"/>
        <w:overflowPunct w:val="0"/>
        <w:spacing w:before="102" w:line="278" w:lineRule="auto"/>
        <w:ind w:left="840" w:right="873"/>
        <w:rPr>
          <w:color w:val="000000"/>
        </w:rPr>
      </w:pPr>
      <w:r>
        <w:t xml:space="preserve">Le normative EEE (Electronic and Electrical Equipment) dell'Ontario sono in vigore a partire dal 1° gennaio 2021, ai sensi del Resource Recovery and Circular Economy Act. NETGEAR adempie i propri obblighi tramite l'EPRA dell'Ontario, la PRO (Producer Responsibility Organization) selezionata. Visitare il sito Web EPRA all'indirizzo </w:t>
      </w:r>
      <w:hyperlink r:id="rId27" w:history="1">
        <w:r>
          <w:rPr>
            <w:color w:val="0000FF"/>
            <w:u w:val="single"/>
          </w:rPr>
          <w:t>https://EPRAON.ca</w:t>
        </w:r>
      </w:hyperlink>
      <w:r>
        <w:t xml:space="preserve"> per informazioni sulla raccolta di componenti elettronici dismessi e ulteriori informazioni sul programma.</w:t>
      </w:r>
    </w:p>
    <w:p w14:paraId="59B6D8F6" w14:textId="77777777" w:rsidR="00DF3509" w:rsidRDefault="00DF3509">
      <w:pPr>
        <w:pStyle w:val="BodyText"/>
        <w:kinsoku w:val="0"/>
        <w:overflowPunct w:val="0"/>
        <w:rPr>
          <w:sz w:val="20"/>
          <w:szCs w:val="20"/>
        </w:rPr>
      </w:pPr>
    </w:p>
    <w:p w14:paraId="56AE2E75" w14:textId="77777777" w:rsidR="00DF3509" w:rsidRDefault="00DF3509">
      <w:pPr>
        <w:pStyle w:val="BodyText"/>
        <w:kinsoku w:val="0"/>
        <w:overflowPunct w:val="0"/>
        <w:spacing w:before="1"/>
        <w:rPr>
          <w:sz w:val="21"/>
          <w:szCs w:val="21"/>
        </w:rPr>
      </w:pPr>
    </w:p>
    <w:p w14:paraId="73391737" w14:textId="77777777" w:rsidR="00DF3509" w:rsidRPr="00E52FAB" w:rsidRDefault="00DF3509">
      <w:pPr>
        <w:pStyle w:val="Heading1"/>
        <w:kinsoku w:val="0"/>
        <w:overflowPunct w:val="0"/>
        <w:spacing w:line="276" w:lineRule="auto"/>
        <w:rPr>
          <w:vanish/>
        </w:rPr>
      </w:pPr>
      <w:bookmarkStart w:id="62" w:name="_bookmark32"/>
      <w:bookmarkEnd w:id="62"/>
      <w:r>
        <w:rPr>
          <w:vanish/>
        </w:rPr>
        <w:t>Réglementations du ministère Innovation, Sciences et Développement économique Canada (ISDE) – français</w:t>
      </w:r>
    </w:p>
    <w:p w14:paraId="703C9B94" w14:textId="77777777" w:rsidR="00DF3509" w:rsidRPr="00E52FAB" w:rsidRDefault="00DF3509">
      <w:pPr>
        <w:pStyle w:val="BodyText"/>
        <w:kinsoku w:val="0"/>
        <w:overflowPunct w:val="0"/>
        <w:spacing w:before="2"/>
        <w:rPr>
          <w:b/>
          <w:bCs/>
          <w:vanish/>
          <w:sz w:val="24"/>
          <w:szCs w:val="24"/>
        </w:rPr>
      </w:pPr>
    </w:p>
    <w:p w14:paraId="60296DAE" w14:textId="77777777" w:rsidR="00DF3509" w:rsidRPr="00E52FAB" w:rsidRDefault="00DF3509">
      <w:pPr>
        <w:pStyle w:val="BodyText"/>
        <w:kinsoku w:val="0"/>
        <w:overflowPunct w:val="0"/>
        <w:spacing w:line="430" w:lineRule="atLeast"/>
        <w:ind w:left="1560" w:right="1746" w:hanging="720"/>
        <w:rPr>
          <w:vanish/>
        </w:rPr>
      </w:pPr>
      <w:r>
        <w:rPr>
          <w:vanish/>
        </w:rPr>
        <w:t>Les informations de cette rubrique s'appliquent aux produits portant l'une des déclarations suivantes : CAN ICES-003 (B)/NMB-003(B)</w:t>
      </w:r>
    </w:p>
    <w:p w14:paraId="3061A239" w14:textId="77777777" w:rsidR="00DF3509" w:rsidRPr="00E52FAB" w:rsidRDefault="00DF3509">
      <w:pPr>
        <w:pStyle w:val="BodyText"/>
        <w:kinsoku w:val="0"/>
        <w:overflowPunct w:val="0"/>
        <w:spacing w:before="158"/>
        <w:ind w:left="1560"/>
        <w:rPr>
          <w:vanish/>
          <w:spacing w:val="-2"/>
        </w:rPr>
      </w:pPr>
      <w:r>
        <w:rPr>
          <w:vanish/>
        </w:rPr>
        <w:t>CAN ICES-003 (A)/NMB-003(A)</w:t>
      </w:r>
    </w:p>
    <w:p w14:paraId="2C9941C5" w14:textId="77777777" w:rsidR="00DF3509" w:rsidRPr="00E52FAB" w:rsidRDefault="00DF3509">
      <w:pPr>
        <w:pStyle w:val="BodyText"/>
        <w:kinsoku w:val="0"/>
        <w:overflowPunct w:val="0"/>
        <w:spacing w:before="150" w:line="278" w:lineRule="auto"/>
        <w:ind w:left="1560" w:right="779"/>
        <w:rPr>
          <w:vanish/>
        </w:rPr>
      </w:pPr>
      <w:r>
        <w:rPr>
          <w:vanish/>
        </w:rPr>
        <w:t>« Cet appareil numérique respecte les restrictions des émissions radio destinées aux appareils numériques de classe B établies par la réglementation canadienne sur les interférences radio.»</w:t>
      </w:r>
    </w:p>
    <w:p w14:paraId="0E7CECF9" w14:textId="77777777" w:rsidR="00DF3509" w:rsidRPr="00E52FAB" w:rsidRDefault="00DF3509">
      <w:pPr>
        <w:pStyle w:val="BodyText"/>
        <w:kinsoku w:val="0"/>
        <w:overflowPunct w:val="0"/>
        <w:spacing w:before="10"/>
        <w:rPr>
          <w:vanish/>
          <w:sz w:val="16"/>
          <w:szCs w:val="16"/>
        </w:rPr>
      </w:pPr>
    </w:p>
    <w:p w14:paraId="699BCE18" w14:textId="77777777" w:rsidR="00DF3509" w:rsidRPr="00E52FAB" w:rsidRDefault="00DF3509">
      <w:pPr>
        <w:pStyle w:val="BodyText"/>
        <w:kinsoku w:val="0"/>
        <w:overflowPunct w:val="0"/>
        <w:spacing w:line="278" w:lineRule="auto"/>
        <w:ind w:left="840" w:right="779"/>
        <w:rPr>
          <w:vanish/>
        </w:rPr>
      </w:pPr>
      <w:r>
        <w:rPr>
          <w:vanish/>
        </w:rPr>
        <w:t xml:space="preserve">Tous les produits NETGEAR sont conformes aux normes RSS exemptes de licence d'ISDE. Le fonctionnement est soumis aux deux conditions suivantes : (1) les produits NETGEAR ne produisent pas d'interférences nuisibles, et (2) </w:t>
      </w:r>
      <w:r>
        <w:rPr>
          <w:vanish/>
        </w:rPr>
        <w:lastRenderedPageBreak/>
        <w:t>les produits NETGEAR doivent accepter toutes les interférences reçues, notamment celles qui peuvent entraîner un fonctionnement non souhaité.</w:t>
      </w:r>
    </w:p>
    <w:p w14:paraId="193E4D0E" w14:textId="77777777" w:rsidR="00DF3509" w:rsidRPr="00E52FAB" w:rsidRDefault="00DF3509">
      <w:pPr>
        <w:pStyle w:val="BodyText"/>
        <w:kinsoku w:val="0"/>
        <w:overflowPunct w:val="0"/>
        <w:spacing w:line="278" w:lineRule="auto"/>
        <w:ind w:left="840" w:right="779"/>
        <w:rPr>
          <w:vanish/>
        </w:rPr>
        <w:sectPr w:rsidR="00DF3509" w:rsidRPr="00E52FAB">
          <w:pgSz w:w="12240" w:h="15840"/>
          <w:pgMar w:top="1380" w:right="680" w:bottom="1140" w:left="600" w:header="0" w:footer="950" w:gutter="0"/>
          <w:cols w:space="720"/>
          <w:noEndnote/>
        </w:sectPr>
      </w:pPr>
    </w:p>
    <w:p w14:paraId="061EDFDE" w14:textId="77777777" w:rsidR="00DF3509" w:rsidRPr="00E52FAB" w:rsidRDefault="00DF3509">
      <w:pPr>
        <w:pStyle w:val="Heading2"/>
        <w:kinsoku w:val="0"/>
        <w:overflowPunct w:val="0"/>
        <w:spacing w:before="61"/>
        <w:rPr>
          <w:vanish/>
          <w:spacing w:val="-2"/>
        </w:rPr>
      </w:pPr>
      <w:bookmarkStart w:id="63" w:name="_bookmark33"/>
      <w:bookmarkEnd w:id="63"/>
      <w:r>
        <w:rPr>
          <w:vanish/>
        </w:rPr>
        <w:lastRenderedPageBreak/>
        <w:t>Avertissements et instructions relatifs aux fréquences radio</w:t>
      </w:r>
    </w:p>
    <w:p w14:paraId="697EE997" w14:textId="77777777" w:rsidR="00DF3509" w:rsidRPr="00E52FAB" w:rsidRDefault="00DF3509">
      <w:pPr>
        <w:pStyle w:val="BodyText"/>
        <w:kinsoku w:val="0"/>
        <w:overflowPunct w:val="0"/>
        <w:spacing w:before="102" w:line="278" w:lineRule="auto"/>
        <w:ind w:left="840" w:right="873"/>
        <w:rPr>
          <w:vanish/>
        </w:rPr>
      </w:pPr>
      <w:r>
        <w:rPr>
          <w:vanish/>
        </w:rPr>
        <w:t>Pour les produits disponibles sur le marché américain ou canadien, seul le canal 1~11 est utilisable. Il n'est pas possible de sélectionner d'autres canaux.</w:t>
      </w:r>
    </w:p>
    <w:p w14:paraId="44D42A8F" w14:textId="77777777" w:rsidR="00DF3509" w:rsidRPr="00E52FAB" w:rsidRDefault="00DF3509">
      <w:pPr>
        <w:pStyle w:val="BodyText"/>
        <w:kinsoku w:val="0"/>
        <w:overflowPunct w:val="0"/>
        <w:spacing w:before="1"/>
        <w:rPr>
          <w:vanish/>
          <w:sz w:val="17"/>
          <w:szCs w:val="17"/>
        </w:rPr>
      </w:pPr>
    </w:p>
    <w:p w14:paraId="1A718E96" w14:textId="77777777" w:rsidR="00DF3509" w:rsidRPr="00E52FAB" w:rsidRDefault="00DF3509">
      <w:pPr>
        <w:pStyle w:val="BodyText"/>
        <w:kinsoku w:val="0"/>
        <w:overflowPunct w:val="0"/>
        <w:spacing w:before="1" w:line="278" w:lineRule="auto"/>
        <w:ind w:left="840" w:right="873"/>
        <w:rPr>
          <w:vanish/>
        </w:rPr>
      </w:pPr>
      <w:r>
        <w:rPr>
          <w:vanish/>
        </w:rPr>
        <w:t>Cet appareil et son (ses) antenne(s) ne doivent pas se trouver à proximité ou fonctionner en combinaison avec d'autres antennes ou émetteurs, sauf en accord avec les procédures d'IC concernant les produits multi-émetteurs.</w:t>
      </w:r>
    </w:p>
    <w:p w14:paraId="1177D3C8" w14:textId="77777777" w:rsidR="00DF3509" w:rsidRPr="00E52FAB" w:rsidRDefault="00DF3509">
      <w:pPr>
        <w:pStyle w:val="BodyText"/>
        <w:kinsoku w:val="0"/>
        <w:overflowPunct w:val="0"/>
        <w:spacing w:before="1"/>
        <w:rPr>
          <w:vanish/>
          <w:sz w:val="17"/>
          <w:szCs w:val="17"/>
        </w:rPr>
      </w:pPr>
    </w:p>
    <w:p w14:paraId="3D04577A" w14:textId="77777777" w:rsidR="00DF3509" w:rsidRPr="00E52FAB" w:rsidRDefault="00DF3509">
      <w:pPr>
        <w:pStyle w:val="BodyText"/>
        <w:kinsoku w:val="0"/>
        <w:overflowPunct w:val="0"/>
        <w:spacing w:line="278" w:lineRule="auto"/>
        <w:ind w:left="840" w:right="873"/>
        <w:rPr>
          <w:vanish/>
        </w:rPr>
      </w:pPr>
      <w:r>
        <w:rPr>
          <w:vanish/>
        </w:rPr>
        <w:t>L'appareil pour la bande 5150-5250 MHz est uniquement destiné à une utilisation en intérieur afin de réduire les risques d'interférences nuisibles pour les systèmes mobiles par satellite à canaux partagés.</w:t>
      </w:r>
    </w:p>
    <w:p w14:paraId="6A9CC985" w14:textId="77777777" w:rsidR="00DF3509" w:rsidRPr="00E52FAB" w:rsidRDefault="00DF3509">
      <w:pPr>
        <w:pStyle w:val="BodyText"/>
        <w:kinsoku w:val="0"/>
        <w:overflowPunct w:val="0"/>
        <w:spacing w:before="10"/>
        <w:rPr>
          <w:vanish/>
          <w:sz w:val="16"/>
          <w:szCs w:val="16"/>
        </w:rPr>
      </w:pPr>
    </w:p>
    <w:p w14:paraId="1BEBEA3B" w14:textId="77777777" w:rsidR="00DF3509" w:rsidRPr="00E52FAB" w:rsidRDefault="00DF3509">
      <w:pPr>
        <w:pStyle w:val="BodyText"/>
        <w:kinsoku w:val="0"/>
        <w:overflowPunct w:val="0"/>
        <w:spacing w:line="278" w:lineRule="auto"/>
        <w:ind w:left="840" w:right="779"/>
        <w:rPr>
          <w:vanish/>
        </w:rPr>
      </w:pPr>
      <w:r>
        <w:rPr>
          <w:vanish/>
        </w:rPr>
        <w:t>Les utilisateurs doivent également être informés que les radars à haute puissance sont attribués comme utilisateurs principaux (c'est-à-dire les utilisateurs prioritaires) des bandes 5250-5350 MHz et 5650-5850 MHz, et que ces radars peuvent causer des interférences et/ou endommager les appareils LE-LAN.</w:t>
      </w:r>
    </w:p>
    <w:p w14:paraId="44859706" w14:textId="77777777" w:rsidR="00DF3509" w:rsidRPr="00E52FAB" w:rsidRDefault="00DF3509">
      <w:pPr>
        <w:pStyle w:val="BodyText"/>
        <w:kinsoku w:val="0"/>
        <w:overflowPunct w:val="0"/>
        <w:spacing w:before="10"/>
        <w:rPr>
          <w:vanish/>
          <w:sz w:val="16"/>
          <w:szCs w:val="16"/>
        </w:rPr>
      </w:pPr>
    </w:p>
    <w:p w14:paraId="53FFA6DB" w14:textId="77777777" w:rsidR="00DF3509" w:rsidRPr="00E52FAB" w:rsidRDefault="00DF3509">
      <w:pPr>
        <w:pStyle w:val="BodyText"/>
        <w:kinsoku w:val="0"/>
        <w:overflowPunct w:val="0"/>
        <w:spacing w:before="1" w:line="276" w:lineRule="auto"/>
        <w:ind w:left="840" w:right="787"/>
        <w:rPr>
          <w:vanish/>
        </w:rPr>
      </w:pPr>
      <w:r>
        <w:rPr>
          <w:vanish/>
        </w:rPr>
        <w:t>En vertu des réglementations d'ISDE, cet émetteur radio ne peut fonctionner qu'avec une antenne d'un type et d'un gain maximum (ou inférieur) approuvés pour l'émetteur par ISDE. Afin de réduire les interférences radio potentielles pour les autres utilisateurs, le type d'antenne et son gain doivent être choisis de telle sorte que la puissance isotrope rayonnée équivalente (PIRE) ne soit pas supérieure à celle nécessaire à la réussite de la communication. Voir tableau 2</w:t>
      </w:r>
    </w:p>
    <w:p w14:paraId="11B10C0F" w14:textId="77777777" w:rsidR="00DF3509" w:rsidRPr="00E52FAB" w:rsidRDefault="00DF3509">
      <w:pPr>
        <w:pStyle w:val="BodyText"/>
        <w:kinsoku w:val="0"/>
        <w:overflowPunct w:val="0"/>
        <w:spacing w:before="3"/>
        <w:rPr>
          <w:vanish/>
          <w:sz w:val="17"/>
          <w:szCs w:val="17"/>
        </w:rPr>
      </w:pPr>
    </w:p>
    <w:p w14:paraId="50284F86" w14:textId="77777777" w:rsidR="00DF3509" w:rsidRPr="00E52FAB" w:rsidRDefault="00DF3509">
      <w:pPr>
        <w:pStyle w:val="BodyText"/>
        <w:kinsoku w:val="0"/>
        <w:overflowPunct w:val="0"/>
        <w:spacing w:before="1" w:line="280" w:lineRule="auto"/>
        <w:ind w:left="840" w:right="873"/>
        <w:rPr>
          <w:vanish/>
        </w:rPr>
      </w:pPr>
      <w:r>
        <w:rPr>
          <w:vanish/>
        </w:rPr>
        <w:t>Le gain d'antenne maximal autorisé pour les appareils des bandes 5250-5350 MHz et 5470-5725 MHz doit être conforme à la limite de PIRE (puissance isotrope rayonnée équivalente).</w:t>
      </w:r>
    </w:p>
    <w:p w14:paraId="357FAABC" w14:textId="77777777" w:rsidR="00DF3509" w:rsidRPr="00E52FAB" w:rsidRDefault="00DF3509">
      <w:pPr>
        <w:pStyle w:val="BodyText"/>
        <w:kinsoku w:val="0"/>
        <w:overflowPunct w:val="0"/>
        <w:spacing w:before="8"/>
        <w:rPr>
          <w:vanish/>
          <w:sz w:val="16"/>
          <w:szCs w:val="16"/>
        </w:rPr>
      </w:pPr>
    </w:p>
    <w:p w14:paraId="7DC5CD14" w14:textId="77777777" w:rsidR="00DF3509" w:rsidRPr="00E52FAB" w:rsidRDefault="00DF3509">
      <w:pPr>
        <w:pStyle w:val="BodyText"/>
        <w:kinsoku w:val="0"/>
        <w:overflowPunct w:val="0"/>
        <w:spacing w:line="278" w:lineRule="auto"/>
        <w:ind w:left="840" w:right="831"/>
        <w:jc w:val="both"/>
        <w:rPr>
          <w:vanish/>
        </w:rPr>
      </w:pPr>
      <w:r>
        <w:rPr>
          <w:vanish/>
        </w:rPr>
        <w:t>Le gain d'antenne maximal autorisé pour les appareils de la bande 5725-5825 MHz doit être conforme aux limites de PIRE (puissance isotrope rayonnée équivalente) spécifiées pour le fonctionnement point à point et point à multipoint, selon le cas.</w:t>
      </w:r>
    </w:p>
    <w:p w14:paraId="28596FDA" w14:textId="77777777" w:rsidR="00DF3509" w:rsidRPr="00E52FAB" w:rsidRDefault="00DF3509">
      <w:pPr>
        <w:pStyle w:val="BodyText"/>
        <w:kinsoku w:val="0"/>
        <w:overflowPunct w:val="0"/>
        <w:spacing w:before="10"/>
        <w:rPr>
          <w:vanish/>
          <w:sz w:val="16"/>
          <w:szCs w:val="16"/>
        </w:rPr>
      </w:pPr>
    </w:p>
    <w:p w14:paraId="0A24D424" w14:textId="77777777" w:rsidR="00DF3509" w:rsidRPr="00E52FAB" w:rsidRDefault="00DF3509">
      <w:pPr>
        <w:pStyle w:val="BodyText"/>
        <w:kinsoku w:val="0"/>
        <w:overflowPunct w:val="0"/>
        <w:spacing w:line="276" w:lineRule="auto"/>
        <w:ind w:left="840" w:right="779"/>
        <w:rPr>
          <w:vanish/>
        </w:rPr>
      </w:pPr>
      <w:r>
        <w:rPr>
          <w:vanish/>
        </w:rPr>
        <w:t>L'appareil pour la bande 5925-6425 MHz est uniquement destiné à une utilisation en intérieur. L'utilisation de cet appareil est interdite à bord des plateformes pétrolières, des voitures, des trains, des bateaux et des aéronefs, à une exception : l'utilisation de cet appareil est autorisée à bord des avions volant à plus de 10 000 pieds d'altitude.</w:t>
      </w:r>
    </w:p>
    <w:p w14:paraId="41EB29AB" w14:textId="77777777" w:rsidR="00DF3509" w:rsidRPr="00E52FAB" w:rsidRDefault="00DF3509">
      <w:pPr>
        <w:pStyle w:val="BodyText"/>
        <w:kinsoku w:val="0"/>
        <w:overflowPunct w:val="0"/>
        <w:spacing w:before="2" w:line="278" w:lineRule="auto"/>
        <w:ind w:left="840" w:right="873"/>
        <w:rPr>
          <w:vanish/>
        </w:rPr>
      </w:pPr>
      <w:r>
        <w:rPr>
          <w:vanish/>
        </w:rPr>
        <w:t>L'utilisation d'émetteurs sur la bande 5925-6425 MHz est interdite pour le contrôle des systèmes d'aéronef sans pilote ou la communication avec ces systèmes.</w:t>
      </w:r>
    </w:p>
    <w:p w14:paraId="75AA4E9F" w14:textId="77777777" w:rsidR="00DF3509" w:rsidRPr="00E52FAB" w:rsidRDefault="00DF3509">
      <w:pPr>
        <w:pStyle w:val="BodyText"/>
        <w:kinsoku w:val="0"/>
        <w:overflowPunct w:val="0"/>
        <w:rPr>
          <w:vanish/>
          <w:sz w:val="17"/>
          <w:szCs w:val="17"/>
        </w:rPr>
      </w:pPr>
    </w:p>
    <w:p w14:paraId="2197313C" w14:textId="77777777" w:rsidR="00DF3509" w:rsidRPr="00E52FAB" w:rsidRDefault="00DF3509">
      <w:pPr>
        <w:pStyle w:val="Heading2"/>
        <w:kinsoku w:val="0"/>
        <w:overflowPunct w:val="0"/>
        <w:spacing w:line="278" w:lineRule="auto"/>
        <w:rPr>
          <w:vanish/>
          <w:spacing w:val="-2"/>
        </w:rPr>
      </w:pPr>
      <w:bookmarkStart w:id="64" w:name="_bookmark34"/>
      <w:bookmarkEnd w:id="64"/>
      <w:r>
        <w:rPr>
          <w:vanish/>
        </w:rPr>
        <w:t>REMARQUE IMPORTANTE : Déclaration concernant l'exposition aux rayonnements</w:t>
      </w:r>
    </w:p>
    <w:p w14:paraId="40488DDC" w14:textId="77777777" w:rsidR="00DF3509" w:rsidRPr="00E52FAB" w:rsidRDefault="00DF3509">
      <w:pPr>
        <w:pStyle w:val="Heading3"/>
        <w:kinsoku w:val="0"/>
        <w:overflowPunct w:val="0"/>
        <w:spacing w:before="195"/>
        <w:rPr>
          <w:vanish/>
          <w:spacing w:val="-10"/>
        </w:rPr>
      </w:pPr>
      <w:bookmarkStart w:id="65" w:name="_bookmark35"/>
      <w:bookmarkEnd w:id="65"/>
      <w:r>
        <w:rPr>
          <w:vanish/>
        </w:rPr>
        <w:t>Avertissement relatif au DAS :</w:t>
      </w:r>
    </w:p>
    <w:p w14:paraId="3A76FA34" w14:textId="77777777" w:rsidR="00DF3509" w:rsidRPr="00E52FAB" w:rsidRDefault="00DF3509">
      <w:pPr>
        <w:pStyle w:val="BodyText"/>
        <w:kinsoku w:val="0"/>
        <w:overflowPunct w:val="0"/>
        <w:spacing w:before="88" w:line="278" w:lineRule="auto"/>
        <w:ind w:left="840" w:right="873"/>
        <w:rPr>
          <w:vanish/>
        </w:rPr>
      </w:pPr>
      <w:r>
        <w:rPr>
          <w:vanish/>
        </w:rPr>
        <w:t>Les informations de cette rubrique s'appliquent aux produits Wifi NETGEAR destinés à être utilisés à proximité du corps humain.</w:t>
      </w:r>
    </w:p>
    <w:p w14:paraId="01696919" w14:textId="77777777" w:rsidR="00DF3509" w:rsidRPr="00E52FAB" w:rsidRDefault="00DF3509">
      <w:pPr>
        <w:pStyle w:val="BodyText"/>
        <w:kinsoku w:val="0"/>
        <w:overflowPunct w:val="0"/>
        <w:spacing w:before="1"/>
        <w:rPr>
          <w:vanish/>
          <w:sz w:val="17"/>
          <w:szCs w:val="17"/>
        </w:rPr>
      </w:pPr>
    </w:p>
    <w:p w14:paraId="43F18D25" w14:textId="77777777" w:rsidR="00DF3509" w:rsidRPr="00E52FAB" w:rsidRDefault="00DF3509">
      <w:pPr>
        <w:pStyle w:val="BodyText"/>
        <w:kinsoku w:val="0"/>
        <w:overflowPunct w:val="0"/>
        <w:spacing w:before="1" w:line="278" w:lineRule="auto"/>
        <w:ind w:left="840" w:right="873"/>
        <w:rPr>
          <w:vanish/>
        </w:rPr>
      </w:pPr>
      <w:r>
        <w:rPr>
          <w:vanish/>
        </w:rPr>
        <w:t>Les produits NETGEAR sont conformes au DAS pour la population générale/aux limites d'exposition non contrôlée de la norme IC RSS-102 et ont été testés dans le respect des procédures et méthodes d'évaluation spécifiées dans la norme IEEE 1528. Maintenez une distance d'au moins 10 mm si l'appareil est porté près du corps.</w:t>
      </w:r>
    </w:p>
    <w:p w14:paraId="24C08C9A" w14:textId="77777777" w:rsidR="00DF3509" w:rsidRPr="00E52FAB" w:rsidRDefault="00DF3509">
      <w:pPr>
        <w:pStyle w:val="BodyText"/>
        <w:kinsoku w:val="0"/>
        <w:overflowPunct w:val="0"/>
        <w:spacing w:before="10"/>
        <w:rPr>
          <w:vanish/>
          <w:sz w:val="16"/>
          <w:szCs w:val="16"/>
        </w:rPr>
      </w:pPr>
    </w:p>
    <w:p w14:paraId="09DEABD1" w14:textId="77777777" w:rsidR="00DF3509" w:rsidRPr="00E52FAB" w:rsidRDefault="00DF3509">
      <w:pPr>
        <w:pStyle w:val="BodyText"/>
        <w:kinsoku w:val="0"/>
        <w:overflowPunct w:val="0"/>
        <w:spacing w:line="276" w:lineRule="auto"/>
        <w:ind w:left="840" w:right="873"/>
        <w:rPr>
          <w:vanish/>
          <w:spacing w:val="-2"/>
        </w:rPr>
      </w:pPr>
      <w:r>
        <w:rPr>
          <w:vanish/>
        </w:rPr>
        <w:t>Les produits NETGEAR sont conformes à la limite d'exposition aux fréquences radio portables du Canada définie pour un environnement non contrôlé et sont sûrs pour l'utilisation prévue, comme décrit dans son manuel. Une réduction supplémentaire de l'exposition aux fréquences radio peut être obtenue en maintenant le produit aussi loin que possible de votre corps ou en réglant l'appareil sur une puissance de sortie inférieure, si une telle fonction est disponible.</w:t>
      </w:r>
    </w:p>
    <w:p w14:paraId="3E72296C" w14:textId="77777777" w:rsidR="00DF3509" w:rsidRPr="00E52FAB" w:rsidRDefault="00DF3509">
      <w:pPr>
        <w:pStyle w:val="BodyText"/>
        <w:kinsoku w:val="0"/>
        <w:overflowPunct w:val="0"/>
        <w:spacing w:before="4"/>
        <w:rPr>
          <w:vanish/>
          <w:sz w:val="17"/>
          <w:szCs w:val="17"/>
        </w:rPr>
      </w:pPr>
    </w:p>
    <w:p w14:paraId="3CABEC6D" w14:textId="77777777" w:rsidR="00DF3509" w:rsidRPr="00E52FAB" w:rsidRDefault="00DF3509">
      <w:pPr>
        <w:pStyle w:val="BodyText"/>
        <w:kinsoku w:val="0"/>
        <w:overflowPunct w:val="0"/>
        <w:spacing w:line="278" w:lineRule="auto"/>
        <w:ind w:left="840" w:right="873"/>
        <w:rPr>
          <w:vanish/>
        </w:rPr>
      </w:pPr>
      <w:r>
        <w:rPr>
          <w:vanish/>
        </w:rPr>
        <w:t>Pour plus de détails et pour connaître le niveau de DAS le plus élevé mesuré pour cet appareil, reportez-vous à la rubrique Exposition radio à l'adresse suivante :</w:t>
      </w:r>
    </w:p>
    <w:p w14:paraId="2A99E36C" w14:textId="77777777" w:rsidR="00DF3509" w:rsidRPr="00E52FAB" w:rsidRDefault="00DF3509">
      <w:pPr>
        <w:pStyle w:val="BodyText"/>
        <w:kinsoku w:val="0"/>
        <w:overflowPunct w:val="0"/>
        <w:spacing w:before="3"/>
        <w:rPr>
          <w:vanish/>
          <w:sz w:val="17"/>
          <w:szCs w:val="17"/>
        </w:rPr>
      </w:pPr>
    </w:p>
    <w:p w14:paraId="6CB66732" w14:textId="055410F8" w:rsidR="00DF3509" w:rsidRPr="00E52FAB" w:rsidRDefault="00000000">
      <w:pPr>
        <w:pStyle w:val="BodyText"/>
        <w:kinsoku w:val="0"/>
        <w:overflowPunct w:val="0"/>
        <w:spacing w:before="1"/>
        <w:ind w:left="840"/>
        <w:rPr>
          <w:vanish/>
          <w:color w:val="0000FF"/>
          <w:spacing w:val="-2"/>
        </w:rPr>
      </w:pPr>
      <w:hyperlink r:id="rId28" w:history="1">
        <w:r w:rsidR="00DF3509">
          <w:rPr>
            <w:vanish/>
            <w:color w:val="0000FF"/>
            <w:u w:val="single"/>
          </w:rPr>
          <w:t>https://www.netgear.com/fr/about/regulatory/</w:t>
        </w:r>
      </w:hyperlink>
    </w:p>
    <w:p w14:paraId="2CA1D583" w14:textId="77777777" w:rsidR="00DF3509" w:rsidRPr="00E52FAB" w:rsidRDefault="00DF3509">
      <w:pPr>
        <w:pStyle w:val="BodyText"/>
        <w:kinsoku w:val="0"/>
        <w:overflowPunct w:val="0"/>
        <w:spacing w:before="1"/>
        <w:ind w:left="840"/>
        <w:rPr>
          <w:vanish/>
          <w:color w:val="0000FF"/>
          <w:spacing w:val="-2"/>
        </w:rPr>
        <w:sectPr w:rsidR="00DF3509" w:rsidRPr="00E52FAB">
          <w:pgSz w:w="12240" w:h="15840"/>
          <w:pgMar w:top="1380" w:right="680" w:bottom="1140" w:left="600" w:header="0" w:footer="950" w:gutter="0"/>
          <w:cols w:space="720"/>
          <w:noEndnote/>
        </w:sectPr>
      </w:pPr>
    </w:p>
    <w:p w14:paraId="5788CF3E" w14:textId="77777777" w:rsidR="00DF3509" w:rsidRPr="00E52FAB" w:rsidRDefault="00DF3509">
      <w:pPr>
        <w:pStyle w:val="Heading3"/>
        <w:kinsoku w:val="0"/>
        <w:overflowPunct w:val="0"/>
        <w:spacing w:before="79"/>
        <w:rPr>
          <w:vanish/>
          <w:spacing w:val="-2"/>
        </w:rPr>
      </w:pPr>
      <w:bookmarkStart w:id="66" w:name="_bookmark36"/>
      <w:bookmarkEnd w:id="66"/>
      <w:r>
        <w:rPr>
          <w:vanish/>
        </w:rPr>
        <w:lastRenderedPageBreak/>
        <w:t>Déclaration de limite d'exposition maximale admissible</w:t>
      </w:r>
    </w:p>
    <w:p w14:paraId="36835065" w14:textId="77777777" w:rsidR="00DF3509" w:rsidRPr="00E52FAB" w:rsidRDefault="00DF3509">
      <w:pPr>
        <w:pStyle w:val="BodyText"/>
        <w:kinsoku w:val="0"/>
        <w:overflowPunct w:val="0"/>
        <w:spacing w:before="91" w:line="278" w:lineRule="auto"/>
        <w:ind w:left="840" w:right="1045"/>
        <w:rPr>
          <w:vanish/>
        </w:rPr>
      </w:pPr>
      <w:r>
        <w:rPr>
          <w:vanish/>
        </w:rPr>
        <w:t>Les informations de cette rubrique s'appliquent aux produits Wifi NETGEAR conçus pour être utilisés à au moins 20 cm du corps humain.</w:t>
      </w:r>
    </w:p>
    <w:p w14:paraId="66B0087B" w14:textId="77777777" w:rsidR="00DF3509" w:rsidRPr="00E52FAB" w:rsidRDefault="00DF3509">
      <w:pPr>
        <w:pStyle w:val="BodyText"/>
        <w:kinsoku w:val="0"/>
        <w:overflowPunct w:val="0"/>
        <w:spacing w:before="1"/>
        <w:rPr>
          <w:vanish/>
          <w:sz w:val="17"/>
          <w:szCs w:val="17"/>
        </w:rPr>
      </w:pPr>
    </w:p>
    <w:p w14:paraId="0A425611" w14:textId="77777777" w:rsidR="00DF3509" w:rsidRPr="00E52FAB" w:rsidRDefault="00DF3509">
      <w:pPr>
        <w:pStyle w:val="BodyText"/>
        <w:kinsoku w:val="0"/>
        <w:overflowPunct w:val="0"/>
        <w:spacing w:line="276" w:lineRule="auto"/>
        <w:ind w:left="840" w:right="787"/>
        <w:rPr>
          <w:vanish/>
        </w:rPr>
      </w:pPr>
      <w:r>
        <w:rPr>
          <w:vanish/>
        </w:rPr>
        <w:t>Les produits NETGEAR sont conformes aux limites d'exposition aux rayonnements IC définies pour un environnement non contrôlé. Lorsque vous installez et utilisez des produits NETGEAR, maintenez une distance minimale de 70 cm entre l'élément rayonnant et votre corps. Pour vérifier la distance minimale, pour plus d'informations et pour connaître le niveau de DAS le plus élevé mesuré pour cet appareil, reportez-vous à la rubrique Exposition radio à l'adresse suivante :</w:t>
      </w:r>
    </w:p>
    <w:p w14:paraId="2DEC7590" w14:textId="77777777" w:rsidR="00DF3509" w:rsidRPr="00E52FAB" w:rsidRDefault="00DF3509">
      <w:pPr>
        <w:pStyle w:val="BodyText"/>
        <w:kinsoku w:val="0"/>
        <w:overflowPunct w:val="0"/>
        <w:spacing w:before="6"/>
        <w:rPr>
          <w:vanish/>
          <w:sz w:val="17"/>
          <w:szCs w:val="17"/>
        </w:rPr>
      </w:pPr>
    </w:p>
    <w:p w14:paraId="6366CF4E" w14:textId="11A22E6E" w:rsidR="00DF3509" w:rsidRPr="00E52FAB" w:rsidRDefault="00000000">
      <w:pPr>
        <w:pStyle w:val="BodyText"/>
        <w:kinsoku w:val="0"/>
        <w:overflowPunct w:val="0"/>
        <w:ind w:left="840"/>
        <w:rPr>
          <w:vanish/>
          <w:color w:val="0000FF"/>
          <w:spacing w:val="-2"/>
        </w:rPr>
      </w:pPr>
      <w:hyperlink r:id="rId29" w:history="1">
        <w:r w:rsidR="00DF3509">
          <w:rPr>
            <w:vanish/>
            <w:color w:val="0000FF"/>
            <w:u w:val="single"/>
          </w:rPr>
          <w:t>https://www.netgear.com/fr/about/regulatory/</w:t>
        </w:r>
      </w:hyperlink>
    </w:p>
    <w:p w14:paraId="7A2BD3CD" w14:textId="77777777" w:rsidR="00DF3509" w:rsidRPr="00E52FAB" w:rsidRDefault="00DF3509">
      <w:pPr>
        <w:pStyle w:val="BodyText"/>
        <w:kinsoku w:val="0"/>
        <w:overflowPunct w:val="0"/>
        <w:spacing w:before="2"/>
        <w:rPr>
          <w:vanish/>
          <w:sz w:val="20"/>
          <w:szCs w:val="20"/>
        </w:rPr>
      </w:pPr>
    </w:p>
    <w:p w14:paraId="7E6951F6" w14:textId="77777777" w:rsidR="00DF3509" w:rsidRPr="00E52FAB" w:rsidRDefault="00DF3509">
      <w:pPr>
        <w:pStyle w:val="BodyText"/>
        <w:kinsoku w:val="0"/>
        <w:overflowPunct w:val="0"/>
        <w:ind w:left="840"/>
        <w:rPr>
          <w:b/>
          <w:bCs/>
          <w:vanish/>
          <w:color w:val="0000FF"/>
          <w:sz w:val="26"/>
          <w:szCs w:val="26"/>
        </w:rPr>
      </w:pPr>
      <w:bookmarkStart w:id="67" w:name="_bookmark37"/>
      <w:bookmarkEnd w:id="67"/>
      <w:r>
        <w:rPr>
          <w:b/>
          <w:vanish/>
          <w:color w:val="0000FF"/>
          <w:sz w:val="26"/>
          <w:u w:val="single"/>
        </w:rPr>
        <w:t>Règlement 522/20 de l'Ontario</w:t>
      </w:r>
    </w:p>
    <w:p w14:paraId="297A3930" w14:textId="31651B32" w:rsidR="00DF3509" w:rsidRPr="00E52FAB" w:rsidRDefault="00DF3509">
      <w:pPr>
        <w:pStyle w:val="BodyText"/>
        <w:kinsoku w:val="0"/>
        <w:overflowPunct w:val="0"/>
        <w:spacing w:before="102" w:line="276" w:lineRule="auto"/>
        <w:ind w:left="840" w:right="873"/>
        <w:rPr>
          <w:vanish/>
          <w:color w:val="000000"/>
        </w:rPr>
      </w:pPr>
      <w:r>
        <w:rPr>
          <w:vanish/>
        </w:rPr>
        <w:t xml:space="preserve">Les réglementations de l'Ontario sur les équipements électroniques et électriques (EEE) sont en vigueur à compter du 1er janvier 2021, en vertu de la loi sur le rétablissement des ressources et l'économie circulaire. NETGEAR s'acquitte de ses obligations par l'intermédiaire d'EPRA Ontario, son organisme de responsabilité des producteurs sélectionné. Visitez le site web d'EPRA à l'adresse </w:t>
      </w:r>
      <w:hyperlink r:id="rId30" w:history="1">
        <w:r>
          <w:rPr>
            <w:vanish/>
            <w:color w:val="0000FF"/>
            <w:u w:val="single"/>
          </w:rPr>
          <w:t>https://EPRAON.ca</w:t>
        </w:r>
      </w:hyperlink>
      <w:r>
        <w:rPr>
          <w:vanish/>
          <w:color w:val="0000FF"/>
        </w:rPr>
        <w:t xml:space="preserve"> </w:t>
      </w:r>
      <w:r>
        <w:rPr>
          <w:vanish/>
          <w:color w:val="000000"/>
        </w:rPr>
        <w:t>pour obtenir des informations sur la collecte des appareils électroniques en fin de vie et en savoir plus sur le programme.</w:t>
      </w:r>
    </w:p>
    <w:p w14:paraId="50F0B2CA" w14:textId="77777777" w:rsidR="00DF3509" w:rsidRDefault="00DF3509">
      <w:pPr>
        <w:pStyle w:val="BodyText"/>
        <w:kinsoku w:val="0"/>
        <w:overflowPunct w:val="0"/>
        <w:spacing w:before="7"/>
        <w:rPr>
          <w:sz w:val="17"/>
          <w:szCs w:val="17"/>
        </w:rPr>
      </w:pPr>
    </w:p>
    <w:p w14:paraId="3D07CCBE" w14:textId="77777777" w:rsidR="00DF3509" w:rsidRDefault="00DF3509">
      <w:pPr>
        <w:pStyle w:val="Heading2"/>
        <w:kinsoku w:val="0"/>
        <w:overflowPunct w:val="0"/>
        <w:rPr>
          <w:spacing w:val="-4"/>
        </w:rPr>
      </w:pPr>
      <w:bookmarkStart w:id="68" w:name="_bookmark38"/>
      <w:bookmarkStart w:id="69" w:name="_Toc147398224"/>
      <w:bookmarkEnd w:id="68"/>
      <w:r>
        <w:t>Tabella di riduzione delle interferenze</w:t>
      </w:r>
      <w:bookmarkEnd w:id="69"/>
    </w:p>
    <w:p w14:paraId="6F467B4C" w14:textId="77777777" w:rsidR="00DF3509" w:rsidRDefault="00DF3509">
      <w:pPr>
        <w:pStyle w:val="BodyText"/>
        <w:kinsoku w:val="0"/>
        <w:overflowPunct w:val="0"/>
        <w:spacing w:before="102" w:line="280" w:lineRule="auto"/>
        <w:ind w:left="840" w:right="873"/>
      </w:pPr>
      <w:r>
        <w:t>La seguente tabella indica i valori di distanza minima consigliata tra l'apparecchio NETGEAR e gli elettrodomestici per ridurre le interferenze (in metri).</w:t>
      </w:r>
    </w:p>
    <w:p w14:paraId="7DF5107C" w14:textId="77777777" w:rsidR="00DF3509" w:rsidRDefault="00DF3509">
      <w:pPr>
        <w:pStyle w:val="BodyText"/>
        <w:kinsoku w:val="0"/>
        <w:overflowPunct w:val="0"/>
        <w:spacing w:before="9" w:after="1"/>
        <w:rPr>
          <w:sz w:val="16"/>
          <w:szCs w:val="16"/>
        </w:rPr>
      </w:pPr>
    </w:p>
    <w:tbl>
      <w:tblPr>
        <w:tblW w:w="0" w:type="auto"/>
        <w:tblInd w:w="850" w:type="dxa"/>
        <w:tblLayout w:type="fixed"/>
        <w:tblCellMar>
          <w:left w:w="0" w:type="dxa"/>
          <w:right w:w="0" w:type="dxa"/>
        </w:tblCellMar>
        <w:tblLook w:val="0000" w:firstRow="0" w:lastRow="0" w:firstColumn="0" w:lastColumn="0" w:noHBand="0" w:noVBand="0"/>
      </w:tblPr>
      <w:tblGrid>
        <w:gridCol w:w="2629"/>
        <w:gridCol w:w="4861"/>
      </w:tblGrid>
      <w:tr w:rsidR="00DF3509" w:rsidRPr="001F545D" w14:paraId="1DDE4340" w14:textId="77777777">
        <w:trPr>
          <w:trHeight w:val="206"/>
        </w:trPr>
        <w:tc>
          <w:tcPr>
            <w:tcW w:w="2629" w:type="dxa"/>
            <w:tcBorders>
              <w:top w:val="single" w:sz="4" w:space="0" w:color="000000"/>
              <w:left w:val="single" w:sz="4" w:space="0" w:color="000000"/>
              <w:bottom w:val="single" w:sz="4" w:space="0" w:color="000000"/>
              <w:right w:val="single" w:sz="4" w:space="0" w:color="000000"/>
            </w:tcBorders>
          </w:tcPr>
          <w:p w14:paraId="3D866B3E" w14:textId="77777777" w:rsidR="00DF3509" w:rsidRPr="001F545D" w:rsidRDefault="00DF3509">
            <w:pPr>
              <w:pStyle w:val="TableParagraph"/>
              <w:kinsoku w:val="0"/>
              <w:overflowPunct w:val="0"/>
              <w:spacing w:line="186" w:lineRule="exact"/>
              <w:rPr>
                <w:rFonts w:eastAsia="Times New Roman"/>
                <w:b/>
                <w:bCs/>
                <w:spacing w:val="-2"/>
                <w:sz w:val="18"/>
                <w:szCs w:val="18"/>
              </w:rPr>
            </w:pPr>
            <w:r>
              <w:rPr>
                <w:b/>
                <w:sz w:val="18"/>
              </w:rPr>
              <w:t>Elettrodomestico</w:t>
            </w:r>
          </w:p>
        </w:tc>
        <w:tc>
          <w:tcPr>
            <w:tcW w:w="4861" w:type="dxa"/>
            <w:tcBorders>
              <w:top w:val="single" w:sz="4" w:space="0" w:color="000000"/>
              <w:left w:val="single" w:sz="4" w:space="0" w:color="000000"/>
              <w:bottom w:val="single" w:sz="4" w:space="0" w:color="000000"/>
              <w:right w:val="single" w:sz="4" w:space="0" w:color="000000"/>
            </w:tcBorders>
          </w:tcPr>
          <w:p w14:paraId="68CD0FA6" w14:textId="77777777" w:rsidR="00DF3509" w:rsidRPr="001F545D" w:rsidRDefault="00DF3509">
            <w:pPr>
              <w:pStyle w:val="TableParagraph"/>
              <w:kinsoku w:val="0"/>
              <w:overflowPunct w:val="0"/>
              <w:spacing w:line="186" w:lineRule="exact"/>
              <w:rPr>
                <w:rFonts w:eastAsia="Times New Roman"/>
                <w:b/>
                <w:bCs/>
                <w:spacing w:val="-2"/>
                <w:sz w:val="18"/>
                <w:szCs w:val="18"/>
              </w:rPr>
            </w:pPr>
            <w:r>
              <w:rPr>
                <w:b/>
                <w:sz w:val="18"/>
              </w:rPr>
              <w:t>Distanza minima consigliata (in metri)</w:t>
            </w:r>
          </w:p>
        </w:tc>
      </w:tr>
      <w:tr w:rsidR="00DF3509" w:rsidRPr="001F545D" w14:paraId="3D387124"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72C6AFF6" w14:textId="77777777" w:rsidR="00DF3509" w:rsidRPr="001F545D" w:rsidRDefault="00DF3509">
            <w:pPr>
              <w:pStyle w:val="TableParagraph"/>
              <w:kinsoku w:val="0"/>
              <w:overflowPunct w:val="0"/>
              <w:spacing w:before="1" w:line="187" w:lineRule="exact"/>
              <w:rPr>
                <w:rFonts w:eastAsia="Times New Roman"/>
                <w:spacing w:val="-4"/>
                <w:sz w:val="18"/>
                <w:szCs w:val="18"/>
              </w:rPr>
            </w:pPr>
            <w:r>
              <w:rPr>
                <w:sz w:val="18"/>
              </w:rPr>
              <w:t>Forno a microonde</w:t>
            </w:r>
          </w:p>
        </w:tc>
        <w:tc>
          <w:tcPr>
            <w:tcW w:w="4861" w:type="dxa"/>
            <w:tcBorders>
              <w:top w:val="single" w:sz="4" w:space="0" w:color="000000"/>
              <w:left w:val="single" w:sz="4" w:space="0" w:color="000000"/>
              <w:bottom w:val="single" w:sz="4" w:space="0" w:color="000000"/>
              <w:right w:val="single" w:sz="4" w:space="0" w:color="000000"/>
            </w:tcBorders>
          </w:tcPr>
          <w:p w14:paraId="4B5955AB" w14:textId="77777777" w:rsidR="00DF3509" w:rsidRPr="001F545D" w:rsidRDefault="00DF3509">
            <w:pPr>
              <w:pStyle w:val="TableParagraph"/>
              <w:kinsoku w:val="0"/>
              <w:overflowPunct w:val="0"/>
              <w:spacing w:before="1" w:line="187" w:lineRule="exact"/>
              <w:rPr>
                <w:rFonts w:eastAsia="Times New Roman"/>
                <w:spacing w:val="-2"/>
                <w:sz w:val="18"/>
                <w:szCs w:val="18"/>
              </w:rPr>
            </w:pPr>
            <w:r>
              <w:rPr>
                <w:sz w:val="18"/>
              </w:rPr>
              <w:t>9 metri</w:t>
            </w:r>
          </w:p>
        </w:tc>
      </w:tr>
      <w:tr w:rsidR="00DF3509" w:rsidRPr="001F545D" w14:paraId="6055EE6C" w14:textId="77777777">
        <w:trPr>
          <w:trHeight w:val="206"/>
        </w:trPr>
        <w:tc>
          <w:tcPr>
            <w:tcW w:w="2629" w:type="dxa"/>
            <w:tcBorders>
              <w:top w:val="single" w:sz="4" w:space="0" w:color="000000"/>
              <w:left w:val="single" w:sz="4" w:space="0" w:color="000000"/>
              <w:bottom w:val="single" w:sz="4" w:space="0" w:color="000000"/>
              <w:right w:val="single" w:sz="4" w:space="0" w:color="000000"/>
            </w:tcBorders>
          </w:tcPr>
          <w:p w14:paraId="39593AC2"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Baby monitor - Analogico</w:t>
            </w:r>
          </w:p>
        </w:tc>
        <w:tc>
          <w:tcPr>
            <w:tcW w:w="4861" w:type="dxa"/>
            <w:tcBorders>
              <w:top w:val="single" w:sz="4" w:space="0" w:color="000000"/>
              <w:left w:val="single" w:sz="4" w:space="0" w:color="000000"/>
              <w:bottom w:val="single" w:sz="4" w:space="0" w:color="000000"/>
              <w:right w:val="single" w:sz="4" w:space="0" w:color="000000"/>
            </w:tcBorders>
          </w:tcPr>
          <w:p w14:paraId="2F3005A9"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6 metri</w:t>
            </w:r>
          </w:p>
        </w:tc>
      </w:tr>
      <w:tr w:rsidR="00DF3509" w:rsidRPr="001F545D" w14:paraId="0A07F7FE"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5BA890C1"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Baby monitor - Digitale</w:t>
            </w:r>
          </w:p>
        </w:tc>
        <w:tc>
          <w:tcPr>
            <w:tcW w:w="4861" w:type="dxa"/>
            <w:tcBorders>
              <w:top w:val="single" w:sz="4" w:space="0" w:color="000000"/>
              <w:left w:val="single" w:sz="4" w:space="0" w:color="000000"/>
              <w:bottom w:val="single" w:sz="4" w:space="0" w:color="000000"/>
              <w:right w:val="single" w:sz="4" w:space="0" w:color="000000"/>
            </w:tcBorders>
          </w:tcPr>
          <w:p w14:paraId="6CC62F0D"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12 metri</w:t>
            </w:r>
          </w:p>
        </w:tc>
      </w:tr>
      <w:tr w:rsidR="00DF3509" w:rsidRPr="001F545D" w14:paraId="5421A567" w14:textId="77777777">
        <w:trPr>
          <w:trHeight w:val="206"/>
        </w:trPr>
        <w:tc>
          <w:tcPr>
            <w:tcW w:w="2629" w:type="dxa"/>
            <w:tcBorders>
              <w:top w:val="single" w:sz="4" w:space="0" w:color="000000"/>
              <w:left w:val="single" w:sz="4" w:space="0" w:color="000000"/>
              <w:bottom w:val="single" w:sz="4" w:space="0" w:color="000000"/>
              <w:right w:val="single" w:sz="4" w:space="0" w:color="000000"/>
            </w:tcBorders>
          </w:tcPr>
          <w:p w14:paraId="6EC17EE6"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Telefono cordless - Analogico</w:t>
            </w:r>
          </w:p>
        </w:tc>
        <w:tc>
          <w:tcPr>
            <w:tcW w:w="4861" w:type="dxa"/>
            <w:tcBorders>
              <w:top w:val="single" w:sz="4" w:space="0" w:color="000000"/>
              <w:left w:val="single" w:sz="4" w:space="0" w:color="000000"/>
              <w:bottom w:val="single" w:sz="4" w:space="0" w:color="000000"/>
              <w:right w:val="single" w:sz="4" w:space="0" w:color="000000"/>
            </w:tcBorders>
          </w:tcPr>
          <w:p w14:paraId="102E1D2B"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6 metri</w:t>
            </w:r>
          </w:p>
        </w:tc>
      </w:tr>
      <w:tr w:rsidR="00DF3509" w:rsidRPr="001F545D" w14:paraId="76DFD291"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29D355C2" w14:textId="77777777" w:rsidR="00DF3509" w:rsidRPr="001F545D" w:rsidRDefault="00DF3509">
            <w:pPr>
              <w:pStyle w:val="TableParagraph"/>
              <w:kinsoku w:val="0"/>
              <w:overflowPunct w:val="0"/>
              <w:spacing w:line="189" w:lineRule="exact"/>
              <w:rPr>
                <w:rFonts w:eastAsia="Times New Roman"/>
                <w:spacing w:val="-2"/>
                <w:sz w:val="18"/>
                <w:szCs w:val="18"/>
              </w:rPr>
            </w:pPr>
            <w:r>
              <w:rPr>
                <w:sz w:val="18"/>
              </w:rPr>
              <w:t>Telefono cordless - Digitale</w:t>
            </w:r>
          </w:p>
        </w:tc>
        <w:tc>
          <w:tcPr>
            <w:tcW w:w="4861" w:type="dxa"/>
            <w:tcBorders>
              <w:top w:val="single" w:sz="4" w:space="0" w:color="000000"/>
              <w:left w:val="single" w:sz="4" w:space="0" w:color="000000"/>
              <w:bottom w:val="single" w:sz="4" w:space="0" w:color="000000"/>
              <w:right w:val="single" w:sz="4" w:space="0" w:color="000000"/>
            </w:tcBorders>
          </w:tcPr>
          <w:p w14:paraId="2B8DB830" w14:textId="77777777" w:rsidR="00DF3509" w:rsidRPr="001F545D" w:rsidRDefault="00DF3509">
            <w:pPr>
              <w:pStyle w:val="TableParagraph"/>
              <w:kinsoku w:val="0"/>
              <w:overflowPunct w:val="0"/>
              <w:spacing w:line="189" w:lineRule="exact"/>
              <w:rPr>
                <w:rFonts w:eastAsia="Times New Roman"/>
                <w:spacing w:val="-2"/>
                <w:sz w:val="18"/>
                <w:szCs w:val="18"/>
              </w:rPr>
            </w:pPr>
            <w:r>
              <w:rPr>
                <w:sz w:val="18"/>
              </w:rPr>
              <w:t>9 metri</w:t>
            </w:r>
          </w:p>
        </w:tc>
      </w:tr>
      <w:tr w:rsidR="00DF3509" w:rsidRPr="001F545D" w14:paraId="5A2A26A4" w14:textId="77777777">
        <w:trPr>
          <w:trHeight w:val="205"/>
        </w:trPr>
        <w:tc>
          <w:tcPr>
            <w:tcW w:w="2629" w:type="dxa"/>
            <w:tcBorders>
              <w:top w:val="single" w:sz="4" w:space="0" w:color="000000"/>
              <w:left w:val="single" w:sz="4" w:space="0" w:color="000000"/>
              <w:bottom w:val="single" w:sz="4" w:space="0" w:color="000000"/>
              <w:right w:val="single" w:sz="4" w:space="0" w:color="000000"/>
            </w:tcBorders>
          </w:tcPr>
          <w:p w14:paraId="039DE94F"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Dispositivo Bluetooth</w:t>
            </w:r>
          </w:p>
        </w:tc>
        <w:tc>
          <w:tcPr>
            <w:tcW w:w="4861" w:type="dxa"/>
            <w:tcBorders>
              <w:top w:val="single" w:sz="4" w:space="0" w:color="000000"/>
              <w:left w:val="single" w:sz="4" w:space="0" w:color="000000"/>
              <w:bottom w:val="single" w:sz="4" w:space="0" w:color="000000"/>
              <w:right w:val="single" w:sz="4" w:space="0" w:color="000000"/>
            </w:tcBorders>
          </w:tcPr>
          <w:p w14:paraId="5C0C2D13"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6 metri</w:t>
            </w:r>
          </w:p>
        </w:tc>
      </w:tr>
      <w:tr w:rsidR="00DF3509" w:rsidRPr="001F545D" w14:paraId="27CA5F1B"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1E193B45"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ZigBee</w:t>
            </w:r>
          </w:p>
        </w:tc>
        <w:tc>
          <w:tcPr>
            <w:tcW w:w="4861" w:type="dxa"/>
            <w:tcBorders>
              <w:top w:val="single" w:sz="4" w:space="0" w:color="000000"/>
              <w:left w:val="single" w:sz="4" w:space="0" w:color="000000"/>
              <w:bottom w:val="single" w:sz="4" w:space="0" w:color="000000"/>
              <w:right w:val="single" w:sz="4" w:space="0" w:color="000000"/>
            </w:tcBorders>
          </w:tcPr>
          <w:p w14:paraId="490389CD"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6 metri</w:t>
            </w:r>
          </w:p>
        </w:tc>
      </w:tr>
    </w:tbl>
    <w:p w14:paraId="19AF5C4A" w14:textId="77777777" w:rsidR="009F6DAC" w:rsidRDefault="009F6DAC">
      <w:pPr>
        <w:pStyle w:val="BodyText"/>
        <w:kinsoku w:val="0"/>
        <w:overflowPunct w:val="0"/>
        <w:rPr>
          <w:sz w:val="20"/>
          <w:szCs w:val="20"/>
        </w:rPr>
        <w:sectPr w:rsidR="009F6DAC">
          <w:pgSz w:w="12240" w:h="15840"/>
          <w:pgMar w:top="1360" w:right="680" w:bottom="1140" w:left="600" w:header="0" w:footer="950" w:gutter="0"/>
          <w:cols w:space="720"/>
          <w:noEndnote/>
        </w:sectPr>
      </w:pPr>
    </w:p>
    <w:p w14:paraId="46B0978A" w14:textId="77777777" w:rsidR="00DF3509" w:rsidRDefault="00DF3509">
      <w:pPr>
        <w:pStyle w:val="Heading1"/>
        <w:kinsoku w:val="0"/>
        <w:overflowPunct w:val="0"/>
        <w:spacing w:line="276" w:lineRule="auto"/>
        <w:rPr>
          <w:spacing w:val="-2"/>
        </w:rPr>
      </w:pPr>
      <w:bookmarkStart w:id="70" w:name="_bookmark39"/>
      <w:bookmarkStart w:id="71" w:name="_bookmark56"/>
      <w:bookmarkStart w:id="72" w:name="_Toc147398225"/>
      <w:bookmarkEnd w:id="70"/>
      <w:bookmarkEnd w:id="71"/>
      <w:r>
        <w:lastRenderedPageBreak/>
        <w:t>REQUISITI SULL'ETICHETTA DELLA CONFEZIONE DELLA BATTERIA AGLI IONI DI LITIO E AL LITIO-METALLO</w:t>
      </w:r>
      <w:bookmarkEnd w:id="72"/>
    </w:p>
    <w:p w14:paraId="7FB26D75" w14:textId="77777777" w:rsidR="00DF3509" w:rsidRDefault="00DF3509">
      <w:pPr>
        <w:pStyle w:val="BodyText"/>
        <w:kinsoku w:val="0"/>
        <w:overflowPunct w:val="0"/>
        <w:spacing w:before="59" w:line="280" w:lineRule="auto"/>
        <w:ind w:left="840" w:right="873"/>
      </w:pPr>
      <w:r>
        <w:t>A causa dei problemi relativi alla spedizione di prodotti con batterie agli ioni di litio e al litio-metallo, l'ONU ha sviluppato linee guida relative a test, imballaggi ed etichette appropriati per questi dispositivi.</w:t>
      </w:r>
    </w:p>
    <w:p w14:paraId="7B1E2A05" w14:textId="77777777" w:rsidR="00DF3509" w:rsidRDefault="00DF3509">
      <w:pPr>
        <w:pStyle w:val="BodyText"/>
        <w:kinsoku w:val="0"/>
        <w:overflowPunct w:val="0"/>
        <w:spacing w:before="8"/>
        <w:rPr>
          <w:sz w:val="16"/>
          <w:szCs w:val="16"/>
        </w:rPr>
      </w:pPr>
    </w:p>
    <w:p w14:paraId="4F3F0038" w14:textId="77777777" w:rsidR="00DF3509" w:rsidRDefault="00DF3509">
      <w:pPr>
        <w:pStyle w:val="Heading3"/>
        <w:kinsoku w:val="0"/>
        <w:overflowPunct w:val="0"/>
        <w:rPr>
          <w:spacing w:val="-2"/>
        </w:rPr>
      </w:pPr>
      <w:bookmarkStart w:id="73" w:name="_bookmark57"/>
      <w:bookmarkStart w:id="74" w:name="_Toc147398226"/>
      <w:bookmarkEnd w:id="73"/>
      <w:r>
        <w:t>Batterie agli ioni di litio e al litio-metallo</w:t>
      </w:r>
      <w:bookmarkEnd w:id="74"/>
    </w:p>
    <w:p w14:paraId="3EF84EAB" w14:textId="77777777" w:rsidR="00DF3509" w:rsidRDefault="00DF3509">
      <w:pPr>
        <w:pStyle w:val="BodyText"/>
        <w:kinsoku w:val="0"/>
        <w:overflowPunct w:val="0"/>
        <w:spacing w:before="91" w:line="278" w:lineRule="auto"/>
        <w:ind w:left="840" w:right="873"/>
      </w:pPr>
      <w:r>
        <w:t>Le batterie agli ioni di litio, in genere, sono ricaricabili, mentre le batterie al litio-metallo, in genere, non sono ricaricabili. Entrambi i tipi di batterie potrebbero causare incendi se danneggiate o imballate in modo errato.</w:t>
      </w:r>
    </w:p>
    <w:p w14:paraId="56EEC64B" w14:textId="77777777" w:rsidR="00DF3509" w:rsidRDefault="00DF3509">
      <w:pPr>
        <w:pStyle w:val="BodyText"/>
        <w:kinsoku w:val="0"/>
        <w:overflowPunct w:val="0"/>
        <w:spacing w:before="1"/>
        <w:rPr>
          <w:sz w:val="17"/>
          <w:szCs w:val="17"/>
        </w:rPr>
      </w:pPr>
    </w:p>
    <w:p w14:paraId="213A12B9" w14:textId="77777777" w:rsidR="00DF3509" w:rsidRDefault="00DF3509">
      <w:pPr>
        <w:pStyle w:val="Heading3"/>
        <w:kinsoku w:val="0"/>
        <w:overflowPunct w:val="0"/>
        <w:rPr>
          <w:spacing w:val="-2"/>
        </w:rPr>
      </w:pPr>
      <w:bookmarkStart w:id="75" w:name="_bookmark58"/>
      <w:bookmarkStart w:id="76" w:name="_Toc147398227"/>
      <w:bookmarkEnd w:id="75"/>
      <w:r>
        <w:t>Requisiti per l'etichettatura di batterie agli ioni di litio e al litio-metallo</w:t>
      </w:r>
      <w:bookmarkEnd w:id="76"/>
    </w:p>
    <w:p w14:paraId="4BED1720" w14:textId="77777777" w:rsidR="00DF3509" w:rsidRDefault="00DF3509">
      <w:pPr>
        <w:pStyle w:val="BodyText"/>
        <w:kinsoku w:val="0"/>
        <w:overflowPunct w:val="0"/>
        <w:spacing w:before="91" w:line="278" w:lineRule="auto"/>
        <w:ind w:left="840" w:right="779"/>
      </w:pPr>
      <w:r>
        <w:t>Le etichette richieste devono essere presenti sui pallet e sul cartone principale, accompagnati da un documento come una lettera di vettura o di altro tipo che indicano quanto segue (documento di guida sulle batterie al litio del 2014):</w:t>
      </w:r>
    </w:p>
    <w:p w14:paraId="619D113F" w14:textId="77777777" w:rsidR="00DF3509" w:rsidRDefault="00DF3509">
      <w:pPr>
        <w:pStyle w:val="BodyText"/>
        <w:kinsoku w:val="0"/>
        <w:overflowPunct w:val="0"/>
        <w:spacing w:before="1"/>
        <w:rPr>
          <w:sz w:val="17"/>
          <w:szCs w:val="17"/>
        </w:rPr>
      </w:pPr>
    </w:p>
    <w:p w14:paraId="61AB89EE" w14:textId="77777777" w:rsidR="00DF3509" w:rsidRDefault="00DF3509">
      <w:pPr>
        <w:pStyle w:val="ListParagraph"/>
        <w:numPr>
          <w:ilvl w:val="0"/>
          <w:numId w:val="2"/>
        </w:numPr>
        <w:tabs>
          <w:tab w:val="left" w:pos="1560"/>
        </w:tabs>
        <w:kinsoku w:val="0"/>
        <w:overflowPunct w:val="0"/>
        <w:rPr>
          <w:spacing w:val="-2"/>
          <w:sz w:val="18"/>
          <w:szCs w:val="18"/>
        </w:rPr>
      </w:pPr>
      <w:r>
        <w:rPr>
          <w:sz w:val="18"/>
        </w:rPr>
        <w:t>La confezione contiene pile o batterie agli ioni di litio</w:t>
      </w:r>
    </w:p>
    <w:p w14:paraId="0CD76CD2" w14:textId="77777777" w:rsidR="00DF3509" w:rsidRDefault="00DF3509">
      <w:pPr>
        <w:pStyle w:val="ListParagraph"/>
        <w:numPr>
          <w:ilvl w:val="0"/>
          <w:numId w:val="2"/>
        </w:numPr>
        <w:tabs>
          <w:tab w:val="left" w:pos="1560"/>
        </w:tabs>
        <w:kinsoku w:val="0"/>
        <w:overflowPunct w:val="0"/>
        <w:spacing w:before="29"/>
        <w:rPr>
          <w:spacing w:val="-2"/>
          <w:sz w:val="18"/>
          <w:szCs w:val="18"/>
        </w:rPr>
      </w:pPr>
      <w:r>
        <w:rPr>
          <w:sz w:val="18"/>
        </w:rPr>
        <w:t>La confezione deve essere maneggiata con cura e, se viene danneggiata, esiste il pericolo di infiammabilità</w:t>
      </w:r>
    </w:p>
    <w:p w14:paraId="3F766358" w14:textId="77777777" w:rsidR="00DF3509" w:rsidRDefault="00DF3509">
      <w:pPr>
        <w:pStyle w:val="ListParagraph"/>
        <w:numPr>
          <w:ilvl w:val="0"/>
          <w:numId w:val="2"/>
        </w:numPr>
        <w:tabs>
          <w:tab w:val="left" w:pos="1560"/>
        </w:tabs>
        <w:kinsoku w:val="0"/>
        <w:overflowPunct w:val="0"/>
        <w:spacing w:before="29"/>
        <w:rPr>
          <w:spacing w:val="-2"/>
          <w:sz w:val="18"/>
          <w:szCs w:val="18"/>
        </w:rPr>
      </w:pPr>
      <w:r>
        <w:rPr>
          <w:sz w:val="18"/>
        </w:rPr>
        <w:t>Procedure speciali da seguire in caso di danneggiamento della confezione</w:t>
      </w:r>
    </w:p>
    <w:p w14:paraId="3BCE0381" w14:textId="77777777" w:rsidR="00DF3509" w:rsidRDefault="00DF3509">
      <w:pPr>
        <w:pStyle w:val="ListParagraph"/>
        <w:numPr>
          <w:ilvl w:val="0"/>
          <w:numId w:val="2"/>
        </w:numPr>
        <w:tabs>
          <w:tab w:val="left" w:pos="1560"/>
        </w:tabs>
        <w:kinsoku w:val="0"/>
        <w:overflowPunct w:val="0"/>
        <w:spacing w:before="34"/>
        <w:rPr>
          <w:spacing w:val="-2"/>
          <w:sz w:val="18"/>
          <w:szCs w:val="18"/>
        </w:rPr>
      </w:pPr>
      <w:r>
        <w:rPr>
          <w:sz w:val="18"/>
        </w:rPr>
        <w:t>Informazioni di contatto</w:t>
      </w:r>
    </w:p>
    <w:p w14:paraId="69695237" w14:textId="77777777" w:rsidR="00DF3509" w:rsidRDefault="00DF3509">
      <w:pPr>
        <w:pStyle w:val="BodyText"/>
        <w:kinsoku w:val="0"/>
        <w:overflowPunct w:val="0"/>
        <w:spacing w:before="7"/>
        <w:rPr>
          <w:sz w:val="19"/>
          <w:szCs w:val="19"/>
        </w:rPr>
      </w:pPr>
    </w:p>
    <w:p w14:paraId="0883E678" w14:textId="77777777" w:rsidR="00DF3509" w:rsidRDefault="00DF3509">
      <w:pPr>
        <w:pStyle w:val="BodyText"/>
        <w:kinsoku w:val="0"/>
        <w:overflowPunct w:val="0"/>
        <w:spacing w:before="1" w:line="278" w:lineRule="auto"/>
        <w:ind w:left="840" w:right="873"/>
      </w:pPr>
      <w:r>
        <w:t>In conformità alle disposizioni sulle merci pericolose previste dalla IATA, diverse etichette si applicano a diversi wattora per le batterie agli ioni di litio e a diverse masse per quelle al litio-metallo. Il calcolo per wattore è:</w:t>
      </w:r>
    </w:p>
    <w:p w14:paraId="472D3EF1" w14:textId="77777777" w:rsidR="00DF3509" w:rsidRDefault="00DF3509">
      <w:pPr>
        <w:pStyle w:val="BodyText"/>
        <w:kinsoku w:val="0"/>
        <w:overflowPunct w:val="0"/>
        <w:spacing w:before="3"/>
        <w:rPr>
          <w:sz w:val="17"/>
          <w:szCs w:val="17"/>
        </w:rPr>
      </w:pPr>
    </w:p>
    <w:p w14:paraId="2DD489FB" w14:textId="77777777" w:rsidR="00DF3509" w:rsidRDefault="00DF3509">
      <w:pPr>
        <w:pStyle w:val="BodyText"/>
        <w:kinsoku w:val="0"/>
        <w:overflowPunct w:val="0"/>
        <w:spacing w:line="508" w:lineRule="auto"/>
        <w:ind w:left="840" w:right="4752" w:firstLine="719"/>
      </w:pPr>
      <w:r>
        <w:t>Tensione nominale x Capacità nominale (Ah) = Wattora I valori di volt e ampere si trovano nel foglio dei dati delle batterie. Consultare la tabella riportata di seguito per individuare l'etichetta corretta da utilizzare.</w:t>
      </w:r>
    </w:p>
    <w:tbl>
      <w:tblPr>
        <w:tblW w:w="0" w:type="auto"/>
        <w:tblInd w:w="123" w:type="dxa"/>
        <w:tblLayout w:type="fixed"/>
        <w:tblCellMar>
          <w:left w:w="0" w:type="dxa"/>
          <w:right w:w="0" w:type="dxa"/>
        </w:tblCellMar>
        <w:tblLook w:val="0000" w:firstRow="0" w:lastRow="0" w:firstColumn="0" w:lastColumn="0" w:noHBand="0" w:noVBand="0"/>
      </w:tblPr>
      <w:tblGrid>
        <w:gridCol w:w="2657"/>
        <w:gridCol w:w="3135"/>
        <w:gridCol w:w="1840"/>
        <w:gridCol w:w="3103"/>
      </w:tblGrid>
      <w:tr w:rsidR="00DF3509" w:rsidRPr="001F545D" w14:paraId="120F5206" w14:textId="77777777">
        <w:trPr>
          <w:trHeight w:val="439"/>
        </w:trPr>
        <w:tc>
          <w:tcPr>
            <w:tcW w:w="10735" w:type="dxa"/>
            <w:gridSpan w:val="4"/>
            <w:tcBorders>
              <w:top w:val="single" w:sz="4" w:space="0" w:color="000000"/>
              <w:left w:val="single" w:sz="4" w:space="0" w:color="000000"/>
              <w:bottom w:val="single" w:sz="4" w:space="0" w:color="000000"/>
              <w:right w:val="single" w:sz="4" w:space="0" w:color="000000"/>
            </w:tcBorders>
          </w:tcPr>
          <w:p w14:paraId="4DBE2146" w14:textId="77777777" w:rsidR="00DF3509" w:rsidRPr="001F545D" w:rsidRDefault="00DF3509">
            <w:pPr>
              <w:pStyle w:val="TableParagraph"/>
              <w:kinsoku w:val="0"/>
              <w:overflowPunct w:val="0"/>
              <w:spacing w:line="207" w:lineRule="exact"/>
              <w:rPr>
                <w:rFonts w:eastAsia="Times New Roman"/>
                <w:spacing w:val="-2"/>
                <w:sz w:val="18"/>
                <w:szCs w:val="18"/>
              </w:rPr>
            </w:pPr>
            <w:r>
              <w:rPr>
                <w:sz w:val="18"/>
              </w:rPr>
              <w:t>Etichette richieste per il trasporto delle batterie (Manuale delle prove e dei criteri dell'ONU, parte III, sottosezione 38.3)</w:t>
            </w:r>
          </w:p>
        </w:tc>
      </w:tr>
      <w:tr w:rsidR="00DF3509" w:rsidRPr="001F545D" w14:paraId="214F3F55" w14:textId="77777777">
        <w:trPr>
          <w:trHeight w:val="438"/>
        </w:trPr>
        <w:tc>
          <w:tcPr>
            <w:tcW w:w="10735" w:type="dxa"/>
            <w:gridSpan w:val="4"/>
            <w:tcBorders>
              <w:top w:val="single" w:sz="4" w:space="0" w:color="000000"/>
              <w:left w:val="single" w:sz="4" w:space="0" w:color="000000"/>
              <w:bottom w:val="single" w:sz="4" w:space="0" w:color="000000"/>
              <w:right w:val="single" w:sz="4" w:space="0" w:color="000000"/>
            </w:tcBorders>
          </w:tcPr>
          <w:p w14:paraId="70CA709E" w14:textId="77777777" w:rsidR="00DF3509" w:rsidRPr="001F545D" w:rsidRDefault="00DF3509">
            <w:pPr>
              <w:pStyle w:val="TableParagraph"/>
              <w:kinsoku w:val="0"/>
              <w:overflowPunct w:val="0"/>
              <w:spacing w:line="204" w:lineRule="exact"/>
              <w:ind w:left="3910" w:right="3902"/>
              <w:jc w:val="center"/>
              <w:rPr>
                <w:rFonts w:eastAsia="Times New Roman"/>
                <w:spacing w:val="-2"/>
                <w:sz w:val="18"/>
                <w:szCs w:val="18"/>
              </w:rPr>
            </w:pPr>
            <w:r>
              <w:rPr>
                <w:sz w:val="18"/>
              </w:rPr>
              <w:t>Requisiti sull'etichetta delle batterie agli ioni di litio</w:t>
            </w:r>
          </w:p>
        </w:tc>
      </w:tr>
      <w:tr w:rsidR="00DF3509" w:rsidRPr="001F545D" w14:paraId="570AC986" w14:textId="77777777">
        <w:trPr>
          <w:trHeight w:val="436"/>
        </w:trPr>
        <w:tc>
          <w:tcPr>
            <w:tcW w:w="2657" w:type="dxa"/>
            <w:tcBorders>
              <w:top w:val="single" w:sz="4" w:space="0" w:color="000000"/>
              <w:left w:val="single" w:sz="4" w:space="0" w:color="000000"/>
              <w:bottom w:val="single" w:sz="4" w:space="0" w:color="000000"/>
              <w:right w:val="single" w:sz="4" w:space="0" w:color="000000"/>
            </w:tcBorders>
          </w:tcPr>
          <w:p w14:paraId="783D62F0" w14:textId="77777777" w:rsidR="00DF3509" w:rsidRPr="001F545D" w:rsidRDefault="00DF3509">
            <w:pPr>
              <w:pStyle w:val="TableParagraph"/>
              <w:kinsoku w:val="0"/>
              <w:overflowPunct w:val="0"/>
              <w:spacing w:line="204" w:lineRule="exact"/>
              <w:rPr>
                <w:rFonts w:eastAsia="Times New Roman"/>
                <w:b/>
                <w:bCs/>
                <w:spacing w:val="-2"/>
                <w:sz w:val="18"/>
                <w:szCs w:val="18"/>
              </w:rPr>
            </w:pPr>
            <w:r>
              <w:rPr>
                <w:b/>
                <w:sz w:val="18"/>
              </w:rPr>
              <w:t>Spedizione della batteria</w:t>
            </w:r>
          </w:p>
        </w:tc>
        <w:tc>
          <w:tcPr>
            <w:tcW w:w="3135" w:type="dxa"/>
            <w:tcBorders>
              <w:top w:val="single" w:sz="4" w:space="0" w:color="000000"/>
              <w:left w:val="single" w:sz="4" w:space="0" w:color="000000"/>
              <w:bottom w:val="single" w:sz="4" w:space="0" w:color="000000"/>
              <w:right w:val="single" w:sz="4" w:space="0" w:color="000000"/>
            </w:tcBorders>
          </w:tcPr>
          <w:p w14:paraId="660980D4" w14:textId="77777777" w:rsidR="00DF3509" w:rsidRPr="001F545D" w:rsidRDefault="00DF3509">
            <w:pPr>
              <w:pStyle w:val="TableParagraph"/>
              <w:kinsoku w:val="0"/>
              <w:overflowPunct w:val="0"/>
              <w:spacing w:line="204" w:lineRule="exact"/>
              <w:rPr>
                <w:rFonts w:eastAsia="Times New Roman"/>
                <w:b/>
                <w:bCs/>
                <w:spacing w:val="-2"/>
                <w:sz w:val="18"/>
                <w:szCs w:val="18"/>
              </w:rPr>
            </w:pPr>
            <w:r>
              <w:rPr>
                <w:b/>
                <w:sz w:val="18"/>
              </w:rPr>
              <w:t>Wh (wattora)</w:t>
            </w:r>
          </w:p>
        </w:tc>
        <w:tc>
          <w:tcPr>
            <w:tcW w:w="1840" w:type="dxa"/>
            <w:tcBorders>
              <w:top w:val="single" w:sz="4" w:space="0" w:color="000000"/>
              <w:left w:val="single" w:sz="4" w:space="0" w:color="000000"/>
              <w:bottom w:val="single" w:sz="4" w:space="0" w:color="000000"/>
              <w:right w:val="single" w:sz="4" w:space="0" w:color="000000"/>
            </w:tcBorders>
          </w:tcPr>
          <w:p w14:paraId="15A037BC" w14:textId="77777777" w:rsidR="00DF3509" w:rsidRPr="001F545D" w:rsidRDefault="00DF3509">
            <w:pPr>
              <w:pStyle w:val="TableParagraph"/>
              <w:kinsoku w:val="0"/>
              <w:overflowPunct w:val="0"/>
              <w:spacing w:line="204" w:lineRule="exact"/>
              <w:ind w:left="108"/>
              <w:rPr>
                <w:rFonts w:eastAsia="Times New Roman"/>
                <w:b/>
                <w:bCs/>
                <w:spacing w:val="-2"/>
                <w:sz w:val="18"/>
                <w:szCs w:val="18"/>
              </w:rPr>
            </w:pPr>
            <w:r>
              <w:rPr>
                <w:b/>
                <w:sz w:val="18"/>
              </w:rPr>
              <w:t>Classificazione</w:t>
            </w:r>
          </w:p>
        </w:tc>
        <w:tc>
          <w:tcPr>
            <w:tcW w:w="3103" w:type="dxa"/>
            <w:tcBorders>
              <w:top w:val="single" w:sz="4" w:space="0" w:color="000000"/>
              <w:left w:val="single" w:sz="4" w:space="0" w:color="000000"/>
              <w:bottom w:val="single" w:sz="4" w:space="0" w:color="000000"/>
              <w:right w:val="single" w:sz="4" w:space="0" w:color="000000"/>
            </w:tcBorders>
          </w:tcPr>
          <w:p w14:paraId="3E86DE4B" w14:textId="77777777" w:rsidR="00DF3509" w:rsidRPr="001F545D" w:rsidRDefault="00DF3509">
            <w:pPr>
              <w:pStyle w:val="TableParagraph"/>
              <w:kinsoku w:val="0"/>
              <w:overflowPunct w:val="0"/>
              <w:spacing w:line="204" w:lineRule="exact"/>
              <w:ind w:left="109"/>
              <w:rPr>
                <w:rFonts w:eastAsia="Times New Roman"/>
                <w:b/>
                <w:bCs/>
                <w:spacing w:val="-2"/>
                <w:sz w:val="18"/>
                <w:szCs w:val="18"/>
              </w:rPr>
            </w:pPr>
            <w:r>
              <w:rPr>
                <w:b/>
                <w:sz w:val="18"/>
              </w:rPr>
              <w:t>Limite peso/confezione della batteria</w:t>
            </w:r>
          </w:p>
        </w:tc>
      </w:tr>
      <w:tr w:rsidR="00DF3509" w:rsidRPr="001F545D" w14:paraId="626C8CEA" w14:textId="77777777">
        <w:trPr>
          <w:trHeight w:val="676"/>
        </w:trPr>
        <w:tc>
          <w:tcPr>
            <w:tcW w:w="2657" w:type="dxa"/>
            <w:tcBorders>
              <w:top w:val="single" w:sz="4" w:space="0" w:color="000000"/>
              <w:left w:val="single" w:sz="4" w:space="0" w:color="000000"/>
              <w:bottom w:val="single" w:sz="4" w:space="0" w:color="000000"/>
              <w:right w:val="single" w:sz="4" w:space="0" w:color="000000"/>
            </w:tcBorders>
          </w:tcPr>
          <w:p w14:paraId="53E1F132" w14:textId="77777777" w:rsidR="00DF3509" w:rsidRPr="001F545D" w:rsidRDefault="00DF3509">
            <w:pPr>
              <w:pStyle w:val="TableParagraph"/>
              <w:kinsoku w:val="0"/>
              <w:overflowPunct w:val="0"/>
              <w:spacing w:line="278" w:lineRule="auto"/>
              <w:rPr>
                <w:rFonts w:eastAsia="Times New Roman"/>
                <w:sz w:val="18"/>
                <w:szCs w:val="18"/>
              </w:rPr>
            </w:pPr>
            <w:r>
              <w:rPr>
                <w:sz w:val="18"/>
              </w:rPr>
              <w:t>Contenuta nell'apparecchio (installata nell'apparecchio)</w:t>
            </w:r>
          </w:p>
        </w:tc>
        <w:tc>
          <w:tcPr>
            <w:tcW w:w="3135" w:type="dxa"/>
            <w:tcBorders>
              <w:top w:val="single" w:sz="4" w:space="0" w:color="000000"/>
              <w:left w:val="single" w:sz="4" w:space="0" w:color="000000"/>
              <w:bottom w:val="single" w:sz="4" w:space="0" w:color="000000"/>
              <w:right w:val="single" w:sz="4" w:space="0" w:color="000000"/>
            </w:tcBorders>
          </w:tcPr>
          <w:p w14:paraId="1DEEEB00" w14:textId="77777777" w:rsidR="00DF3509" w:rsidRPr="001F545D" w:rsidRDefault="00DF3509">
            <w:pPr>
              <w:pStyle w:val="TableParagraph"/>
              <w:kinsoku w:val="0"/>
              <w:overflowPunct w:val="0"/>
              <w:spacing w:line="206" w:lineRule="exact"/>
              <w:rPr>
                <w:rFonts w:eastAsia="Times New Roman"/>
                <w:spacing w:val="-4"/>
                <w:sz w:val="18"/>
                <w:szCs w:val="18"/>
              </w:rPr>
            </w:pPr>
            <w:r>
              <w:rPr>
                <w:sz w:val="18"/>
              </w:rPr>
              <w:t>Uguale o inferiore a 100 Wh</w:t>
            </w:r>
          </w:p>
        </w:tc>
        <w:tc>
          <w:tcPr>
            <w:tcW w:w="1840" w:type="dxa"/>
            <w:tcBorders>
              <w:top w:val="single" w:sz="4" w:space="0" w:color="000000"/>
              <w:left w:val="single" w:sz="4" w:space="0" w:color="000000"/>
              <w:bottom w:val="single" w:sz="4" w:space="0" w:color="000000"/>
              <w:right w:val="single" w:sz="4" w:space="0" w:color="000000"/>
            </w:tcBorders>
          </w:tcPr>
          <w:p w14:paraId="71BA1EB0" w14:textId="77777777" w:rsidR="00DF3509" w:rsidRPr="001F545D" w:rsidRDefault="00DF3509">
            <w:pPr>
              <w:pStyle w:val="TableParagraph"/>
              <w:kinsoku w:val="0"/>
              <w:overflowPunct w:val="0"/>
              <w:spacing w:line="206" w:lineRule="exact"/>
              <w:ind w:left="108"/>
              <w:rPr>
                <w:rFonts w:eastAsia="Times New Roman"/>
                <w:spacing w:val="-5"/>
                <w:sz w:val="18"/>
                <w:szCs w:val="18"/>
              </w:rPr>
            </w:pPr>
            <w:r>
              <w:rPr>
                <w:sz w:val="18"/>
              </w:rPr>
              <w:t>Figura 1</w:t>
            </w:r>
          </w:p>
        </w:tc>
        <w:tc>
          <w:tcPr>
            <w:tcW w:w="3103" w:type="dxa"/>
            <w:tcBorders>
              <w:top w:val="single" w:sz="4" w:space="0" w:color="000000"/>
              <w:left w:val="single" w:sz="4" w:space="0" w:color="000000"/>
              <w:bottom w:val="single" w:sz="4" w:space="0" w:color="000000"/>
              <w:right w:val="single" w:sz="4" w:space="0" w:color="000000"/>
            </w:tcBorders>
          </w:tcPr>
          <w:p w14:paraId="0C382EEA" w14:textId="77777777" w:rsidR="00DF3509" w:rsidRPr="001F545D" w:rsidRDefault="00DF3509">
            <w:pPr>
              <w:pStyle w:val="TableParagraph"/>
              <w:kinsoku w:val="0"/>
              <w:overflowPunct w:val="0"/>
              <w:spacing w:line="278" w:lineRule="auto"/>
              <w:ind w:left="109" w:right="1745"/>
              <w:rPr>
                <w:rFonts w:eastAsia="Times New Roman"/>
                <w:spacing w:val="-5"/>
                <w:sz w:val="18"/>
                <w:szCs w:val="18"/>
              </w:rPr>
            </w:pPr>
            <w:r>
              <w:rPr>
                <w:sz w:val="18"/>
              </w:rPr>
              <w:t>PAX = 5 kg CAO = 5kg</w:t>
            </w:r>
          </w:p>
        </w:tc>
      </w:tr>
    </w:tbl>
    <w:p w14:paraId="7966D8E7" w14:textId="77777777" w:rsidR="00DF3509" w:rsidRDefault="00DF3509">
      <w:pPr>
        <w:rPr>
          <w:sz w:val="18"/>
          <w:szCs w:val="18"/>
        </w:rPr>
        <w:sectPr w:rsidR="00DF3509">
          <w:pgSz w:w="12240" w:h="15840"/>
          <w:pgMar w:top="1400" w:right="680" w:bottom="1140" w:left="600" w:header="0" w:footer="950" w:gutter="0"/>
          <w:cols w:space="720"/>
          <w:noEndnote/>
        </w:sectPr>
      </w:pPr>
    </w:p>
    <w:tbl>
      <w:tblPr>
        <w:tblW w:w="0" w:type="auto"/>
        <w:tblInd w:w="123" w:type="dxa"/>
        <w:tblLayout w:type="fixed"/>
        <w:tblCellMar>
          <w:left w:w="0" w:type="dxa"/>
          <w:right w:w="0" w:type="dxa"/>
        </w:tblCellMar>
        <w:tblLook w:val="0000" w:firstRow="0" w:lastRow="0" w:firstColumn="0" w:lastColumn="0" w:noHBand="0" w:noVBand="0"/>
      </w:tblPr>
      <w:tblGrid>
        <w:gridCol w:w="2657"/>
        <w:gridCol w:w="3135"/>
        <w:gridCol w:w="1840"/>
        <w:gridCol w:w="3103"/>
      </w:tblGrid>
      <w:tr w:rsidR="00496E31" w:rsidRPr="001F545D" w14:paraId="19E63A20" w14:textId="77777777">
        <w:trPr>
          <w:trHeight w:val="1552"/>
        </w:trPr>
        <w:tc>
          <w:tcPr>
            <w:tcW w:w="2657" w:type="dxa"/>
            <w:tcBorders>
              <w:top w:val="single" w:sz="4" w:space="0" w:color="000000"/>
              <w:left w:val="single" w:sz="4" w:space="0" w:color="000000"/>
              <w:bottom w:val="single" w:sz="4" w:space="0" w:color="000000"/>
              <w:right w:val="single" w:sz="4" w:space="0" w:color="000000"/>
            </w:tcBorders>
          </w:tcPr>
          <w:p w14:paraId="799C0555" w14:textId="77777777" w:rsidR="00496E31" w:rsidRPr="001F545D" w:rsidRDefault="00496E31" w:rsidP="00496E31">
            <w:pPr>
              <w:pStyle w:val="TableParagraph"/>
              <w:kinsoku w:val="0"/>
              <w:overflowPunct w:val="0"/>
              <w:spacing w:before="1"/>
              <w:rPr>
                <w:rFonts w:eastAsia="Times New Roman"/>
                <w:spacing w:val="-2"/>
                <w:sz w:val="18"/>
                <w:szCs w:val="18"/>
              </w:rPr>
            </w:pPr>
            <w:r>
              <w:rPr>
                <w:sz w:val="18"/>
              </w:rPr>
              <w:lastRenderedPageBreak/>
              <w:t>Da sola</w:t>
            </w:r>
          </w:p>
        </w:tc>
        <w:tc>
          <w:tcPr>
            <w:tcW w:w="3135" w:type="dxa"/>
            <w:tcBorders>
              <w:top w:val="single" w:sz="4" w:space="0" w:color="000000"/>
              <w:left w:val="single" w:sz="4" w:space="0" w:color="000000"/>
              <w:bottom w:val="single" w:sz="4" w:space="0" w:color="000000"/>
              <w:right w:val="single" w:sz="4" w:space="0" w:color="000000"/>
            </w:tcBorders>
          </w:tcPr>
          <w:p w14:paraId="718591FA" w14:textId="77777777" w:rsidR="00496E31" w:rsidRPr="001F545D" w:rsidRDefault="00496E31" w:rsidP="00496E31">
            <w:pPr>
              <w:pStyle w:val="TableParagraph"/>
              <w:kinsoku w:val="0"/>
              <w:overflowPunct w:val="0"/>
              <w:spacing w:before="1"/>
              <w:rPr>
                <w:rFonts w:eastAsia="Times New Roman"/>
                <w:spacing w:val="-4"/>
                <w:sz w:val="18"/>
                <w:szCs w:val="18"/>
              </w:rPr>
            </w:pPr>
            <w:r>
              <w:rPr>
                <w:sz w:val="18"/>
              </w:rPr>
              <w:t>Uguale o inferiore a 100 Wh</w:t>
            </w:r>
          </w:p>
        </w:tc>
        <w:tc>
          <w:tcPr>
            <w:tcW w:w="1840" w:type="dxa"/>
            <w:tcBorders>
              <w:top w:val="single" w:sz="4" w:space="0" w:color="000000"/>
              <w:left w:val="single" w:sz="4" w:space="0" w:color="000000"/>
              <w:bottom w:val="single" w:sz="4" w:space="0" w:color="000000"/>
              <w:right w:val="single" w:sz="4" w:space="0" w:color="000000"/>
            </w:tcBorders>
          </w:tcPr>
          <w:p w14:paraId="2C3E06A7"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sz w:val="18"/>
              </w:rPr>
              <w:t>Figura 1</w:t>
            </w:r>
          </w:p>
        </w:tc>
        <w:tc>
          <w:tcPr>
            <w:tcW w:w="3103" w:type="dxa"/>
            <w:tcBorders>
              <w:top w:val="single" w:sz="4" w:space="0" w:color="000000"/>
              <w:left w:val="single" w:sz="4" w:space="0" w:color="000000"/>
              <w:bottom w:val="single" w:sz="4" w:space="0" w:color="000000"/>
              <w:right w:val="single" w:sz="4" w:space="0" w:color="000000"/>
            </w:tcBorders>
          </w:tcPr>
          <w:p w14:paraId="6291FE9F" w14:textId="77777777" w:rsidR="00496E31" w:rsidRPr="001F545D" w:rsidRDefault="00496E31" w:rsidP="00496E31">
            <w:pPr>
              <w:pStyle w:val="TableParagraph"/>
              <w:kinsoku w:val="0"/>
              <w:overflowPunct w:val="0"/>
              <w:spacing w:before="1" w:line="508" w:lineRule="auto"/>
              <w:ind w:left="109"/>
              <w:rPr>
                <w:rFonts w:eastAsia="Times New Roman"/>
                <w:spacing w:val="-6"/>
                <w:sz w:val="18"/>
                <w:szCs w:val="18"/>
              </w:rPr>
            </w:pPr>
            <w:r>
              <w:rPr>
                <w:sz w:val="18"/>
              </w:rPr>
              <w:t>Uguale o inferiore a 2,7 Wh = 2,5 kg OPPURE</w:t>
            </w:r>
          </w:p>
          <w:p w14:paraId="15E1FE52" w14:textId="77777777" w:rsidR="00496E31" w:rsidRPr="001F545D" w:rsidRDefault="00496E31" w:rsidP="00496E31">
            <w:pPr>
              <w:pStyle w:val="TableParagraph"/>
              <w:kinsoku w:val="0"/>
              <w:overflowPunct w:val="0"/>
              <w:spacing w:line="278" w:lineRule="auto"/>
              <w:ind w:left="109"/>
              <w:rPr>
                <w:rFonts w:eastAsia="Times New Roman"/>
                <w:sz w:val="18"/>
                <w:szCs w:val="18"/>
              </w:rPr>
            </w:pPr>
            <w:r>
              <w:rPr>
                <w:sz w:val="18"/>
              </w:rPr>
              <w:t>Superiore a 2,7 Wh, ma uguale o inferiore a 100 Wh = 2 batterie</w:t>
            </w:r>
          </w:p>
        </w:tc>
      </w:tr>
      <w:tr w:rsidR="00496E31" w:rsidRPr="001F545D" w14:paraId="6C6A485F" w14:textId="77777777">
        <w:trPr>
          <w:trHeight w:val="914"/>
        </w:trPr>
        <w:tc>
          <w:tcPr>
            <w:tcW w:w="2657" w:type="dxa"/>
            <w:tcBorders>
              <w:top w:val="single" w:sz="4" w:space="0" w:color="000000"/>
              <w:left w:val="single" w:sz="4" w:space="0" w:color="000000"/>
              <w:bottom w:val="single" w:sz="4" w:space="0" w:color="000000"/>
              <w:right w:val="single" w:sz="4" w:space="0" w:color="000000"/>
            </w:tcBorders>
          </w:tcPr>
          <w:p w14:paraId="3050A927" w14:textId="77777777" w:rsidR="00496E31" w:rsidRPr="001F545D" w:rsidRDefault="00496E31" w:rsidP="00496E31">
            <w:pPr>
              <w:pStyle w:val="TableParagraph"/>
              <w:kinsoku w:val="0"/>
              <w:overflowPunct w:val="0"/>
              <w:spacing w:line="276" w:lineRule="auto"/>
              <w:rPr>
                <w:rFonts w:eastAsia="Times New Roman"/>
                <w:spacing w:val="-2"/>
                <w:sz w:val="18"/>
                <w:szCs w:val="18"/>
              </w:rPr>
            </w:pPr>
            <w:r>
              <w:rPr>
                <w:sz w:val="18"/>
              </w:rPr>
              <w:t>Imballata separatamente insieme all'apparecchio (non installata nell'apparecchio)</w:t>
            </w:r>
          </w:p>
        </w:tc>
        <w:tc>
          <w:tcPr>
            <w:tcW w:w="3135" w:type="dxa"/>
            <w:tcBorders>
              <w:top w:val="single" w:sz="4" w:space="0" w:color="000000"/>
              <w:left w:val="single" w:sz="4" w:space="0" w:color="000000"/>
              <w:bottom w:val="single" w:sz="4" w:space="0" w:color="000000"/>
              <w:right w:val="single" w:sz="4" w:space="0" w:color="000000"/>
            </w:tcBorders>
          </w:tcPr>
          <w:p w14:paraId="21761A9B" w14:textId="77777777" w:rsidR="00496E31" w:rsidRPr="001F545D" w:rsidRDefault="00496E31" w:rsidP="00496E31">
            <w:pPr>
              <w:pStyle w:val="TableParagraph"/>
              <w:kinsoku w:val="0"/>
              <w:overflowPunct w:val="0"/>
              <w:spacing w:before="1"/>
              <w:rPr>
                <w:rFonts w:eastAsia="Times New Roman"/>
                <w:spacing w:val="-4"/>
                <w:sz w:val="18"/>
                <w:szCs w:val="18"/>
              </w:rPr>
            </w:pPr>
            <w:r>
              <w:rPr>
                <w:sz w:val="18"/>
              </w:rPr>
              <w:t>Uguale o inferiore a 100 Wh</w:t>
            </w:r>
          </w:p>
        </w:tc>
        <w:tc>
          <w:tcPr>
            <w:tcW w:w="1840" w:type="dxa"/>
            <w:tcBorders>
              <w:top w:val="single" w:sz="4" w:space="0" w:color="000000"/>
              <w:left w:val="single" w:sz="4" w:space="0" w:color="000000"/>
              <w:bottom w:val="single" w:sz="4" w:space="0" w:color="000000"/>
              <w:right w:val="single" w:sz="4" w:space="0" w:color="000000"/>
            </w:tcBorders>
          </w:tcPr>
          <w:p w14:paraId="4AE77331"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sz w:val="18"/>
              </w:rPr>
              <w:t>Figura 1</w:t>
            </w:r>
          </w:p>
        </w:tc>
        <w:tc>
          <w:tcPr>
            <w:tcW w:w="3103" w:type="dxa"/>
            <w:tcBorders>
              <w:top w:val="single" w:sz="4" w:space="0" w:color="000000"/>
              <w:left w:val="single" w:sz="4" w:space="0" w:color="000000"/>
              <w:bottom w:val="single" w:sz="4" w:space="0" w:color="000000"/>
              <w:right w:val="single" w:sz="4" w:space="0" w:color="000000"/>
            </w:tcBorders>
          </w:tcPr>
          <w:p w14:paraId="2C3AF233" w14:textId="77777777" w:rsidR="00496E31" w:rsidRPr="001F545D" w:rsidRDefault="00496E31" w:rsidP="00496E31">
            <w:pPr>
              <w:pStyle w:val="TableParagraph"/>
              <w:kinsoku w:val="0"/>
              <w:overflowPunct w:val="0"/>
              <w:spacing w:line="278" w:lineRule="auto"/>
              <w:ind w:left="109" w:right="1745"/>
              <w:rPr>
                <w:rFonts w:eastAsia="Times New Roman"/>
                <w:spacing w:val="-5"/>
                <w:sz w:val="18"/>
                <w:szCs w:val="18"/>
              </w:rPr>
            </w:pPr>
            <w:r>
              <w:rPr>
                <w:sz w:val="18"/>
              </w:rPr>
              <w:t>PAX = 5 kg CAO = 5kg</w:t>
            </w:r>
          </w:p>
        </w:tc>
      </w:tr>
      <w:tr w:rsidR="00DF3509" w:rsidRPr="001F545D" w14:paraId="491D4571" w14:textId="77777777">
        <w:trPr>
          <w:trHeight w:val="438"/>
        </w:trPr>
        <w:tc>
          <w:tcPr>
            <w:tcW w:w="10735" w:type="dxa"/>
            <w:gridSpan w:val="4"/>
            <w:tcBorders>
              <w:top w:val="single" w:sz="4" w:space="0" w:color="000000"/>
              <w:left w:val="single" w:sz="4" w:space="0" w:color="000000"/>
              <w:bottom w:val="single" w:sz="4" w:space="0" w:color="000000"/>
              <w:right w:val="single" w:sz="4" w:space="0" w:color="000000"/>
            </w:tcBorders>
          </w:tcPr>
          <w:p w14:paraId="4467470B" w14:textId="77777777" w:rsidR="00DF3509" w:rsidRPr="001F545D" w:rsidRDefault="00DF3509">
            <w:pPr>
              <w:pStyle w:val="TableParagraph"/>
              <w:kinsoku w:val="0"/>
              <w:overflowPunct w:val="0"/>
              <w:spacing w:before="1"/>
              <w:ind w:left="3912" w:right="3902"/>
              <w:jc w:val="center"/>
              <w:rPr>
                <w:rFonts w:eastAsia="Times New Roman"/>
                <w:spacing w:val="-2"/>
                <w:sz w:val="18"/>
                <w:szCs w:val="18"/>
              </w:rPr>
            </w:pPr>
            <w:r>
              <w:rPr>
                <w:sz w:val="18"/>
              </w:rPr>
              <w:t>Requisiti sull'etichetta delle batterie al litio-metallo</w:t>
            </w:r>
          </w:p>
        </w:tc>
      </w:tr>
      <w:tr w:rsidR="00DF3509" w:rsidRPr="001F545D" w14:paraId="6A930C4D" w14:textId="77777777">
        <w:trPr>
          <w:trHeight w:val="674"/>
        </w:trPr>
        <w:tc>
          <w:tcPr>
            <w:tcW w:w="2657" w:type="dxa"/>
            <w:tcBorders>
              <w:top w:val="single" w:sz="4" w:space="0" w:color="000000"/>
              <w:left w:val="single" w:sz="4" w:space="0" w:color="000000"/>
              <w:bottom w:val="single" w:sz="4" w:space="0" w:color="000000"/>
              <w:right w:val="single" w:sz="4" w:space="0" w:color="000000"/>
            </w:tcBorders>
          </w:tcPr>
          <w:p w14:paraId="02FDCEBB" w14:textId="77777777" w:rsidR="00DF3509" w:rsidRPr="001F545D" w:rsidRDefault="00DF3509">
            <w:pPr>
              <w:pStyle w:val="TableParagraph"/>
              <w:kinsoku w:val="0"/>
              <w:overflowPunct w:val="0"/>
              <w:spacing w:before="1"/>
              <w:rPr>
                <w:rFonts w:eastAsia="Times New Roman"/>
                <w:b/>
                <w:bCs/>
                <w:spacing w:val="-2"/>
                <w:sz w:val="18"/>
                <w:szCs w:val="18"/>
              </w:rPr>
            </w:pPr>
            <w:r>
              <w:rPr>
                <w:b/>
                <w:sz w:val="18"/>
              </w:rPr>
              <w:t>Spedizione della batteria</w:t>
            </w:r>
          </w:p>
        </w:tc>
        <w:tc>
          <w:tcPr>
            <w:tcW w:w="3135" w:type="dxa"/>
            <w:tcBorders>
              <w:top w:val="single" w:sz="4" w:space="0" w:color="000000"/>
              <w:left w:val="single" w:sz="4" w:space="0" w:color="000000"/>
              <w:bottom w:val="single" w:sz="4" w:space="0" w:color="000000"/>
              <w:right w:val="single" w:sz="4" w:space="0" w:color="000000"/>
            </w:tcBorders>
          </w:tcPr>
          <w:p w14:paraId="5DF084C5" w14:textId="77777777" w:rsidR="00DF3509" w:rsidRPr="001F545D" w:rsidRDefault="00DF3509">
            <w:pPr>
              <w:pStyle w:val="TableParagraph"/>
              <w:kinsoku w:val="0"/>
              <w:overflowPunct w:val="0"/>
              <w:spacing w:line="278" w:lineRule="auto"/>
              <w:ind w:right="71"/>
              <w:rPr>
                <w:rFonts w:eastAsia="Times New Roman"/>
                <w:b/>
                <w:bCs/>
                <w:spacing w:val="-2"/>
                <w:sz w:val="18"/>
                <w:szCs w:val="18"/>
              </w:rPr>
            </w:pPr>
            <w:r>
              <w:rPr>
                <w:b/>
                <w:sz w:val="18"/>
              </w:rPr>
              <w:t>Massa di litio-metallo della batteria</w:t>
            </w:r>
          </w:p>
        </w:tc>
        <w:tc>
          <w:tcPr>
            <w:tcW w:w="1840" w:type="dxa"/>
            <w:tcBorders>
              <w:top w:val="single" w:sz="4" w:space="0" w:color="000000"/>
              <w:left w:val="single" w:sz="4" w:space="0" w:color="000000"/>
              <w:bottom w:val="single" w:sz="4" w:space="0" w:color="000000"/>
              <w:right w:val="single" w:sz="4" w:space="0" w:color="000000"/>
            </w:tcBorders>
          </w:tcPr>
          <w:p w14:paraId="6F22532E" w14:textId="77777777" w:rsidR="00DF3509" w:rsidRPr="001F545D" w:rsidRDefault="00DF3509">
            <w:pPr>
              <w:pStyle w:val="TableParagraph"/>
              <w:kinsoku w:val="0"/>
              <w:overflowPunct w:val="0"/>
              <w:spacing w:before="1"/>
              <w:ind w:left="108"/>
              <w:rPr>
                <w:rFonts w:eastAsia="Times New Roman"/>
                <w:b/>
                <w:bCs/>
                <w:spacing w:val="-2"/>
                <w:sz w:val="18"/>
                <w:szCs w:val="18"/>
              </w:rPr>
            </w:pPr>
            <w:r>
              <w:rPr>
                <w:b/>
                <w:sz w:val="18"/>
              </w:rPr>
              <w:t>Classificazione</w:t>
            </w:r>
          </w:p>
        </w:tc>
        <w:tc>
          <w:tcPr>
            <w:tcW w:w="3103" w:type="dxa"/>
            <w:tcBorders>
              <w:top w:val="single" w:sz="4" w:space="0" w:color="000000"/>
              <w:left w:val="single" w:sz="4" w:space="0" w:color="000000"/>
              <w:bottom w:val="single" w:sz="4" w:space="0" w:color="000000"/>
              <w:right w:val="single" w:sz="4" w:space="0" w:color="000000"/>
            </w:tcBorders>
          </w:tcPr>
          <w:p w14:paraId="12DE05D9" w14:textId="77777777" w:rsidR="00DF3509" w:rsidRPr="001F545D" w:rsidRDefault="00DF3509">
            <w:pPr>
              <w:pStyle w:val="TableParagraph"/>
              <w:kinsoku w:val="0"/>
              <w:overflowPunct w:val="0"/>
              <w:spacing w:before="1"/>
              <w:ind w:left="109"/>
              <w:rPr>
                <w:rFonts w:eastAsia="Times New Roman"/>
                <w:b/>
                <w:bCs/>
                <w:spacing w:val="-2"/>
                <w:sz w:val="18"/>
                <w:szCs w:val="18"/>
              </w:rPr>
            </w:pPr>
            <w:r>
              <w:rPr>
                <w:b/>
                <w:sz w:val="18"/>
              </w:rPr>
              <w:t>Limite peso/confezione della batteria</w:t>
            </w:r>
          </w:p>
        </w:tc>
      </w:tr>
      <w:tr w:rsidR="00DF3509" w:rsidRPr="001F545D" w14:paraId="34FE0B66" w14:textId="77777777">
        <w:trPr>
          <w:trHeight w:val="676"/>
        </w:trPr>
        <w:tc>
          <w:tcPr>
            <w:tcW w:w="2657" w:type="dxa"/>
            <w:tcBorders>
              <w:top w:val="single" w:sz="4" w:space="0" w:color="000000"/>
              <w:left w:val="single" w:sz="4" w:space="0" w:color="000000"/>
              <w:bottom w:val="single" w:sz="4" w:space="0" w:color="000000"/>
              <w:right w:val="single" w:sz="4" w:space="0" w:color="000000"/>
            </w:tcBorders>
          </w:tcPr>
          <w:p w14:paraId="264BE833" w14:textId="77777777" w:rsidR="00DF3509" w:rsidRPr="001F545D" w:rsidRDefault="00DF3509">
            <w:pPr>
              <w:pStyle w:val="TableParagraph"/>
              <w:kinsoku w:val="0"/>
              <w:overflowPunct w:val="0"/>
              <w:spacing w:before="1" w:line="278" w:lineRule="auto"/>
              <w:rPr>
                <w:rFonts w:eastAsia="Times New Roman"/>
                <w:sz w:val="18"/>
                <w:szCs w:val="18"/>
              </w:rPr>
            </w:pPr>
            <w:r>
              <w:rPr>
                <w:sz w:val="18"/>
              </w:rPr>
              <w:t>Contenuta nell'apparecchio (installata nell'apparecchio)</w:t>
            </w:r>
          </w:p>
        </w:tc>
        <w:tc>
          <w:tcPr>
            <w:tcW w:w="3135" w:type="dxa"/>
            <w:tcBorders>
              <w:top w:val="single" w:sz="4" w:space="0" w:color="000000"/>
              <w:left w:val="single" w:sz="4" w:space="0" w:color="000000"/>
              <w:bottom w:val="single" w:sz="4" w:space="0" w:color="000000"/>
              <w:right w:val="single" w:sz="4" w:space="0" w:color="000000"/>
            </w:tcBorders>
          </w:tcPr>
          <w:p w14:paraId="4917BA87" w14:textId="77777777" w:rsidR="00DF3509" w:rsidRPr="001F545D" w:rsidRDefault="00DF3509">
            <w:pPr>
              <w:pStyle w:val="TableParagraph"/>
              <w:kinsoku w:val="0"/>
              <w:overflowPunct w:val="0"/>
              <w:spacing w:before="3"/>
              <w:rPr>
                <w:rFonts w:eastAsia="Times New Roman"/>
                <w:spacing w:val="-5"/>
                <w:sz w:val="18"/>
                <w:szCs w:val="18"/>
              </w:rPr>
            </w:pPr>
            <w:r>
              <w:rPr>
                <w:sz w:val="18"/>
              </w:rPr>
              <w:t>Uguale o inferiore a 2 g</w:t>
            </w:r>
          </w:p>
        </w:tc>
        <w:tc>
          <w:tcPr>
            <w:tcW w:w="1840" w:type="dxa"/>
            <w:tcBorders>
              <w:top w:val="single" w:sz="4" w:space="0" w:color="000000"/>
              <w:left w:val="single" w:sz="4" w:space="0" w:color="000000"/>
              <w:bottom w:val="single" w:sz="4" w:space="0" w:color="000000"/>
              <w:right w:val="single" w:sz="4" w:space="0" w:color="000000"/>
            </w:tcBorders>
          </w:tcPr>
          <w:p w14:paraId="2E5BAA41" w14:textId="77777777" w:rsidR="00DF3509" w:rsidRPr="001F545D" w:rsidRDefault="00496E31">
            <w:pPr>
              <w:pStyle w:val="TableParagraph"/>
              <w:kinsoku w:val="0"/>
              <w:overflowPunct w:val="0"/>
              <w:spacing w:before="3"/>
              <w:ind w:left="108"/>
              <w:rPr>
                <w:rFonts w:eastAsia="Times New Roman"/>
                <w:spacing w:val="-5"/>
                <w:sz w:val="18"/>
                <w:szCs w:val="18"/>
              </w:rPr>
            </w:pPr>
            <w:r>
              <w:rPr>
                <w:sz w:val="18"/>
              </w:rPr>
              <w:t>Figura 1</w:t>
            </w:r>
          </w:p>
        </w:tc>
        <w:tc>
          <w:tcPr>
            <w:tcW w:w="3103" w:type="dxa"/>
            <w:tcBorders>
              <w:top w:val="single" w:sz="4" w:space="0" w:color="000000"/>
              <w:left w:val="single" w:sz="4" w:space="0" w:color="000000"/>
              <w:bottom w:val="single" w:sz="4" w:space="0" w:color="000000"/>
              <w:right w:val="single" w:sz="4" w:space="0" w:color="000000"/>
            </w:tcBorders>
          </w:tcPr>
          <w:p w14:paraId="0D9F57F5" w14:textId="77777777" w:rsidR="00DF3509" w:rsidRPr="001F545D" w:rsidRDefault="00DF3509">
            <w:pPr>
              <w:pStyle w:val="TableParagraph"/>
              <w:kinsoku w:val="0"/>
              <w:overflowPunct w:val="0"/>
              <w:spacing w:before="1" w:line="278" w:lineRule="auto"/>
              <w:ind w:left="1101" w:right="1083"/>
              <w:jc w:val="center"/>
              <w:rPr>
                <w:rFonts w:eastAsia="Times New Roman"/>
                <w:spacing w:val="-5"/>
                <w:sz w:val="18"/>
                <w:szCs w:val="18"/>
              </w:rPr>
            </w:pPr>
            <w:r>
              <w:rPr>
                <w:sz w:val="18"/>
              </w:rPr>
              <w:t>PAX = 5 kg CAO = 5kg</w:t>
            </w:r>
          </w:p>
        </w:tc>
      </w:tr>
      <w:tr w:rsidR="00DF3509" w:rsidRPr="001F545D" w14:paraId="44B60CFC" w14:textId="77777777">
        <w:trPr>
          <w:trHeight w:val="676"/>
        </w:trPr>
        <w:tc>
          <w:tcPr>
            <w:tcW w:w="2657" w:type="dxa"/>
            <w:tcBorders>
              <w:top w:val="single" w:sz="4" w:space="0" w:color="000000"/>
              <w:left w:val="single" w:sz="4" w:space="0" w:color="000000"/>
              <w:bottom w:val="single" w:sz="4" w:space="0" w:color="000000"/>
              <w:right w:val="single" w:sz="4" w:space="0" w:color="000000"/>
            </w:tcBorders>
          </w:tcPr>
          <w:p w14:paraId="11082724" w14:textId="77777777" w:rsidR="00DF3509" w:rsidRPr="001F545D" w:rsidRDefault="00DF3509">
            <w:pPr>
              <w:pStyle w:val="TableParagraph"/>
              <w:kinsoku w:val="0"/>
              <w:overflowPunct w:val="0"/>
              <w:spacing w:before="1"/>
              <w:rPr>
                <w:rFonts w:eastAsia="Times New Roman"/>
                <w:b/>
                <w:bCs/>
                <w:spacing w:val="-2"/>
                <w:sz w:val="18"/>
                <w:szCs w:val="18"/>
              </w:rPr>
            </w:pPr>
            <w:r>
              <w:rPr>
                <w:b/>
                <w:sz w:val="18"/>
              </w:rPr>
              <w:t>Spedizione della batteria</w:t>
            </w:r>
          </w:p>
        </w:tc>
        <w:tc>
          <w:tcPr>
            <w:tcW w:w="3135" w:type="dxa"/>
            <w:tcBorders>
              <w:top w:val="single" w:sz="4" w:space="0" w:color="000000"/>
              <w:left w:val="single" w:sz="4" w:space="0" w:color="000000"/>
              <w:bottom w:val="single" w:sz="4" w:space="0" w:color="000000"/>
              <w:right w:val="single" w:sz="4" w:space="0" w:color="000000"/>
            </w:tcBorders>
          </w:tcPr>
          <w:p w14:paraId="00D256D1" w14:textId="77777777" w:rsidR="00DF3509" w:rsidRPr="001F545D" w:rsidRDefault="00DF3509">
            <w:pPr>
              <w:pStyle w:val="TableParagraph"/>
              <w:kinsoku w:val="0"/>
              <w:overflowPunct w:val="0"/>
              <w:spacing w:line="280" w:lineRule="auto"/>
              <w:ind w:right="71"/>
              <w:rPr>
                <w:rFonts w:eastAsia="Times New Roman"/>
                <w:b/>
                <w:bCs/>
                <w:spacing w:val="-2"/>
                <w:sz w:val="18"/>
                <w:szCs w:val="18"/>
              </w:rPr>
            </w:pPr>
            <w:r>
              <w:rPr>
                <w:b/>
                <w:sz w:val="18"/>
              </w:rPr>
              <w:t>Massa di litio-metallo della batteria</w:t>
            </w:r>
          </w:p>
        </w:tc>
        <w:tc>
          <w:tcPr>
            <w:tcW w:w="1840" w:type="dxa"/>
            <w:tcBorders>
              <w:top w:val="single" w:sz="4" w:space="0" w:color="000000"/>
              <w:left w:val="single" w:sz="4" w:space="0" w:color="000000"/>
              <w:bottom w:val="single" w:sz="4" w:space="0" w:color="000000"/>
              <w:right w:val="single" w:sz="4" w:space="0" w:color="000000"/>
            </w:tcBorders>
          </w:tcPr>
          <w:p w14:paraId="20592F06" w14:textId="77777777" w:rsidR="00DF3509" w:rsidRPr="001F545D" w:rsidRDefault="00DF3509">
            <w:pPr>
              <w:pStyle w:val="TableParagraph"/>
              <w:kinsoku w:val="0"/>
              <w:overflowPunct w:val="0"/>
              <w:spacing w:before="1"/>
              <w:ind w:left="108"/>
              <w:rPr>
                <w:rFonts w:eastAsia="Times New Roman"/>
                <w:b/>
                <w:bCs/>
                <w:spacing w:val="-2"/>
                <w:sz w:val="18"/>
                <w:szCs w:val="18"/>
              </w:rPr>
            </w:pPr>
            <w:r>
              <w:rPr>
                <w:b/>
                <w:sz w:val="18"/>
              </w:rPr>
              <w:t>Classificazione</w:t>
            </w:r>
          </w:p>
        </w:tc>
        <w:tc>
          <w:tcPr>
            <w:tcW w:w="3103" w:type="dxa"/>
            <w:tcBorders>
              <w:top w:val="single" w:sz="4" w:space="0" w:color="000000"/>
              <w:left w:val="single" w:sz="4" w:space="0" w:color="000000"/>
              <w:bottom w:val="single" w:sz="4" w:space="0" w:color="000000"/>
              <w:right w:val="single" w:sz="4" w:space="0" w:color="000000"/>
            </w:tcBorders>
          </w:tcPr>
          <w:p w14:paraId="186DBB45" w14:textId="77777777" w:rsidR="00DF3509" w:rsidRPr="001F545D" w:rsidRDefault="00DF3509">
            <w:pPr>
              <w:pStyle w:val="TableParagraph"/>
              <w:kinsoku w:val="0"/>
              <w:overflowPunct w:val="0"/>
              <w:spacing w:before="1"/>
              <w:ind w:left="109"/>
              <w:rPr>
                <w:rFonts w:eastAsia="Times New Roman"/>
                <w:b/>
                <w:bCs/>
                <w:spacing w:val="-2"/>
                <w:sz w:val="18"/>
                <w:szCs w:val="18"/>
              </w:rPr>
            </w:pPr>
            <w:r>
              <w:rPr>
                <w:b/>
                <w:sz w:val="18"/>
              </w:rPr>
              <w:t>Limite peso/confezione della batteria</w:t>
            </w:r>
          </w:p>
        </w:tc>
      </w:tr>
      <w:tr w:rsidR="00496E31" w:rsidRPr="001F545D" w14:paraId="65C8B34A" w14:textId="77777777">
        <w:trPr>
          <w:trHeight w:val="1552"/>
        </w:trPr>
        <w:tc>
          <w:tcPr>
            <w:tcW w:w="2657" w:type="dxa"/>
            <w:tcBorders>
              <w:top w:val="single" w:sz="4" w:space="0" w:color="000000"/>
              <w:left w:val="single" w:sz="4" w:space="0" w:color="000000"/>
              <w:bottom w:val="single" w:sz="4" w:space="0" w:color="000000"/>
              <w:right w:val="single" w:sz="4" w:space="0" w:color="000000"/>
            </w:tcBorders>
          </w:tcPr>
          <w:p w14:paraId="171D099C" w14:textId="77777777" w:rsidR="00496E31" w:rsidRPr="001F545D" w:rsidRDefault="00496E31" w:rsidP="00496E31">
            <w:pPr>
              <w:pStyle w:val="TableParagraph"/>
              <w:kinsoku w:val="0"/>
              <w:overflowPunct w:val="0"/>
              <w:spacing w:before="1"/>
              <w:rPr>
                <w:rFonts w:eastAsia="Times New Roman"/>
                <w:spacing w:val="-2"/>
                <w:sz w:val="18"/>
                <w:szCs w:val="18"/>
              </w:rPr>
            </w:pPr>
            <w:r>
              <w:rPr>
                <w:sz w:val="18"/>
              </w:rPr>
              <w:t>Da sola</w:t>
            </w:r>
          </w:p>
        </w:tc>
        <w:tc>
          <w:tcPr>
            <w:tcW w:w="3135" w:type="dxa"/>
            <w:tcBorders>
              <w:top w:val="single" w:sz="4" w:space="0" w:color="000000"/>
              <w:left w:val="single" w:sz="4" w:space="0" w:color="000000"/>
              <w:bottom w:val="single" w:sz="4" w:space="0" w:color="000000"/>
              <w:right w:val="single" w:sz="4" w:space="0" w:color="000000"/>
            </w:tcBorders>
          </w:tcPr>
          <w:p w14:paraId="50067099" w14:textId="77777777" w:rsidR="00496E31" w:rsidRPr="001F545D" w:rsidRDefault="00496E31" w:rsidP="00496E31">
            <w:pPr>
              <w:pStyle w:val="TableParagraph"/>
              <w:kinsoku w:val="0"/>
              <w:overflowPunct w:val="0"/>
              <w:spacing w:before="1"/>
              <w:rPr>
                <w:rFonts w:eastAsia="Times New Roman"/>
                <w:spacing w:val="-5"/>
                <w:sz w:val="18"/>
                <w:szCs w:val="18"/>
              </w:rPr>
            </w:pPr>
            <w:r>
              <w:rPr>
                <w:sz w:val="18"/>
              </w:rPr>
              <w:t>Uguale o inferiore a 2 g</w:t>
            </w:r>
          </w:p>
        </w:tc>
        <w:tc>
          <w:tcPr>
            <w:tcW w:w="1840" w:type="dxa"/>
            <w:tcBorders>
              <w:top w:val="single" w:sz="4" w:space="0" w:color="000000"/>
              <w:left w:val="single" w:sz="4" w:space="0" w:color="000000"/>
              <w:bottom w:val="single" w:sz="4" w:space="0" w:color="000000"/>
              <w:right w:val="single" w:sz="4" w:space="0" w:color="000000"/>
            </w:tcBorders>
          </w:tcPr>
          <w:p w14:paraId="221A9000"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sz w:val="18"/>
              </w:rPr>
              <w:t>Figura 1</w:t>
            </w:r>
          </w:p>
        </w:tc>
        <w:tc>
          <w:tcPr>
            <w:tcW w:w="3103" w:type="dxa"/>
            <w:tcBorders>
              <w:top w:val="single" w:sz="4" w:space="0" w:color="000000"/>
              <w:left w:val="single" w:sz="4" w:space="0" w:color="000000"/>
              <w:bottom w:val="single" w:sz="4" w:space="0" w:color="000000"/>
              <w:right w:val="single" w:sz="4" w:space="0" w:color="000000"/>
            </w:tcBorders>
          </w:tcPr>
          <w:p w14:paraId="7013117C" w14:textId="77777777" w:rsidR="00496E31" w:rsidRPr="001F545D" w:rsidRDefault="00496E31" w:rsidP="00496E31">
            <w:pPr>
              <w:pStyle w:val="TableParagraph"/>
              <w:kinsoku w:val="0"/>
              <w:overflowPunct w:val="0"/>
              <w:spacing w:before="1" w:line="508" w:lineRule="auto"/>
              <w:ind w:left="109" w:right="196"/>
              <w:rPr>
                <w:rFonts w:eastAsia="Times New Roman"/>
                <w:spacing w:val="-6"/>
                <w:sz w:val="18"/>
                <w:szCs w:val="18"/>
              </w:rPr>
            </w:pPr>
            <w:r>
              <w:rPr>
                <w:sz w:val="18"/>
              </w:rPr>
              <w:t>Uguale o inferiore a 0,3 g = 2,5 kg OPPURE</w:t>
            </w:r>
          </w:p>
          <w:p w14:paraId="2692B8CF" w14:textId="77777777" w:rsidR="00496E31" w:rsidRPr="001F545D" w:rsidRDefault="00496E31" w:rsidP="00496E31">
            <w:pPr>
              <w:pStyle w:val="TableParagraph"/>
              <w:kinsoku w:val="0"/>
              <w:overflowPunct w:val="0"/>
              <w:spacing w:line="280" w:lineRule="auto"/>
              <w:ind w:left="109" w:right="196"/>
              <w:rPr>
                <w:rFonts w:eastAsia="Times New Roman"/>
                <w:sz w:val="18"/>
                <w:szCs w:val="18"/>
              </w:rPr>
            </w:pPr>
            <w:r>
              <w:rPr>
                <w:sz w:val="18"/>
              </w:rPr>
              <w:t>Superiore a 0,3 g, ma uguale o inferiore a 2 g = 2 batterie</w:t>
            </w:r>
          </w:p>
        </w:tc>
      </w:tr>
      <w:tr w:rsidR="00496E31" w:rsidRPr="001F545D" w14:paraId="4D6BAFF1" w14:textId="77777777">
        <w:trPr>
          <w:trHeight w:val="914"/>
        </w:trPr>
        <w:tc>
          <w:tcPr>
            <w:tcW w:w="2657" w:type="dxa"/>
            <w:tcBorders>
              <w:top w:val="single" w:sz="4" w:space="0" w:color="000000"/>
              <w:left w:val="single" w:sz="4" w:space="0" w:color="000000"/>
              <w:bottom w:val="single" w:sz="4" w:space="0" w:color="000000"/>
              <w:right w:val="single" w:sz="4" w:space="0" w:color="000000"/>
            </w:tcBorders>
          </w:tcPr>
          <w:p w14:paraId="5F9312C5" w14:textId="77777777" w:rsidR="00496E31" w:rsidRPr="001F545D" w:rsidRDefault="00496E31" w:rsidP="00496E31">
            <w:pPr>
              <w:pStyle w:val="TableParagraph"/>
              <w:kinsoku w:val="0"/>
              <w:overflowPunct w:val="0"/>
              <w:spacing w:line="278" w:lineRule="auto"/>
              <w:rPr>
                <w:rFonts w:eastAsia="Times New Roman"/>
                <w:spacing w:val="-2"/>
                <w:sz w:val="18"/>
                <w:szCs w:val="18"/>
              </w:rPr>
            </w:pPr>
            <w:r>
              <w:rPr>
                <w:sz w:val="18"/>
              </w:rPr>
              <w:t>Imballata separatamente insieme all'apparecchio (non installata nell'apparecchio)</w:t>
            </w:r>
          </w:p>
        </w:tc>
        <w:tc>
          <w:tcPr>
            <w:tcW w:w="3135" w:type="dxa"/>
            <w:tcBorders>
              <w:top w:val="single" w:sz="4" w:space="0" w:color="000000"/>
              <w:left w:val="single" w:sz="4" w:space="0" w:color="000000"/>
              <w:bottom w:val="single" w:sz="4" w:space="0" w:color="000000"/>
              <w:right w:val="single" w:sz="4" w:space="0" w:color="000000"/>
            </w:tcBorders>
          </w:tcPr>
          <w:p w14:paraId="2843F732" w14:textId="77777777" w:rsidR="00496E31" w:rsidRPr="001F545D" w:rsidRDefault="00496E31" w:rsidP="00496E31">
            <w:pPr>
              <w:pStyle w:val="TableParagraph"/>
              <w:kinsoku w:val="0"/>
              <w:overflowPunct w:val="0"/>
              <w:spacing w:before="1"/>
              <w:rPr>
                <w:rFonts w:eastAsia="Times New Roman"/>
                <w:spacing w:val="-5"/>
                <w:sz w:val="18"/>
                <w:szCs w:val="18"/>
              </w:rPr>
            </w:pPr>
            <w:r>
              <w:rPr>
                <w:sz w:val="18"/>
              </w:rPr>
              <w:t>Uguale o inferiore a 2 g</w:t>
            </w:r>
          </w:p>
        </w:tc>
        <w:tc>
          <w:tcPr>
            <w:tcW w:w="1840" w:type="dxa"/>
            <w:tcBorders>
              <w:top w:val="single" w:sz="4" w:space="0" w:color="000000"/>
              <w:left w:val="single" w:sz="4" w:space="0" w:color="000000"/>
              <w:bottom w:val="single" w:sz="4" w:space="0" w:color="000000"/>
              <w:right w:val="single" w:sz="4" w:space="0" w:color="000000"/>
            </w:tcBorders>
          </w:tcPr>
          <w:p w14:paraId="526EF4A8"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sz w:val="18"/>
              </w:rPr>
              <w:t>Figura 1</w:t>
            </w:r>
          </w:p>
        </w:tc>
        <w:tc>
          <w:tcPr>
            <w:tcW w:w="3103" w:type="dxa"/>
            <w:tcBorders>
              <w:top w:val="single" w:sz="4" w:space="0" w:color="000000"/>
              <w:left w:val="single" w:sz="4" w:space="0" w:color="000000"/>
              <w:bottom w:val="single" w:sz="4" w:space="0" w:color="000000"/>
              <w:right w:val="single" w:sz="4" w:space="0" w:color="000000"/>
            </w:tcBorders>
          </w:tcPr>
          <w:p w14:paraId="05ACB36A" w14:textId="77777777" w:rsidR="00496E31" w:rsidRPr="001F545D" w:rsidRDefault="00496E31" w:rsidP="00496E31">
            <w:pPr>
              <w:pStyle w:val="TableParagraph"/>
              <w:kinsoku w:val="0"/>
              <w:overflowPunct w:val="0"/>
              <w:spacing w:line="278" w:lineRule="auto"/>
              <w:ind w:left="1101" w:right="1083"/>
              <w:jc w:val="center"/>
              <w:rPr>
                <w:rFonts w:eastAsia="Times New Roman"/>
                <w:spacing w:val="-5"/>
                <w:sz w:val="18"/>
                <w:szCs w:val="18"/>
              </w:rPr>
            </w:pPr>
            <w:r>
              <w:rPr>
                <w:sz w:val="18"/>
              </w:rPr>
              <w:t>PAX = 5 kg CAO = 5kg</w:t>
            </w:r>
          </w:p>
        </w:tc>
      </w:tr>
    </w:tbl>
    <w:p w14:paraId="37498080" w14:textId="77777777" w:rsidR="00DF3509" w:rsidRDefault="00DF3509">
      <w:pPr>
        <w:pStyle w:val="BodyText"/>
        <w:kinsoku w:val="0"/>
        <w:overflowPunct w:val="0"/>
        <w:rPr>
          <w:sz w:val="20"/>
          <w:szCs w:val="20"/>
        </w:rPr>
      </w:pPr>
    </w:p>
    <w:p w14:paraId="19D38113" w14:textId="77777777" w:rsidR="00DF3509" w:rsidRDefault="00DF3509">
      <w:pPr>
        <w:pStyle w:val="BodyText"/>
        <w:kinsoku w:val="0"/>
        <w:overflowPunct w:val="0"/>
        <w:spacing w:before="1"/>
        <w:rPr>
          <w:sz w:val="20"/>
          <w:szCs w:val="20"/>
        </w:rPr>
      </w:pPr>
    </w:p>
    <w:p w14:paraId="620B6FD2" w14:textId="77777777" w:rsidR="00DF3509" w:rsidRDefault="00DF3509">
      <w:pPr>
        <w:pStyle w:val="BodyText"/>
        <w:kinsoku w:val="0"/>
        <w:overflowPunct w:val="0"/>
        <w:spacing w:before="1" w:line="278" w:lineRule="auto"/>
        <w:ind w:left="840"/>
      </w:pPr>
      <w:r>
        <w:t>Se la batteria agli ioni di litio è superiore a 100 Wh e quella al litio-metallo ha una massa di litio superiore a 2 g, rivolgersi al tecnico di monitoraggio ambientale per l'etichetta appropriata da utilizzare.</w:t>
      </w:r>
    </w:p>
    <w:p w14:paraId="6BCDB4C9" w14:textId="77777777" w:rsidR="00DF3509" w:rsidRDefault="00DF3509">
      <w:pPr>
        <w:pStyle w:val="BodyText"/>
        <w:kinsoku w:val="0"/>
        <w:overflowPunct w:val="0"/>
        <w:rPr>
          <w:sz w:val="17"/>
          <w:szCs w:val="17"/>
        </w:rPr>
      </w:pPr>
    </w:p>
    <w:p w14:paraId="4D9D79A1" w14:textId="77777777" w:rsidR="00DF3509" w:rsidRDefault="00DF3509">
      <w:pPr>
        <w:pStyle w:val="BodyText"/>
        <w:kinsoku w:val="0"/>
        <w:overflowPunct w:val="0"/>
        <w:spacing w:before="1"/>
        <w:ind w:left="840"/>
        <w:rPr>
          <w:spacing w:val="-2"/>
        </w:rPr>
      </w:pPr>
      <w:r>
        <w:t>Figura 1: Requisiti per il contenuto dell'etichetta da apporre sulle batterie per la spedizione:</w:t>
      </w:r>
    </w:p>
    <w:p w14:paraId="2D500402" w14:textId="6FDF8683" w:rsidR="00DF3509" w:rsidRDefault="0052779B">
      <w:pPr>
        <w:pStyle w:val="BodyText"/>
        <w:kinsoku w:val="0"/>
        <w:overflowPunct w:val="0"/>
        <w:spacing w:before="9"/>
        <w:rPr>
          <w:sz w:val="17"/>
          <w:szCs w:val="17"/>
        </w:rPr>
      </w:pPr>
      <w:r>
        <w:rPr>
          <w:noProof/>
        </w:rPr>
        <mc:AlternateContent>
          <mc:Choice Requires="wps">
            <w:drawing>
              <wp:anchor distT="0" distB="0" distL="0" distR="0" simplePos="0" relativeHeight="251664384" behindDoc="0" locked="0" layoutInCell="0" allowOverlap="1" wp14:anchorId="05D6F1A7" wp14:editId="7E1111A9">
                <wp:simplePos x="0" y="0"/>
                <wp:positionH relativeFrom="page">
                  <wp:posOffset>2695575</wp:posOffset>
                </wp:positionH>
                <wp:positionV relativeFrom="paragraph">
                  <wp:posOffset>145415</wp:posOffset>
                </wp:positionV>
                <wp:extent cx="2349500" cy="2006600"/>
                <wp:effectExtent l="0" t="0" r="0" b="0"/>
                <wp:wrapTopAndBottom/>
                <wp:docPr id="179802879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A470B" w14:textId="15FCCF23" w:rsidR="00BE289B" w:rsidRDefault="0052779B">
                            <w:pPr>
                              <w:widowControl/>
                              <w:autoSpaceDE/>
                              <w:autoSpaceDN/>
                              <w:adjustRightInd/>
                              <w:spacing w:line="3160" w:lineRule="atLeast"/>
                              <w:rPr>
                                <w:noProof/>
                              </w:rPr>
                            </w:pPr>
                            <w:r>
                              <w:rPr>
                                <w:noProof/>
                              </w:rPr>
                              <w:drawing>
                                <wp:inline distT="0" distB="0" distL="0" distR="0" wp14:anchorId="5E844606" wp14:editId="7F5C60DC">
                                  <wp:extent cx="1975485" cy="1992630"/>
                                  <wp:effectExtent l="0" t="0" r="0" b="0"/>
                                  <wp:docPr id="1622794519" name="Picture 1622794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75485" cy="1992630"/>
                                          </a:xfrm>
                                          <a:prstGeom prst="rect">
                                            <a:avLst/>
                                          </a:prstGeom>
                                          <a:noFill/>
                                          <a:ln>
                                            <a:noFill/>
                                          </a:ln>
                                        </pic:spPr>
                                      </pic:pic>
                                    </a:graphicData>
                                  </a:graphic>
                                </wp:inline>
                              </w:drawing>
                            </w:r>
                          </w:p>
                          <w:p w14:paraId="53644FA1" w14:textId="77777777" w:rsidR="006300C8" w:rsidRDefault="006300C8">
                            <w:pPr>
                              <w:widowControl/>
                              <w:autoSpaceDE/>
                              <w:autoSpaceDN/>
                              <w:adjustRightInd/>
                              <w:spacing w:line="3160" w:lineRule="atLeast"/>
                              <w:rPr>
                                <w:noProof/>
                              </w:rPr>
                            </w:pPr>
                          </w:p>
                          <w:p w14:paraId="4A4FBD23" w14:textId="77777777" w:rsidR="006300C8" w:rsidRDefault="006300C8">
                            <w:pPr>
                              <w:widowControl/>
                              <w:autoSpaceDE/>
                              <w:autoSpaceDN/>
                              <w:adjustRightInd/>
                              <w:spacing w:line="3160" w:lineRule="atLeast"/>
                              <w:rPr>
                                <w:rFonts w:ascii="Times New Roman" w:hAnsi="Times New Roman" w:cs="Times New Roman"/>
                                <w:sz w:val="24"/>
                                <w:szCs w:val="24"/>
                              </w:rPr>
                            </w:pPr>
                          </w:p>
                          <w:p w14:paraId="7017C5E6"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6F1A7" id="Rectangle 20" o:spid="_x0000_s1030" style="position:absolute;margin-left:212.25pt;margin-top:11.45pt;width:185pt;height:15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" o:allowincell="f" filled="f" stroked="f">
                <v:textbox inset="0,0,0,0">
                  <w:txbxContent>
                    <w:p w14:paraId="655A470B" w14:textId="15FCCF23" w:rsidR="00BE289B" w:rsidRDefault="0052779B">
                      <w:pPr>
                        <w:widowControl/>
                        <w:autoSpaceDE/>
                        <w:autoSpaceDN/>
                        <w:adjustRightInd/>
                        <w:spacing w:line="3160" w:lineRule="atLeast"/>
                        <w:rPr>
                          <w:noProof/>
                        </w:rPr>
                      </w:pPr>
                      <w:r>
                        <w:rPr>
                          <w:noProof/>
                        </w:rPr>
                        <w:drawing>
                          <wp:inline distT="0" distB="0" distL="0" distR="0" wp14:anchorId="5E844606" wp14:editId="7F5C60DC">
                            <wp:extent cx="1975485" cy="1992630"/>
                            <wp:effectExtent l="0" t="0" r="0" b="0"/>
                            <wp:docPr id="1622794519" name="Picture 1622794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75485" cy="1992630"/>
                                    </a:xfrm>
                                    <a:prstGeom prst="rect">
                                      <a:avLst/>
                                    </a:prstGeom>
                                    <a:noFill/>
                                    <a:ln>
                                      <a:noFill/>
                                    </a:ln>
                                  </pic:spPr>
                                </pic:pic>
                              </a:graphicData>
                            </a:graphic>
                          </wp:inline>
                        </w:drawing>
                      </w:r>
                    </w:p>
                    <w:p w14:paraId="53644FA1" w14:textId="77777777" w:rsidR="006300C8" w:rsidRDefault="006300C8">
                      <w:pPr>
                        <w:widowControl/>
                        <w:autoSpaceDE/>
                        <w:autoSpaceDN/>
                        <w:adjustRightInd/>
                        <w:spacing w:line="3160" w:lineRule="atLeast"/>
                        <w:rPr>
                          <w:noProof/>
                        </w:rPr>
                      </w:pPr>
                    </w:p>
                    <w:p w14:paraId="4A4FBD23" w14:textId="77777777" w:rsidR="006300C8" w:rsidRDefault="006300C8">
                      <w:pPr>
                        <w:widowControl/>
                        <w:autoSpaceDE/>
                        <w:autoSpaceDN/>
                        <w:adjustRightInd/>
                        <w:spacing w:line="3160" w:lineRule="atLeast"/>
                        <w:rPr>
                          <w:rFonts w:ascii="Times New Roman" w:hAnsi="Times New Roman" w:cs="Times New Roman"/>
                          <w:sz w:val="24"/>
                          <w:szCs w:val="24"/>
                        </w:rPr>
                      </w:pPr>
                    </w:p>
                    <w:p w14:paraId="7017C5E6" w14:textId="77777777" w:rsidR="00BE289B" w:rsidRDefault="00BE289B">
                      <w:pPr>
                        <w:rPr>
                          <w:rFonts w:ascii="Times New Roman" w:hAnsi="Times New Roman" w:cs="Times New Roman"/>
                          <w:sz w:val="24"/>
                          <w:szCs w:val="24"/>
                        </w:rPr>
                      </w:pPr>
                    </w:p>
                  </w:txbxContent>
                </v:textbox>
                <w10:wrap type="topAndBottom" anchorx="page"/>
              </v:rect>
            </w:pict>
          </mc:Fallback>
        </mc:AlternateContent>
      </w:r>
    </w:p>
    <w:p w14:paraId="71B6977E" w14:textId="77777777" w:rsidR="006300C8" w:rsidRDefault="006300C8" w:rsidP="006300C8">
      <w:pPr>
        <w:pStyle w:val="BodyText"/>
        <w:kinsoku w:val="0"/>
        <w:overflowPunct w:val="0"/>
        <w:spacing w:before="3"/>
        <w:ind w:left="1440"/>
      </w:pPr>
      <w:r>
        <w:t>*Posizione del codice o dei codici UN, ad esempio UN 3090, UN 3091, UN 3480 e/o UN 3481, ove applicabile.</w:t>
      </w:r>
    </w:p>
    <w:p w14:paraId="04DEA3A7" w14:textId="77777777" w:rsidR="006300C8" w:rsidRDefault="006300C8">
      <w:pPr>
        <w:pStyle w:val="BodyText"/>
        <w:kinsoku w:val="0"/>
        <w:overflowPunct w:val="0"/>
        <w:spacing w:before="8"/>
        <w:sectPr w:rsidR="006300C8">
          <w:pgSz w:w="12240" w:h="15840"/>
          <w:pgMar w:top="1440" w:right="680" w:bottom="1140" w:left="600" w:header="0" w:footer="950" w:gutter="0"/>
          <w:cols w:space="720"/>
          <w:noEndnote/>
        </w:sectPr>
      </w:pPr>
    </w:p>
    <w:p w14:paraId="6C390047" w14:textId="77777777" w:rsidR="00DF3509" w:rsidRDefault="00DF3509">
      <w:pPr>
        <w:pStyle w:val="Heading3"/>
        <w:kinsoku w:val="0"/>
        <w:overflowPunct w:val="0"/>
        <w:spacing w:before="94"/>
        <w:rPr>
          <w:spacing w:val="-2"/>
        </w:rPr>
      </w:pPr>
      <w:bookmarkStart w:id="77" w:name="_bookmark59"/>
      <w:bookmarkStart w:id="78" w:name="_Toc147398228"/>
      <w:bookmarkEnd w:id="77"/>
      <w:r>
        <w:lastRenderedPageBreak/>
        <w:t>Esenzioni dagli obblighi di etichettatura</w:t>
      </w:r>
      <w:bookmarkEnd w:id="78"/>
    </w:p>
    <w:p w14:paraId="61CC8FFD" w14:textId="77777777" w:rsidR="00DF3509" w:rsidRDefault="00DF3509">
      <w:pPr>
        <w:pStyle w:val="BodyText"/>
        <w:kinsoku w:val="0"/>
        <w:overflowPunct w:val="0"/>
        <w:spacing w:before="92" w:line="278" w:lineRule="auto"/>
        <w:ind w:left="840" w:right="873"/>
      </w:pPr>
      <w:r>
        <w:t>Non è necessaria un'etichetta per la spedizione delle batterie agli ioni di litio se l'apparecchio nella confezione non contiene più di 2 batterie. Le batterie al litio-metallo contenute nell'apparecchio non necessitano di etichette per la spedizione delle batterie al litio.</w:t>
      </w:r>
    </w:p>
    <w:p w14:paraId="7FBCC1D6" w14:textId="77777777" w:rsidR="00DF3509" w:rsidRDefault="00DF3509">
      <w:pPr>
        <w:pStyle w:val="BodyText"/>
        <w:kinsoku w:val="0"/>
        <w:overflowPunct w:val="0"/>
        <w:spacing w:before="1"/>
        <w:rPr>
          <w:sz w:val="17"/>
          <w:szCs w:val="17"/>
        </w:rPr>
      </w:pPr>
    </w:p>
    <w:p w14:paraId="07652249" w14:textId="77777777" w:rsidR="00DF3509" w:rsidRDefault="00DF3509">
      <w:pPr>
        <w:pStyle w:val="Heading3"/>
        <w:kinsoku w:val="0"/>
        <w:overflowPunct w:val="0"/>
        <w:rPr>
          <w:spacing w:val="-2"/>
        </w:rPr>
      </w:pPr>
      <w:bookmarkStart w:id="79" w:name="_bookmark60"/>
      <w:bookmarkStart w:id="80" w:name="_Toc147398229"/>
      <w:bookmarkEnd w:id="79"/>
      <w:r>
        <w:t>Avvertenza per prodotti monouso</w:t>
      </w:r>
      <w:bookmarkEnd w:id="80"/>
    </w:p>
    <w:p w14:paraId="4DE10197" w14:textId="77777777" w:rsidR="00DF3509" w:rsidRDefault="00DF3509">
      <w:pPr>
        <w:pStyle w:val="BodyText"/>
        <w:kinsoku w:val="0"/>
        <w:overflowPunct w:val="0"/>
        <w:spacing w:before="90" w:line="276" w:lineRule="auto"/>
        <w:ind w:left="840" w:right="779"/>
        <w:rPr>
          <w:spacing w:val="-4"/>
        </w:rPr>
      </w:pPr>
      <w:r>
        <w:t>I prodotti NETGEAR non devono essere smaltiti insieme ai rifiuti domestici. I prodotti NETGEAR devono essere smaltiti in un luogo autorizzato al riciclaggio di apparecchiature elettriche ed elettroniche. Raccogliendo e riciclando i rifiuti, è possibile risparmiare risorse naturali e assicurarsi che il prodotto venga smaltito in modo ecologico e sano.</w:t>
      </w:r>
    </w:p>
    <w:p w14:paraId="4C06EB1A" w14:textId="77777777" w:rsidR="00DF3509" w:rsidRDefault="00DF3509">
      <w:pPr>
        <w:pStyle w:val="BodyText"/>
        <w:kinsoku w:val="0"/>
        <w:overflowPunct w:val="0"/>
        <w:rPr>
          <w:sz w:val="20"/>
          <w:szCs w:val="20"/>
        </w:rPr>
      </w:pPr>
    </w:p>
    <w:p w14:paraId="407617D7" w14:textId="77777777" w:rsidR="00DF3509" w:rsidRDefault="00DF3509">
      <w:pPr>
        <w:pStyle w:val="BodyText"/>
        <w:kinsoku w:val="0"/>
        <w:overflowPunct w:val="0"/>
        <w:spacing w:before="9"/>
        <w:rPr>
          <w:sz w:val="21"/>
          <w:szCs w:val="21"/>
        </w:rPr>
      </w:pPr>
    </w:p>
    <w:p w14:paraId="0D7D7351" w14:textId="77777777" w:rsidR="00DF3509" w:rsidRDefault="00DF3509">
      <w:pPr>
        <w:pStyle w:val="Heading1"/>
        <w:kinsoku w:val="0"/>
        <w:overflowPunct w:val="0"/>
        <w:spacing w:line="276" w:lineRule="auto"/>
        <w:ind w:right="873"/>
        <w:rPr>
          <w:spacing w:val="-2"/>
        </w:rPr>
      </w:pPr>
      <w:bookmarkStart w:id="81" w:name="_bookmark61"/>
      <w:bookmarkStart w:id="82" w:name="_Toc147398230"/>
      <w:bookmarkEnd w:id="81"/>
      <w:r>
        <w:t>Informazioni sulla sicurezza e sulla compatibilità elettromagnetica (EMC) di dispositivi Powerline e prese pass-through</w:t>
      </w:r>
      <w:bookmarkEnd w:id="82"/>
    </w:p>
    <w:p w14:paraId="20BDA698" w14:textId="77777777" w:rsidR="00DF3509" w:rsidRDefault="00DF3509">
      <w:pPr>
        <w:pStyle w:val="BodyText"/>
        <w:kinsoku w:val="0"/>
        <w:overflowPunct w:val="0"/>
        <w:spacing w:before="60" w:line="278" w:lineRule="auto"/>
        <w:ind w:left="840" w:right="873"/>
        <w:rPr>
          <w:spacing w:val="-2"/>
        </w:rPr>
      </w:pPr>
      <w:r>
        <w:t>Attenersi alle seguenti linee guida sulla sicurezza per garantire l'incolumità personale e proteggere il sistema da potenziali danni:</w:t>
      </w:r>
    </w:p>
    <w:p w14:paraId="26ACE997" w14:textId="77777777" w:rsidR="00DF3509" w:rsidRDefault="00DF3509">
      <w:pPr>
        <w:pStyle w:val="BodyText"/>
        <w:kinsoku w:val="0"/>
        <w:overflowPunct w:val="0"/>
        <w:rPr>
          <w:sz w:val="17"/>
          <w:szCs w:val="17"/>
        </w:rPr>
      </w:pPr>
    </w:p>
    <w:p w14:paraId="528A0D90" w14:textId="77777777" w:rsidR="00DF3509" w:rsidRDefault="00DF3509">
      <w:pPr>
        <w:pStyle w:val="ListParagraph"/>
        <w:numPr>
          <w:ilvl w:val="0"/>
          <w:numId w:val="2"/>
        </w:numPr>
        <w:tabs>
          <w:tab w:val="left" w:pos="1560"/>
        </w:tabs>
        <w:kinsoku w:val="0"/>
        <w:overflowPunct w:val="0"/>
        <w:spacing w:before="1" w:line="273" w:lineRule="auto"/>
        <w:ind w:right="1049"/>
        <w:rPr>
          <w:sz w:val="18"/>
          <w:szCs w:val="18"/>
        </w:rPr>
      </w:pPr>
      <w:r>
        <w:rPr>
          <w:sz w:val="18"/>
        </w:rPr>
        <w:t>Per le approvazioni nazionali (programmi di approvazione diversi da CB), dovranno essere consultati anche gli standard nazionali relativi a spine, prese elettriche e unità intercambiabili (ad esempio degli USA) durante il test e l'approvazione dei prodotti in base a tali standard.</w:t>
      </w:r>
    </w:p>
    <w:p w14:paraId="153720A3" w14:textId="77777777" w:rsidR="00DF3509" w:rsidRDefault="00DF3509">
      <w:pPr>
        <w:pStyle w:val="ListParagraph"/>
        <w:numPr>
          <w:ilvl w:val="0"/>
          <w:numId w:val="2"/>
        </w:numPr>
        <w:tabs>
          <w:tab w:val="left" w:pos="1560"/>
        </w:tabs>
        <w:kinsoku w:val="0"/>
        <w:overflowPunct w:val="0"/>
        <w:spacing w:before="1" w:line="273" w:lineRule="auto"/>
        <w:ind w:right="1151"/>
        <w:rPr>
          <w:sz w:val="18"/>
          <w:szCs w:val="18"/>
        </w:rPr>
      </w:pPr>
      <w:r>
        <w:rPr>
          <w:sz w:val="18"/>
        </w:rPr>
        <w:t>Verificare i requisiti di corrente elettrica per qualsiasi dispositivo collegato alla presa CA con filtro. Non superare le specifiche e i requisiti elettrici del prodotto e della casa.</w:t>
      </w:r>
    </w:p>
    <w:p w14:paraId="7EEBC016" w14:textId="77777777" w:rsidR="00DF3509" w:rsidRDefault="00DF3509">
      <w:pPr>
        <w:pStyle w:val="ListParagraph"/>
        <w:numPr>
          <w:ilvl w:val="0"/>
          <w:numId w:val="2"/>
        </w:numPr>
        <w:tabs>
          <w:tab w:val="left" w:pos="1560"/>
        </w:tabs>
        <w:kinsoku w:val="0"/>
        <w:overflowPunct w:val="0"/>
        <w:spacing w:before="29" w:line="273" w:lineRule="auto"/>
        <w:ind w:right="819"/>
        <w:rPr>
          <w:sz w:val="18"/>
          <w:szCs w:val="18"/>
        </w:rPr>
      </w:pPr>
      <w:r>
        <w:rPr>
          <w:sz w:val="18"/>
        </w:rPr>
        <w:t>Inserire solo cavi di alimentazione nelle prese CA con filtro; non inserire nessun altro dispositivo a presa diretta. Il prodotto non deve essere posizionato a più di 1 m di altezza dalla superficie di supporto; il cavo di alimentazione deve avere una lunghezza minima di 1 m e una sezione trasversale massima di 1,5 mm².</w:t>
      </w:r>
    </w:p>
    <w:p w14:paraId="35351902" w14:textId="77777777" w:rsidR="00DF3509" w:rsidRDefault="00DF3509">
      <w:pPr>
        <w:pStyle w:val="ListParagraph"/>
        <w:numPr>
          <w:ilvl w:val="0"/>
          <w:numId w:val="2"/>
        </w:numPr>
        <w:tabs>
          <w:tab w:val="left" w:pos="1560"/>
        </w:tabs>
        <w:kinsoku w:val="0"/>
        <w:overflowPunct w:val="0"/>
        <w:spacing w:before="4" w:line="273" w:lineRule="auto"/>
        <w:ind w:right="839"/>
        <w:rPr>
          <w:sz w:val="18"/>
          <w:szCs w:val="18"/>
        </w:rPr>
      </w:pPr>
      <w:r>
        <w:rPr>
          <w:sz w:val="18"/>
        </w:rPr>
        <w:t>Non collegare alla presa CA con filtro per adattatore pass-through Powerline dispositivi che non rispettano le specifiche elettriche del prodotto. Il voltaggio di uscita della presa CA con filtro è identico a quello della presa di corrente alla quale è collegato l'adattatore pass-through Powerline. Per evitare danni al sistema, assicurarsi che i dispositivi collegati siano classificati per funzionare con la corrente disponibile nella propria località.</w:t>
      </w:r>
    </w:p>
    <w:p w14:paraId="510D35DF" w14:textId="77777777" w:rsidR="00DF3509" w:rsidRDefault="00DF3509">
      <w:pPr>
        <w:pStyle w:val="ListParagraph"/>
        <w:numPr>
          <w:ilvl w:val="0"/>
          <w:numId w:val="2"/>
        </w:numPr>
        <w:tabs>
          <w:tab w:val="left" w:pos="1560"/>
        </w:tabs>
        <w:kinsoku w:val="0"/>
        <w:overflowPunct w:val="0"/>
        <w:spacing w:before="4" w:line="273" w:lineRule="auto"/>
        <w:ind w:right="917"/>
        <w:rPr>
          <w:sz w:val="18"/>
          <w:szCs w:val="18"/>
        </w:rPr>
      </w:pPr>
      <w:r>
        <w:rPr>
          <w:sz w:val="18"/>
        </w:rPr>
        <w:t>Se il voltaggio della porta CA è inferiore a 100 V CA, il dispositivo collegato alla presa CA con filtro per adattatore pass-through Powerline potrebbe non funzionare come previsto.</w:t>
      </w:r>
    </w:p>
    <w:p w14:paraId="02D8852E" w14:textId="77777777" w:rsidR="00DF3509" w:rsidRDefault="00DF3509">
      <w:pPr>
        <w:pStyle w:val="ListParagraph"/>
        <w:numPr>
          <w:ilvl w:val="0"/>
          <w:numId w:val="2"/>
        </w:numPr>
        <w:tabs>
          <w:tab w:val="left" w:pos="1560"/>
        </w:tabs>
        <w:kinsoku w:val="0"/>
        <w:overflowPunct w:val="0"/>
        <w:spacing w:before="2" w:line="273" w:lineRule="auto"/>
        <w:ind w:right="1085"/>
        <w:jc w:val="both"/>
        <w:rPr>
          <w:sz w:val="18"/>
          <w:szCs w:val="18"/>
        </w:rPr>
      </w:pPr>
      <w:r>
        <w:rPr>
          <w:sz w:val="18"/>
        </w:rPr>
        <w:t>NON COLLEGARE I PRINCIPALI ELETTRODOMESTICI alla presa CA con filtro o a una presa multipla collegata. Il dispositivo non è inteso per l'uso congiunto con elettrodomestici come condizionatori, utensili elettrici, apparecchi per riscaldamento, ventilatori, asciugacapelli, forni o frigoriferi.</w:t>
      </w:r>
    </w:p>
    <w:p w14:paraId="4779EF08" w14:textId="77777777" w:rsidR="00DF3509" w:rsidRDefault="00DF3509">
      <w:pPr>
        <w:pStyle w:val="ListParagraph"/>
        <w:numPr>
          <w:ilvl w:val="0"/>
          <w:numId w:val="2"/>
        </w:numPr>
        <w:tabs>
          <w:tab w:val="left" w:pos="1560"/>
        </w:tabs>
        <w:kinsoku w:val="0"/>
        <w:overflowPunct w:val="0"/>
        <w:spacing w:before="2" w:line="276" w:lineRule="auto"/>
        <w:ind w:right="1026"/>
        <w:rPr>
          <w:sz w:val="18"/>
          <w:szCs w:val="18"/>
        </w:rPr>
      </w:pPr>
      <w:r>
        <w:rPr>
          <w:sz w:val="18"/>
        </w:rPr>
        <w:t>Osservare le specifiche della prolunga e della basetta di alimentazione. Assicurarsi che l'amperaggio totale di tutti i prodotti collegati alla prolunga o alla basetta di alimentazione non superi l'80% del limite di amperaggio corrispondente.</w:t>
      </w:r>
    </w:p>
    <w:p w14:paraId="2BD3DE07" w14:textId="77777777" w:rsidR="00DF3509" w:rsidRDefault="00DF3509">
      <w:pPr>
        <w:pStyle w:val="ListParagraph"/>
        <w:numPr>
          <w:ilvl w:val="0"/>
          <w:numId w:val="2"/>
        </w:numPr>
        <w:tabs>
          <w:tab w:val="left" w:pos="1560"/>
        </w:tabs>
        <w:kinsoku w:val="0"/>
        <w:overflowPunct w:val="0"/>
        <w:spacing w:line="273" w:lineRule="auto"/>
        <w:ind w:right="842"/>
        <w:rPr>
          <w:sz w:val="18"/>
          <w:szCs w:val="18"/>
        </w:rPr>
      </w:pPr>
      <w:r>
        <w:rPr>
          <w:sz w:val="18"/>
        </w:rPr>
        <w:t>La trasmissione effettiva dei dati può variare. Le condizioni della rete e i fattori ambientali, compreso il volume del traffico di rete, la struttura, i materiali utilizzati e l'overhead di rete riducono la portata effettiva dei dati.</w:t>
      </w:r>
    </w:p>
    <w:p w14:paraId="79F96E08" w14:textId="77777777" w:rsidR="009F6DAC" w:rsidRDefault="009F6DAC">
      <w:pPr>
        <w:pStyle w:val="BodyText"/>
        <w:kinsoku w:val="0"/>
        <w:overflowPunct w:val="0"/>
        <w:spacing w:before="79" w:line="278" w:lineRule="auto"/>
        <w:ind w:left="840" w:right="779"/>
      </w:pPr>
    </w:p>
    <w:p w14:paraId="70FF31A6" w14:textId="77777777" w:rsidR="00DF3509" w:rsidRDefault="00DF3509">
      <w:pPr>
        <w:pStyle w:val="BodyText"/>
        <w:kinsoku w:val="0"/>
        <w:overflowPunct w:val="0"/>
        <w:spacing w:before="79" w:line="278" w:lineRule="auto"/>
        <w:ind w:left="840" w:right="779"/>
      </w:pPr>
      <w:r>
        <w:t>I prodotti NETGEAR Powerline offrono un modo alternativo per estendere la rete utilizzando il cablaggio elettrico esistente. In caso di problemi di interferenza, attenersi alle seguenti linee guida:</w:t>
      </w:r>
    </w:p>
    <w:p w14:paraId="09209A2E" w14:textId="77777777" w:rsidR="00DF3509" w:rsidRDefault="00DF3509">
      <w:pPr>
        <w:pStyle w:val="BodyText"/>
        <w:kinsoku w:val="0"/>
        <w:overflowPunct w:val="0"/>
        <w:spacing w:before="1"/>
        <w:rPr>
          <w:sz w:val="17"/>
          <w:szCs w:val="17"/>
        </w:rPr>
      </w:pPr>
    </w:p>
    <w:p w14:paraId="42C78757" w14:textId="77777777" w:rsidR="00DF3509" w:rsidRDefault="00DF3509">
      <w:pPr>
        <w:pStyle w:val="ListParagraph"/>
        <w:numPr>
          <w:ilvl w:val="0"/>
          <w:numId w:val="2"/>
        </w:numPr>
        <w:tabs>
          <w:tab w:val="left" w:pos="1560"/>
        </w:tabs>
        <w:kinsoku w:val="0"/>
        <w:overflowPunct w:val="0"/>
        <w:rPr>
          <w:spacing w:val="-2"/>
          <w:sz w:val="18"/>
          <w:szCs w:val="18"/>
        </w:rPr>
      </w:pPr>
      <w:r>
        <w:rPr>
          <w:sz w:val="18"/>
        </w:rPr>
        <w:t>Collegare gli adattatori Powerline a prese lontane da caricabatteria per telefoni cellulari e da stazioni base per telefoni cordless.</w:t>
      </w:r>
    </w:p>
    <w:p w14:paraId="7B9FEA05" w14:textId="77777777" w:rsidR="00DF3509" w:rsidRDefault="00DF3509">
      <w:pPr>
        <w:pStyle w:val="ListParagraph"/>
        <w:numPr>
          <w:ilvl w:val="0"/>
          <w:numId w:val="2"/>
        </w:numPr>
        <w:tabs>
          <w:tab w:val="left" w:pos="1560"/>
        </w:tabs>
        <w:kinsoku w:val="0"/>
        <w:overflowPunct w:val="0"/>
        <w:spacing w:before="29"/>
        <w:rPr>
          <w:spacing w:val="-2"/>
          <w:sz w:val="18"/>
          <w:szCs w:val="18"/>
        </w:rPr>
      </w:pPr>
      <w:r>
        <w:rPr>
          <w:sz w:val="18"/>
        </w:rPr>
        <w:t>Assicurarsi che gli adattatori Powerline siano posizionati lontano da apparecchi dotati di motore (ad esempio, ventilatori, aspirapolvere ecc.).</w:t>
      </w:r>
    </w:p>
    <w:p w14:paraId="40E1C4B7" w14:textId="77777777" w:rsidR="00DF3509" w:rsidRDefault="00DF3509">
      <w:pPr>
        <w:pStyle w:val="ListParagraph"/>
        <w:numPr>
          <w:ilvl w:val="0"/>
          <w:numId w:val="2"/>
        </w:numPr>
        <w:tabs>
          <w:tab w:val="left" w:pos="1560"/>
        </w:tabs>
        <w:kinsoku w:val="0"/>
        <w:overflowPunct w:val="0"/>
        <w:spacing w:before="32"/>
        <w:rPr>
          <w:spacing w:val="-2"/>
          <w:sz w:val="18"/>
          <w:szCs w:val="18"/>
        </w:rPr>
      </w:pPr>
      <w:r>
        <w:rPr>
          <w:sz w:val="18"/>
        </w:rPr>
        <w:t>Assicurarsi che gli adattatori Powerline siano posizionati lontano da dispositivi audio, ad esempio ricevitori radio.</w:t>
      </w:r>
    </w:p>
    <w:p w14:paraId="304486E9" w14:textId="77777777" w:rsidR="009F6DAC" w:rsidRDefault="009F6DAC">
      <w:pPr>
        <w:pStyle w:val="BodyText"/>
        <w:kinsoku w:val="0"/>
        <w:overflowPunct w:val="0"/>
        <w:rPr>
          <w:sz w:val="20"/>
          <w:szCs w:val="20"/>
        </w:rPr>
        <w:sectPr w:rsidR="009F6DAC">
          <w:pgSz w:w="12240" w:h="15840"/>
          <w:pgMar w:top="1420" w:right="680" w:bottom="1140" w:left="600" w:header="0" w:footer="950" w:gutter="0"/>
          <w:cols w:space="720"/>
          <w:noEndnote/>
        </w:sectPr>
      </w:pPr>
    </w:p>
    <w:p w14:paraId="4FF857BC" w14:textId="77777777" w:rsidR="00DF3509" w:rsidRDefault="00DF3509">
      <w:pPr>
        <w:pStyle w:val="Heading2"/>
        <w:kinsoku w:val="0"/>
        <w:overflowPunct w:val="0"/>
        <w:rPr>
          <w:spacing w:val="-2"/>
        </w:rPr>
      </w:pPr>
      <w:bookmarkStart w:id="83" w:name="_bookmark62"/>
      <w:bookmarkStart w:id="84" w:name="_Toc147398231"/>
      <w:bookmarkEnd w:id="83"/>
      <w:r>
        <w:lastRenderedPageBreak/>
        <w:t>Indicazioni generali - Note per tutti i prodotti</w:t>
      </w:r>
      <w:bookmarkEnd w:id="84"/>
    </w:p>
    <w:p w14:paraId="054A9EE4" w14:textId="77777777" w:rsidR="00DF3509" w:rsidRDefault="00DF3509">
      <w:pPr>
        <w:pStyle w:val="ListParagraph"/>
        <w:numPr>
          <w:ilvl w:val="0"/>
          <w:numId w:val="2"/>
        </w:numPr>
        <w:tabs>
          <w:tab w:val="left" w:pos="1560"/>
        </w:tabs>
        <w:kinsoku w:val="0"/>
        <w:overflowPunct w:val="0"/>
        <w:spacing w:before="102"/>
        <w:rPr>
          <w:spacing w:val="-2"/>
          <w:sz w:val="18"/>
          <w:szCs w:val="18"/>
        </w:rPr>
      </w:pPr>
      <w:r>
        <w:rPr>
          <w:sz w:val="18"/>
        </w:rPr>
        <w:t>Utilizzare il prodotto solo con attrezzature approvate.</w:t>
      </w:r>
    </w:p>
    <w:p w14:paraId="1ABE5145" w14:textId="77777777" w:rsidR="00DF3509" w:rsidRDefault="00DF3509">
      <w:pPr>
        <w:pStyle w:val="ListParagraph"/>
        <w:numPr>
          <w:ilvl w:val="0"/>
          <w:numId w:val="2"/>
        </w:numPr>
        <w:tabs>
          <w:tab w:val="left" w:pos="1560"/>
        </w:tabs>
        <w:kinsoku w:val="0"/>
        <w:overflowPunct w:val="0"/>
        <w:spacing w:before="29"/>
        <w:rPr>
          <w:spacing w:val="-2"/>
          <w:sz w:val="18"/>
          <w:szCs w:val="18"/>
        </w:rPr>
      </w:pPr>
      <w:r>
        <w:rPr>
          <w:sz w:val="18"/>
        </w:rPr>
        <w:t>Lasciare raffreddare i prodotti prima di rimuovere i coperchi o toccare i componenti interni.</w:t>
      </w:r>
    </w:p>
    <w:p w14:paraId="12407FA3" w14:textId="77777777" w:rsidR="00DF3509" w:rsidRDefault="00DF3509">
      <w:pPr>
        <w:pStyle w:val="ListParagraph"/>
        <w:numPr>
          <w:ilvl w:val="0"/>
          <w:numId w:val="2"/>
        </w:numPr>
        <w:tabs>
          <w:tab w:val="left" w:pos="1560"/>
        </w:tabs>
        <w:kinsoku w:val="0"/>
        <w:overflowPunct w:val="0"/>
        <w:spacing w:before="30" w:line="273" w:lineRule="auto"/>
        <w:ind w:right="1074"/>
        <w:rPr>
          <w:sz w:val="18"/>
          <w:szCs w:val="18"/>
        </w:rPr>
      </w:pPr>
      <w:r>
        <w:rPr>
          <w:sz w:val="18"/>
        </w:rPr>
        <w:t>Per evitare di danneggiare il sistema, accertarsi che il selettore di tensione (se presente) sull'alimentatore sia impostato in modo da corrispondere all'alimentazione disponibile nella propria sede:</w:t>
      </w:r>
    </w:p>
    <w:p w14:paraId="4F6D5333" w14:textId="77777777" w:rsidR="00DF3509" w:rsidRDefault="00DF3509">
      <w:pPr>
        <w:pStyle w:val="ListParagraph"/>
        <w:numPr>
          <w:ilvl w:val="1"/>
          <w:numId w:val="2"/>
        </w:numPr>
        <w:tabs>
          <w:tab w:val="left" w:pos="2280"/>
        </w:tabs>
        <w:kinsoku w:val="0"/>
        <w:overflowPunct w:val="0"/>
        <w:spacing w:before="2" w:line="256" w:lineRule="auto"/>
        <w:ind w:right="1020"/>
        <w:rPr>
          <w:sz w:val="18"/>
          <w:szCs w:val="18"/>
        </w:rPr>
      </w:pPr>
      <w:r>
        <w:rPr>
          <w:sz w:val="18"/>
        </w:rPr>
        <w:t>110 volt (V), 60 hertz (Hz) nella maggior parte del Nord e Sud America e in alcuni Paesi dell'Estremo Oriente, come la Corea del sud e Taiwan</w:t>
      </w:r>
    </w:p>
    <w:p w14:paraId="301DB434" w14:textId="77777777" w:rsidR="00DF3509" w:rsidRDefault="00DF3509">
      <w:pPr>
        <w:pStyle w:val="ListParagraph"/>
        <w:numPr>
          <w:ilvl w:val="1"/>
          <w:numId w:val="2"/>
        </w:numPr>
        <w:tabs>
          <w:tab w:val="left" w:pos="2279"/>
        </w:tabs>
        <w:kinsoku w:val="0"/>
        <w:overflowPunct w:val="0"/>
        <w:spacing w:before="17"/>
        <w:ind w:left="2279" w:hanging="359"/>
        <w:rPr>
          <w:spacing w:val="-2"/>
          <w:sz w:val="18"/>
          <w:szCs w:val="18"/>
        </w:rPr>
      </w:pPr>
      <w:r>
        <w:rPr>
          <w:sz w:val="18"/>
        </w:rPr>
        <w:t>100 volt, 50 Hz nel Giappone orientale e 100 volt, 60 Hz nel Giappone occidentale</w:t>
      </w:r>
    </w:p>
    <w:p w14:paraId="7E96FF36" w14:textId="77777777" w:rsidR="00DF3509" w:rsidRDefault="00DF3509">
      <w:pPr>
        <w:pStyle w:val="ListParagraph"/>
        <w:numPr>
          <w:ilvl w:val="1"/>
          <w:numId w:val="2"/>
        </w:numPr>
        <w:tabs>
          <w:tab w:val="left" w:pos="2279"/>
        </w:tabs>
        <w:kinsoku w:val="0"/>
        <w:overflowPunct w:val="0"/>
        <w:spacing w:before="15"/>
        <w:ind w:left="2279" w:hanging="359"/>
        <w:rPr>
          <w:spacing w:val="-4"/>
          <w:sz w:val="18"/>
          <w:szCs w:val="18"/>
        </w:rPr>
      </w:pPr>
      <w:r>
        <w:rPr>
          <w:sz w:val="18"/>
        </w:rPr>
        <w:t>230 volt, 50 Hz nella maggior parte dell'Europa e del Medio ed Estremo Oriente</w:t>
      </w:r>
    </w:p>
    <w:p w14:paraId="01C9B009" w14:textId="77777777" w:rsidR="00DF3509" w:rsidRDefault="00DF3509">
      <w:pPr>
        <w:pStyle w:val="ListParagraph"/>
        <w:numPr>
          <w:ilvl w:val="0"/>
          <w:numId w:val="2"/>
        </w:numPr>
        <w:tabs>
          <w:tab w:val="left" w:pos="1560"/>
        </w:tabs>
        <w:kinsoku w:val="0"/>
        <w:overflowPunct w:val="0"/>
        <w:spacing w:before="17" w:line="271" w:lineRule="auto"/>
        <w:ind w:right="1258"/>
        <w:rPr>
          <w:sz w:val="18"/>
          <w:szCs w:val="18"/>
        </w:rPr>
      </w:pPr>
      <w:r>
        <w:rPr>
          <w:sz w:val="18"/>
        </w:rPr>
        <w:t>Per proteggere il sistema da variazioni improvvise e transitorie dell'alimentazione elettrica, utilizzare un soppressore di sovratensione, un condizionatore di rete o un gruppo di continuità (UPS).</w:t>
      </w:r>
    </w:p>
    <w:p w14:paraId="3172EEA9" w14:textId="77777777" w:rsidR="00DF3509" w:rsidRDefault="00DF3509">
      <w:pPr>
        <w:pStyle w:val="ListParagraph"/>
        <w:numPr>
          <w:ilvl w:val="0"/>
          <w:numId w:val="2"/>
        </w:numPr>
        <w:tabs>
          <w:tab w:val="left" w:pos="1560"/>
        </w:tabs>
        <w:kinsoku w:val="0"/>
        <w:overflowPunct w:val="0"/>
        <w:spacing w:before="4" w:line="271" w:lineRule="auto"/>
        <w:ind w:right="900"/>
        <w:rPr>
          <w:sz w:val="18"/>
          <w:szCs w:val="18"/>
        </w:rPr>
      </w:pPr>
      <w:r>
        <w:rPr>
          <w:sz w:val="18"/>
        </w:rPr>
        <w:t>I cavi di alimentazione delle periferiche sono dotati di spine tripolari per garantire una corretta messa a terra. Non utilizzare spine adattatrici né rimuovere il polo di messa a terra da un cavo.</w:t>
      </w:r>
    </w:p>
    <w:p w14:paraId="213A9560" w14:textId="77777777" w:rsidR="00DF3509" w:rsidRDefault="00DF3509">
      <w:pPr>
        <w:pStyle w:val="ListParagraph"/>
        <w:numPr>
          <w:ilvl w:val="0"/>
          <w:numId w:val="2"/>
        </w:numPr>
        <w:tabs>
          <w:tab w:val="left" w:pos="1560"/>
        </w:tabs>
        <w:kinsoku w:val="0"/>
        <w:overflowPunct w:val="0"/>
        <w:spacing w:before="4" w:line="276" w:lineRule="auto"/>
        <w:ind w:right="844"/>
        <w:rPr>
          <w:spacing w:val="-2"/>
          <w:sz w:val="18"/>
          <w:szCs w:val="18"/>
        </w:rPr>
      </w:pPr>
      <w:r>
        <w:rPr>
          <w:sz w:val="18"/>
        </w:rPr>
        <w:t>L'apertura o la rimozione dei coperchi contrassegnati con il simbolo del triangolo con un fulmine può esporre l'utente a scosse elettriche. La manutenzione dei componenti all'interno di questi scomparti deve essere effettuata soltanto da parte di un tecnico dell'assistenza qualificato.</w:t>
      </w:r>
    </w:p>
    <w:p w14:paraId="5F815565" w14:textId="77777777" w:rsidR="00DF3509" w:rsidRDefault="00DF3509">
      <w:pPr>
        <w:pStyle w:val="ListParagraph"/>
        <w:numPr>
          <w:ilvl w:val="0"/>
          <w:numId w:val="2"/>
        </w:numPr>
        <w:tabs>
          <w:tab w:val="left" w:pos="1560"/>
        </w:tabs>
        <w:kinsoku w:val="0"/>
        <w:overflowPunct w:val="0"/>
        <w:rPr>
          <w:spacing w:val="-2"/>
          <w:sz w:val="18"/>
          <w:szCs w:val="18"/>
        </w:rPr>
      </w:pPr>
      <w:r>
        <w:rPr>
          <w:sz w:val="18"/>
        </w:rPr>
        <w:t>Effettuare la manutenzione su un prodotto esclusivamente secondo le modalità spiegate nella documentazione del sistema.</w:t>
      </w:r>
    </w:p>
    <w:p w14:paraId="7FB5F581" w14:textId="77777777" w:rsidR="00DF3509" w:rsidRDefault="00DF3509">
      <w:pPr>
        <w:pStyle w:val="BodyText"/>
        <w:kinsoku w:val="0"/>
        <w:overflowPunct w:val="0"/>
        <w:rPr>
          <w:sz w:val="22"/>
          <w:szCs w:val="22"/>
        </w:rPr>
      </w:pPr>
    </w:p>
    <w:p w14:paraId="029852B3" w14:textId="77777777" w:rsidR="00DF3509" w:rsidRDefault="00DF3509">
      <w:pPr>
        <w:pStyle w:val="BodyText"/>
        <w:kinsoku w:val="0"/>
        <w:overflowPunct w:val="0"/>
        <w:spacing w:before="3"/>
        <w:rPr>
          <w:sz w:val="22"/>
          <w:szCs w:val="22"/>
        </w:rPr>
      </w:pPr>
    </w:p>
    <w:p w14:paraId="28A941D2" w14:textId="77777777" w:rsidR="00DF3509" w:rsidRDefault="00DF3509">
      <w:pPr>
        <w:pStyle w:val="Heading1"/>
        <w:kinsoku w:val="0"/>
        <w:overflowPunct w:val="0"/>
        <w:rPr>
          <w:spacing w:val="-2"/>
        </w:rPr>
      </w:pPr>
      <w:bookmarkStart w:id="85" w:name="_bookmark63"/>
      <w:bookmarkStart w:id="86" w:name="_Toc147398232"/>
      <w:bookmarkEnd w:id="85"/>
      <w:r>
        <w:t>Istruzioni di sicurezza per il montaggio su rack</w:t>
      </w:r>
      <w:bookmarkEnd w:id="86"/>
    </w:p>
    <w:p w14:paraId="004ECFE4" w14:textId="77777777" w:rsidR="00DF3509" w:rsidRDefault="00DF3509">
      <w:pPr>
        <w:pStyle w:val="BodyText"/>
        <w:kinsoku w:val="0"/>
        <w:overflowPunct w:val="0"/>
        <w:spacing w:before="110"/>
        <w:ind w:left="840"/>
        <w:rPr>
          <w:spacing w:val="-2"/>
        </w:rPr>
      </w:pPr>
      <w:r>
        <w:t>Queste informazioni si applicano all'installazione dei prodotti NETGEAR su rack</w:t>
      </w:r>
    </w:p>
    <w:p w14:paraId="6A8A0397" w14:textId="77777777" w:rsidR="00DF3509" w:rsidRDefault="00DF3509">
      <w:pPr>
        <w:pStyle w:val="BodyText"/>
        <w:kinsoku w:val="0"/>
        <w:overflowPunct w:val="0"/>
        <w:spacing w:before="9"/>
        <w:rPr>
          <w:sz w:val="19"/>
          <w:szCs w:val="19"/>
        </w:rPr>
      </w:pPr>
    </w:p>
    <w:p w14:paraId="4BB8A6AD" w14:textId="77777777" w:rsidR="00DF3509" w:rsidRDefault="00DF3509">
      <w:pPr>
        <w:pStyle w:val="ListParagraph"/>
        <w:numPr>
          <w:ilvl w:val="0"/>
          <w:numId w:val="2"/>
        </w:numPr>
        <w:tabs>
          <w:tab w:val="left" w:pos="1560"/>
        </w:tabs>
        <w:kinsoku w:val="0"/>
        <w:overflowPunct w:val="0"/>
        <w:spacing w:line="276" w:lineRule="auto"/>
        <w:ind w:right="1029"/>
        <w:rPr>
          <w:sz w:val="18"/>
          <w:szCs w:val="18"/>
        </w:rPr>
      </w:pPr>
      <w:r>
        <w:rPr>
          <w:b/>
          <w:sz w:val="18"/>
        </w:rPr>
        <w:t>Temperatura dell'ambiente di esercizio</w:t>
      </w:r>
      <w:r>
        <w:rPr>
          <w:sz w:val="18"/>
        </w:rPr>
        <w:t>. Se lo switch è installato in un gruppo rack chiuso o multiunità, la temperatura dell'ambiente di esercizio del rack potrebbe essere superiore alla temperatura presente nella stanza. Pertanto, prendere in considerazione l'installazione dell'apparecchio in un ambiente compatibile con la temperatura ambiente nominale massima.</w:t>
      </w:r>
    </w:p>
    <w:p w14:paraId="05DF1584" w14:textId="77777777" w:rsidR="00DF3509" w:rsidRDefault="00DF3509">
      <w:pPr>
        <w:pStyle w:val="ListParagraph"/>
        <w:numPr>
          <w:ilvl w:val="0"/>
          <w:numId w:val="2"/>
        </w:numPr>
        <w:tabs>
          <w:tab w:val="left" w:pos="1560"/>
        </w:tabs>
        <w:kinsoku w:val="0"/>
        <w:overflowPunct w:val="0"/>
        <w:spacing w:line="271" w:lineRule="auto"/>
        <w:ind w:right="869"/>
        <w:rPr>
          <w:sz w:val="18"/>
          <w:szCs w:val="18"/>
        </w:rPr>
      </w:pPr>
      <w:r>
        <w:rPr>
          <w:b/>
          <w:sz w:val="18"/>
        </w:rPr>
        <w:t>Flusso d'aria ridotto</w:t>
      </w:r>
      <w:r>
        <w:rPr>
          <w:sz w:val="18"/>
        </w:rPr>
        <w:t>. Montare l'apparecchio su un rack in modo da non compromettere la quantità di aria necessaria a un funzionamento sicuro.</w:t>
      </w:r>
    </w:p>
    <w:p w14:paraId="5A49142F" w14:textId="77777777" w:rsidR="00DF3509" w:rsidRDefault="00DF3509">
      <w:pPr>
        <w:pStyle w:val="ListParagraph"/>
        <w:numPr>
          <w:ilvl w:val="0"/>
          <w:numId w:val="2"/>
        </w:numPr>
        <w:tabs>
          <w:tab w:val="left" w:pos="1560"/>
        </w:tabs>
        <w:kinsoku w:val="0"/>
        <w:overflowPunct w:val="0"/>
        <w:spacing w:before="1" w:line="271" w:lineRule="auto"/>
        <w:ind w:right="936"/>
        <w:rPr>
          <w:sz w:val="18"/>
          <w:szCs w:val="18"/>
        </w:rPr>
      </w:pPr>
      <w:r>
        <w:rPr>
          <w:b/>
          <w:sz w:val="18"/>
        </w:rPr>
        <w:t>Carico meccanico</w:t>
      </w:r>
      <w:r>
        <w:rPr>
          <w:sz w:val="18"/>
        </w:rPr>
        <w:t>. Montare l'apparecchio su un rack in modo che non si verifichi una condizione pericolosa dovuta a un carico meccanico irregolare.</w:t>
      </w:r>
    </w:p>
    <w:p w14:paraId="409847DC" w14:textId="77777777" w:rsidR="00DF3509" w:rsidRDefault="00DF3509">
      <w:pPr>
        <w:pStyle w:val="ListParagraph"/>
        <w:numPr>
          <w:ilvl w:val="0"/>
          <w:numId w:val="2"/>
        </w:numPr>
        <w:tabs>
          <w:tab w:val="left" w:pos="1560"/>
        </w:tabs>
        <w:kinsoku w:val="0"/>
        <w:overflowPunct w:val="0"/>
        <w:spacing w:before="7" w:line="273" w:lineRule="auto"/>
        <w:ind w:right="827"/>
        <w:rPr>
          <w:sz w:val="18"/>
          <w:szCs w:val="18"/>
        </w:rPr>
      </w:pPr>
      <w:r>
        <w:rPr>
          <w:b/>
          <w:sz w:val="18"/>
        </w:rPr>
        <w:t>Sovraccarico dei circuiti</w:t>
      </w:r>
      <w:r>
        <w:rPr>
          <w:sz w:val="18"/>
        </w:rPr>
        <w:t>. Prendere in considerazione il collegamento dell'apparecchio al circuito di alimentazione e l'effetto che un eventuale sovraccarico dei circuiti potrebbe avere sulla protezione da sovracorrente e sul cablaggio di alimentazione. Tenere presenti i valori nominali sulle targhette dei dispositivi quando si deve affrontare questo problema.</w:t>
      </w:r>
    </w:p>
    <w:p w14:paraId="2D099545" w14:textId="77777777" w:rsidR="00DF3509" w:rsidRDefault="00DF3509">
      <w:pPr>
        <w:pStyle w:val="ListParagraph"/>
        <w:numPr>
          <w:ilvl w:val="0"/>
          <w:numId w:val="2"/>
        </w:numPr>
        <w:tabs>
          <w:tab w:val="left" w:pos="1560"/>
        </w:tabs>
        <w:kinsoku w:val="0"/>
        <w:overflowPunct w:val="0"/>
        <w:spacing w:before="1" w:line="276" w:lineRule="auto"/>
        <w:ind w:right="808"/>
        <w:rPr>
          <w:sz w:val="18"/>
          <w:szCs w:val="18"/>
        </w:rPr>
      </w:pPr>
      <w:r>
        <w:rPr>
          <w:b/>
          <w:sz w:val="18"/>
        </w:rPr>
        <w:t>Affidabile messa a terra</w:t>
      </w:r>
      <w:r>
        <w:rPr>
          <w:sz w:val="18"/>
        </w:rPr>
        <w:t>. Questo prodotto richiede di mantenere sempre un'affidabile messa a terra. A tale scopo, effettuare la messa a terra del rack. Prestare particolare attenzione a collegamenti di alimentazione diversi da quelli diretti al circuito derivato (ad esempio, l'uso di basette di alimentazione).</w:t>
      </w:r>
    </w:p>
    <w:p w14:paraId="63B04371" w14:textId="77777777" w:rsidR="00DF3509" w:rsidRDefault="00DF3509">
      <w:pPr>
        <w:pStyle w:val="ListParagraph"/>
        <w:numPr>
          <w:ilvl w:val="0"/>
          <w:numId w:val="2"/>
        </w:numPr>
        <w:tabs>
          <w:tab w:val="left" w:pos="1560"/>
        </w:tabs>
        <w:kinsoku w:val="0"/>
        <w:overflowPunct w:val="0"/>
        <w:spacing w:line="276" w:lineRule="auto"/>
        <w:ind w:right="1044"/>
        <w:rPr>
          <w:spacing w:val="-2"/>
          <w:sz w:val="18"/>
          <w:szCs w:val="18"/>
        </w:rPr>
      </w:pPr>
      <w:r>
        <w:rPr>
          <w:b/>
          <w:sz w:val="18"/>
        </w:rPr>
        <w:t>Spazio libero</w:t>
      </w:r>
      <w:r>
        <w:rPr>
          <w:sz w:val="18"/>
        </w:rPr>
        <w:t>. Lasciare uno spazio sufficiente davanti al rack (circa 60 cm) per consentire l'apertura completa della porta anteriore e sul retro del rack (circa 80 cm) per consentire un flusso d'aria sufficiente e per facilitare la manutenzione.</w:t>
      </w:r>
    </w:p>
    <w:p w14:paraId="7C183BE9" w14:textId="4F3C2E24" w:rsidR="00DF3509" w:rsidRDefault="0052779B">
      <w:pPr>
        <w:pStyle w:val="BodyText"/>
        <w:kinsoku w:val="0"/>
        <w:overflowPunct w:val="0"/>
        <w:spacing w:before="10"/>
        <w:rPr>
          <w:sz w:val="26"/>
          <w:szCs w:val="26"/>
        </w:rPr>
      </w:pPr>
      <w:r>
        <w:rPr>
          <w:noProof/>
        </w:rPr>
        <mc:AlternateContent>
          <mc:Choice Requires="wps">
            <w:drawing>
              <wp:anchor distT="0" distB="0" distL="0" distR="0" simplePos="0" relativeHeight="251665408" behindDoc="0" locked="0" layoutInCell="0" allowOverlap="1" wp14:anchorId="2201352A" wp14:editId="0A0725A7">
                <wp:simplePos x="0" y="0"/>
                <wp:positionH relativeFrom="page">
                  <wp:posOffset>914400</wp:posOffset>
                </wp:positionH>
                <wp:positionV relativeFrom="paragraph">
                  <wp:posOffset>211455</wp:posOffset>
                </wp:positionV>
                <wp:extent cx="5943600" cy="12065"/>
                <wp:effectExtent l="0" t="0" r="0" b="0"/>
                <wp:wrapTopAndBottom/>
                <wp:docPr id="52769031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custGeom>
                          <a:avLst/>
                          <a:gdLst>
                            <a:gd name="T0" fmla="*/ 9360 w 9360"/>
                            <a:gd name="T1" fmla="*/ 0 h 19"/>
                            <a:gd name="T2" fmla="*/ 0 w 9360"/>
                            <a:gd name="T3" fmla="*/ 0 h 19"/>
                            <a:gd name="T4" fmla="*/ 0 w 9360"/>
                            <a:gd name="T5" fmla="*/ 18 h 19"/>
                            <a:gd name="T6" fmla="*/ 9360 w 9360"/>
                            <a:gd name="T7" fmla="*/ 18 h 19"/>
                            <a:gd name="T8" fmla="*/ 9360 w 9360"/>
                            <a:gd name="T9" fmla="*/ 0 h 19"/>
                          </a:gdLst>
                          <a:ahLst/>
                          <a:cxnLst>
                            <a:cxn ang="0">
                              <a:pos x="T0" y="T1"/>
                            </a:cxn>
                            <a:cxn ang="0">
                              <a:pos x="T2" y="T3"/>
                            </a:cxn>
                            <a:cxn ang="0">
                              <a:pos x="T4" y="T5"/>
                            </a:cxn>
                            <a:cxn ang="0">
                              <a:pos x="T6" y="T7"/>
                            </a:cxn>
                            <a:cxn ang="0">
                              <a:pos x="T8" y="T9"/>
                            </a:cxn>
                          </a:cxnLst>
                          <a:rect l="0" t="0" r="r" b="b"/>
                          <a:pathLst>
                            <a:path w="9360" h="19">
                              <a:moveTo>
                                <a:pt x="9360" y="0"/>
                              </a:moveTo>
                              <a:lnTo>
                                <a:pt x="0" y="0"/>
                              </a:lnTo>
                              <a:lnTo>
                                <a:pt x="0" y="18"/>
                              </a:lnTo>
                              <a:lnTo>
                                <a:pt x="9360" y="18"/>
                              </a:lnTo>
                              <a:lnTo>
                                <a:pt x="9360" y="0"/>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828F6" id="Freeform 21" o:spid="_x0000_s1026" style="position:absolute;margin-left:1in;margin-top:16.65pt;width:468pt;height:.9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" o:allowincell="f" path="m9360,l,,,18r9360,l9360,xe" fillcolor="#6f2f9f" stroked="f">
                <v:path arrowok="t" o:connecttype="custom" o:connectlocs="5943600,0;0,0;0,11430;5943600,11430;5943600,0" o:connectangles="0,0,0,0,0"/>
                <w10:wrap type="topAndBottom" anchorx="page"/>
              </v:shape>
            </w:pict>
          </mc:Fallback>
        </mc:AlternateContent>
      </w:r>
    </w:p>
    <w:p w14:paraId="48BF4F22" w14:textId="77777777" w:rsidR="00DF3509" w:rsidRDefault="00DF3509">
      <w:pPr>
        <w:pStyle w:val="BodyText"/>
        <w:kinsoku w:val="0"/>
        <w:overflowPunct w:val="0"/>
        <w:spacing w:before="4"/>
        <w:rPr>
          <w:sz w:val="16"/>
          <w:szCs w:val="16"/>
        </w:rPr>
      </w:pPr>
    </w:p>
    <w:p w14:paraId="6E4B9DFF" w14:textId="77777777" w:rsidR="00DF3509" w:rsidRDefault="00DF3509" w:rsidP="00692195">
      <w:pPr>
        <w:pStyle w:val="BodyText"/>
        <w:kinsoku w:val="0"/>
        <w:overflowPunct w:val="0"/>
        <w:spacing w:before="94"/>
        <w:ind w:left="2250" w:right="2707"/>
        <w:jc w:val="center"/>
        <w:rPr>
          <w:spacing w:val="-5"/>
        </w:rPr>
      </w:pPr>
      <w:r>
        <w:t>NETGEAR, Inc., 350 E. Plumeria Avenue, San Jose, CA 95134 Stati Uniti</w:t>
      </w:r>
    </w:p>
    <w:p w14:paraId="65F926E3" w14:textId="7E4D9C40" w:rsidR="00DF3509" w:rsidRDefault="0052779B" w:rsidP="00D64177">
      <w:bookmarkStart w:id="87" w:name="_bookmark64"/>
      <w:bookmarkStart w:id="88" w:name="_bookmark65"/>
      <w:bookmarkEnd w:id="87"/>
      <w:bookmarkEnd w:id="88"/>
      <w:r>
        <w:rPr>
          <w:noProof/>
        </w:rPr>
        <mc:AlternateContent>
          <mc:Choice Requires="wps">
            <w:drawing>
              <wp:anchor distT="0" distB="0" distL="0" distR="0" simplePos="0" relativeHeight="251666432" behindDoc="0" locked="0" layoutInCell="0" allowOverlap="1" wp14:anchorId="23614727" wp14:editId="791D90EC">
                <wp:simplePos x="0" y="0"/>
                <wp:positionH relativeFrom="page">
                  <wp:posOffset>946150</wp:posOffset>
                </wp:positionH>
                <wp:positionV relativeFrom="paragraph">
                  <wp:posOffset>187960</wp:posOffset>
                </wp:positionV>
                <wp:extent cx="5867400" cy="1117600"/>
                <wp:effectExtent l="0" t="0" r="0" b="0"/>
                <wp:wrapTopAndBottom/>
                <wp:docPr id="20658803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75907" w14:textId="77777777" w:rsidR="00BE289B" w:rsidRDefault="00BE289B" w:rsidP="003608D0">
                            <w:pPr>
                              <w:widowControl/>
                              <w:autoSpaceDE/>
                              <w:autoSpaceDN/>
                              <w:adjustRightInd/>
                              <w:spacing w:line="1760" w:lineRule="atLeast"/>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14727" id="Rectangle 22" o:spid="_x0000_s1031" style="position:absolute;margin-left:74.5pt;margin-top:14.8pt;width:462pt;height:8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" o:allowincell="f" filled="f" stroked="f">
                <v:textbox inset="0,0,0,0">
                  <w:txbxContent>
                    <w:p w14:paraId="0D475907" w14:textId="77777777" w:rsidR="00BE289B" w:rsidRDefault="00BE289B" w:rsidP="003608D0">
                      <w:pPr>
                        <w:widowControl/>
                        <w:autoSpaceDE/>
                        <w:autoSpaceDN/>
                        <w:adjustRightInd/>
                        <w:spacing w:line="1760" w:lineRule="atLeast"/>
                        <w:rPr>
                          <w:rFonts w:ascii="Times New Roman" w:hAnsi="Times New Roman" w:cs="Times New Roman"/>
                          <w:sz w:val="24"/>
                          <w:szCs w:val="24"/>
                        </w:rPr>
                      </w:pPr>
                    </w:p>
                  </w:txbxContent>
                </v:textbox>
                <w10:wrap type="topAndBottom" anchorx="page"/>
              </v:rect>
            </w:pict>
          </mc:Fallback>
        </mc:AlternateContent>
      </w:r>
    </w:p>
    <w:sectPr w:rsidR="00DF3509">
      <w:pgSz w:w="12240" w:h="15840"/>
      <w:pgMar w:top="1420" w:right="680" w:bottom="1140" w:left="600" w:header="0" w:footer="9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7A72E" w14:textId="77777777" w:rsidR="00E0522E" w:rsidRDefault="00E0522E">
      <w:r>
        <w:separator/>
      </w:r>
    </w:p>
  </w:endnote>
  <w:endnote w:type="continuationSeparator" w:id="0">
    <w:p w14:paraId="364B32F7" w14:textId="77777777" w:rsidR="00E0522E" w:rsidRDefault="00E0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2689" w14:textId="5724FDC4" w:rsidR="00763BDA" w:rsidRPr="003608D0" w:rsidRDefault="00763BDA" w:rsidP="00763BDA">
    <w:pPr>
      <w:pStyle w:val="Footer"/>
      <w:tabs>
        <w:tab w:val="clear" w:pos="4320"/>
        <w:tab w:val="clear" w:pos="8640"/>
        <w:tab w:val="center" w:pos="5480"/>
        <w:tab w:val="right" w:pos="10960"/>
      </w:tabs>
      <w:rPr>
        <w:sz w:val="16"/>
        <w:szCs w:val="16"/>
      </w:rPr>
    </w:pPr>
    <w:r>
      <w:t>Notifiche di conformità NETGEAR v3</w:t>
    </w:r>
    <w:r w:rsidR="00815A9F">
      <w:t>7</w:t>
    </w:r>
    <w:r>
      <w:tab/>
    </w:r>
    <w:r w:rsidR="00785A01">
      <w:t xml:space="preserve">Revisione </w:t>
    </w:r>
    <w:r>
      <w:t>in data 29/09/2023</w:t>
    </w:r>
    <w:r>
      <w:tab/>
      <w:t xml:space="preserve">Pagina </w:t>
    </w:r>
    <w:r w:rsidRPr="003608D0">
      <w:rPr>
        <w:sz w:val="16"/>
      </w:rPr>
      <w:fldChar w:fldCharType="begin"/>
    </w:r>
    <w:r w:rsidRPr="003608D0">
      <w:rPr>
        <w:sz w:val="16"/>
      </w:rPr>
      <w:instrText xml:space="preserve"> PAGE  </w:instrText>
    </w:r>
    <w:r w:rsidRPr="00AA7F35">
      <w:rPr>
        <w:sz w:val="16"/>
      </w:rPr>
      <w:instrText>\</w:instrText>
    </w:r>
    <w:r w:rsidRPr="003608D0">
      <w:rPr>
        <w:sz w:val="16"/>
      </w:rPr>
      <w:instrText xml:space="preserve">* Arabic  </w:instrText>
    </w:r>
    <w:r w:rsidRPr="00AA7F35">
      <w:rPr>
        <w:sz w:val="16"/>
      </w:rPr>
      <w:instrText>\</w:instrText>
    </w:r>
    <w:r w:rsidRPr="003608D0">
      <w:rPr>
        <w:sz w:val="16"/>
      </w:rPr>
      <w:instrText xml:space="preserve">* MERGEFORMAT </w:instrText>
    </w:r>
    <w:r w:rsidRPr="003608D0">
      <w:rPr>
        <w:sz w:val="16"/>
      </w:rPr>
      <w:fldChar w:fldCharType="separate"/>
    </w:r>
    <w:r w:rsidRPr="003608D0">
      <w:rPr>
        <w:sz w:val="16"/>
      </w:rPr>
      <w:t>1</w:t>
    </w:r>
    <w:r w:rsidRPr="003608D0">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B9F88" w14:textId="77777777" w:rsidR="00E0522E" w:rsidRDefault="00E0522E">
      <w:r>
        <w:separator/>
      </w:r>
    </w:p>
  </w:footnote>
  <w:footnote w:type="continuationSeparator" w:id="0">
    <w:p w14:paraId="1B5F84A1" w14:textId="77777777" w:rsidR="00E0522E" w:rsidRDefault="00E05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560" w:hanging="360"/>
      </w:pPr>
      <w:rPr>
        <w:rFonts w:ascii="Symbol" w:hAnsi="Symbol"/>
        <w:b w:val="0"/>
        <w:i w:val="0"/>
        <w:spacing w:val="0"/>
        <w:w w:val="100"/>
        <w:sz w:val="18"/>
      </w:rPr>
    </w:lvl>
    <w:lvl w:ilvl="1">
      <w:numFmt w:val="bullet"/>
      <w:lvlText w:val="o"/>
      <w:lvlJc w:val="left"/>
      <w:pPr>
        <w:ind w:left="2280" w:hanging="360"/>
      </w:pPr>
      <w:rPr>
        <w:rFonts w:ascii="Courier New" w:hAnsi="Courier New"/>
        <w:b w:val="0"/>
        <w:i w:val="0"/>
        <w:spacing w:val="0"/>
        <w:w w:val="100"/>
        <w:sz w:val="18"/>
      </w:rPr>
    </w:lvl>
    <w:lvl w:ilvl="2">
      <w:numFmt w:val="bullet"/>
      <w:lvlText w:val="•"/>
      <w:lvlJc w:val="left"/>
      <w:pPr>
        <w:ind w:left="3244" w:hanging="360"/>
      </w:pPr>
    </w:lvl>
    <w:lvl w:ilvl="3">
      <w:numFmt w:val="bullet"/>
      <w:lvlText w:val="•"/>
      <w:lvlJc w:val="left"/>
      <w:pPr>
        <w:ind w:left="4208" w:hanging="360"/>
      </w:pPr>
    </w:lvl>
    <w:lvl w:ilvl="4">
      <w:numFmt w:val="bullet"/>
      <w:lvlText w:val="•"/>
      <w:lvlJc w:val="left"/>
      <w:pPr>
        <w:ind w:left="5173" w:hanging="360"/>
      </w:pPr>
    </w:lvl>
    <w:lvl w:ilvl="5">
      <w:numFmt w:val="bullet"/>
      <w:lvlText w:val="•"/>
      <w:lvlJc w:val="left"/>
      <w:pPr>
        <w:ind w:left="6137" w:hanging="360"/>
      </w:pPr>
    </w:lvl>
    <w:lvl w:ilvl="6">
      <w:numFmt w:val="bullet"/>
      <w:lvlText w:val="•"/>
      <w:lvlJc w:val="left"/>
      <w:pPr>
        <w:ind w:left="7102" w:hanging="360"/>
      </w:pPr>
    </w:lvl>
    <w:lvl w:ilvl="7">
      <w:numFmt w:val="bullet"/>
      <w:lvlText w:val="•"/>
      <w:lvlJc w:val="left"/>
      <w:pPr>
        <w:ind w:left="8066" w:hanging="360"/>
      </w:pPr>
    </w:lvl>
    <w:lvl w:ilvl="8">
      <w:numFmt w:val="bullet"/>
      <w:lvlText w:val="•"/>
      <w:lvlJc w:val="left"/>
      <w:pPr>
        <w:ind w:left="9031" w:hanging="360"/>
      </w:pPr>
    </w:lvl>
  </w:abstractNum>
  <w:abstractNum w:abstractNumId="1" w15:restartNumberingAfterBreak="0">
    <w:nsid w:val="00000403"/>
    <w:multiLevelType w:val="multilevel"/>
    <w:tmpl w:val="FFFFFFFF"/>
    <w:lvl w:ilvl="0">
      <w:start w:val="1"/>
      <w:numFmt w:val="decimal"/>
      <w:lvlText w:val="(%1)"/>
      <w:lvlJc w:val="left"/>
      <w:pPr>
        <w:ind w:left="1560" w:hanging="360"/>
      </w:pPr>
      <w:rPr>
        <w:rFonts w:ascii="Arial" w:hAnsi="Arial" w:cs="Arial"/>
        <w:b w:val="0"/>
        <w:bCs w:val="0"/>
        <w:i w:val="0"/>
        <w:iCs w:val="0"/>
        <w:spacing w:val="0"/>
        <w:w w:val="99"/>
        <w:sz w:val="18"/>
        <w:szCs w:val="18"/>
      </w:rPr>
    </w:lvl>
    <w:lvl w:ilvl="1">
      <w:numFmt w:val="bullet"/>
      <w:lvlText w:val="•"/>
      <w:lvlJc w:val="left"/>
      <w:pPr>
        <w:ind w:left="2500" w:hanging="360"/>
      </w:pPr>
    </w:lvl>
    <w:lvl w:ilvl="2">
      <w:numFmt w:val="bullet"/>
      <w:lvlText w:val="•"/>
      <w:lvlJc w:val="left"/>
      <w:pPr>
        <w:ind w:left="3440" w:hanging="360"/>
      </w:pPr>
    </w:lvl>
    <w:lvl w:ilvl="3">
      <w:numFmt w:val="bullet"/>
      <w:lvlText w:val="•"/>
      <w:lvlJc w:val="left"/>
      <w:pPr>
        <w:ind w:left="4380" w:hanging="360"/>
      </w:pPr>
    </w:lvl>
    <w:lvl w:ilvl="4">
      <w:numFmt w:val="bullet"/>
      <w:lvlText w:val="•"/>
      <w:lvlJc w:val="left"/>
      <w:pPr>
        <w:ind w:left="5320" w:hanging="360"/>
      </w:pPr>
    </w:lvl>
    <w:lvl w:ilvl="5">
      <w:numFmt w:val="bullet"/>
      <w:lvlText w:val="•"/>
      <w:lvlJc w:val="left"/>
      <w:pPr>
        <w:ind w:left="6260" w:hanging="360"/>
      </w:pPr>
    </w:lvl>
    <w:lvl w:ilvl="6">
      <w:numFmt w:val="bullet"/>
      <w:lvlText w:val="•"/>
      <w:lvlJc w:val="left"/>
      <w:pPr>
        <w:ind w:left="7200" w:hanging="360"/>
      </w:pPr>
    </w:lvl>
    <w:lvl w:ilvl="7">
      <w:numFmt w:val="bullet"/>
      <w:lvlText w:val="•"/>
      <w:lvlJc w:val="left"/>
      <w:pPr>
        <w:ind w:left="8140" w:hanging="360"/>
      </w:pPr>
    </w:lvl>
    <w:lvl w:ilvl="8">
      <w:numFmt w:val="bullet"/>
      <w:lvlText w:val="•"/>
      <w:lvlJc w:val="left"/>
      <w:pPr>
        <w:ind w:left="9080" w:hanging="360"/>
      </w:pPr>
    </w:lvl>
  </w:abstractNum>
  <w:abstractNum w:abstractNumId="2" w15:restartNumberingAfterBreak="0">
    <w:nsid w:val="00000404"/>
    <w:multiLevelType w:val="multilevel"/>
    <w:tmpl w:val="FFFFFFFF"/>
    <w:lvl w:ilvl="0">
      <w:numFmt w:val="bullet"/>
      <w:lvlText w:val=""/>
      <w:lvlJc w:val="left"/>
      <w:pPr>
        <w:ind w:left="1560" w:hanging="360"/>
      </w:pPr>
      <w:rPr>
        <w:rFonts w:ascii="Symbol" w:hAnsi="Symbol"/>
        <w:b w:val="0"/>
        <w:i w:val="0"/>
        <w:spacing w:val="0"/>
        <w:w w:val="100"/>
        <w:sz w:val="18"/>
      </w:rPr>
    </w:lvl>
    <w:lvl w:ilvl="1">
      <w:numFmt w:val="bullet"/>
      <w:lvlText w:val="•"/>
      <w:lvlJc w:val="left"/>
      <w:pPr>
        <w:ind w:left="2500" w:hanging="360"/>
      </w:pPr>
    </w:lvl>
    <w:lvl w:ilvl="2">
      <w:numFmt w:val="bullet"/>
      <w:lvlText w:val="•"/>
      <w:lvlJc w:val="left"/>
      <w:pPr>
        <w:ind w:left="3440" w:hanging="360"/>
      </w:pPr>
    </w:lvl>
    <w:lvl w:ilvl="3">
      <w:numFmt w:val="bullet"/>
      <w:lvlText w:val="•"/>
      <w:lvlJc w:val="left"/>
      <w:pPr>
        <w:ind w:left="4380" w:hanging="360"/>
      </w:pPr>
    </w:lvl>
    <w:lvl w:ilvl="4">
      <w:numFmt w:val="bullet"/>
      <w:lvlText w:val="•"/>
      <w:lvlJc w:val="left"/>
      <w:pPr>
        <w:ind w:left="5320" w:hanging="360"/>
      </w:pPr>
    </w:lvl>
    <w:lvl w:ilvl="5">
      <w:numFmt w:val="bullet"/>
      <w:lvlText w:val="•"/>
      <w:lvlJc w:val="left"/>
      <w:pPr>
        <w:ind w:left="6260" w:hanging="360"/>
      </w:pPr>
    </w:lvl>
    <w:lvl w:ilvl="6">
      <w:numFmt w:val="bullet"/>
      <w:lvlText w:val="•"/>
      <w:lvlJc w:val="left"/>
      <w:pPr>
        <w:ind w:left="7200" w:hanging="360"/>
      </w:pPr>
    </w:lvl>
    <w:lvl w:ilvl="7">
      <w:numFmt w:val="bullet"/>
      <w:lvlText w:val="•"/>
      <w:lvlJc w:val="left"/>
      <w:pPr>
        <w:ind w:left="8140" w:hanging="360"/>
      </w:pPr>
    </w:lvl>
    <w:lvl w:ilvl="8">
      <w:numFmt w:val="bullet"/>
      <w:lvlText w:val="•"/>
      <w:lvlJc w:val="left"/>
      <w:pPr>
        <w:ind w:left="9080" w:hanging="360"/>
      </w:pPr>
    </w:lvl>
  </w:abstractNum>
  <w:abstractNum w:abstractNumId="3" w15:restartNumberingAfterBreak="0">
    <w:nsid w:val="00000405"/>
    <w:multiLevelType w:val="multilevel"/>
    <w:tmpl w:val="FFFFFFFF"/>
    <w:lvl w:ilvl="0">
      <w:numFmt w:val="bullet"/>
      <w:lvlText w:val=""/>
      <w:lvlJc w:val="left"/>
      <w:pPr>
        <w:ind w:left="827" w:hanging="720"/>
      </w:pPr>
      <w:rPr>
        <w:rFonts w:ascii="Symbol" w:hAnsi="Symbol"/>
        <w:b w:val="0"/>
        <w:i w:val="0"/>
        <w:spacing w:val="0"/>
        <w:w w:val="100"/>
        <w:sz w:val="18"/>
      </w:rPr>
    </w:lvl>
    <w:lvl w:ilvl="1">
      <w:numFmt w:val="bullet"/>
      <w:lvlText w:val="•"/>
      <w:lvlJc w:val="left"/>
      <w:pPr>
        <w:ind w:left="1168" w:hanging="720"/>
      </w:pPr>
    </w:lvl>
    <w:lvl w:ilvl="2">
      <w:numFmt w:val="bullet"/>
      <w:lvlText w:val="•"/>
      <w:lvlJc w:val="left"/>
      <w:pPr>
        <w:ind w:left="1517" w:hanging="720"/>
      </w:pPr>
    </w:lvl>
    <w:lvl w:ilvl="3">
      <w:numFmt w:val="bullet"/>
      <w:lvlText w:val="•"/>
      <w:lvlJc w:val="left"/>
      <w:pPr>
        <w:ind w:left="1865" w:hanging="720"/>
      </w:pPr>
    </w:lvl>
    <w:lvl w:ilvl="4">
      <w:numFmt w:val="bullet"/>
      <w:lvlText w:val="•"/>
      <w:lvlJc w:val="left"/>
      <w:pPr>
        <w:ind w:left="2214" w:hanging="720"/>
      </w:pPr>
    </w:lvl>
    <w:lvl w:ilvl="5">
      <w:numFmt w:val="bullet"/>
      <w:lvlText w:val="•"/>
      <w:lvlJc w:val="left"/>
      <w:pPr>
        <w:ind w:left="2563" w:hanging="720"/>
      </w:pPr>
    </w:lvl>
    <w:lvl w:ilvl="6">
      <w:numFmt w:val="bullet"/>
      <w:lvlText w:val="•"/>
      <w:lvlJc w:val="left"/>
      <w:pPr>
        <w:ind w:left="2911" w:hanging="720"/>
      </w:pPr>
    </w:lvl>
    <w:lvl w:ilvl="7">
      <w:numFmt w:val="bullet"/>
      <w:lvlText w:val="•"/>
      <w:lvlJc w:val="left"/>
      <w:pPr>
        <w:ind w:left="3260" w:hanging="720"/>
      </w:pPr>
    </w:lvl>
    <w:lvl w:ilvl="8">
      <w:numFmt w:val="bullet"/>
      <w:lvlText w:val="•"/>
      <w:lvlJc w:val="left"/>
      <w:pPr>
        <w:ind w:left="3608" w:hanging="720"/>
      </w:pPr>
    </w:lvl>
  </w:abstractNum>
  <w:abstractNum w:abstractNumId="4" w15:restartNumberingAfterBreak="0">
    <w:nsid w:val="00000406"/>
    <w:multiLevelType w:val="multilevel"/>
    <w:tmpl w:val="FFFFFFFF"/>
    <w:lvl w:ilvl="0">
      <w:numFmt w:val="bullet"/>
      <w:lvlText w:val=""/>
      <w:lvlJc w:val="left"/>
      <w:pPr>
        <w:ind w:left="1560" w:hanging="360"/>
      </w:pPr>
      <w:rPr>
        <w:rFonts w:ascii="Symbol" w:hAnsi="Symbol"/>
        <w:b w:val="0"/>
        <w:i w:val="0"/>
        <w:spacing w:val="0"/>
        <w:w w:val="100"/>
        <w:sz w:val="18"/>
      </w:rPr>
    </w:lvl>
    <w:lvl w:ilvl="1">
      <w:numFmt w:val="bullet"/>
      <w:lvlText w:val="o"/>
      <w:lvlJc w:val="left"/>
      <w:pPr>
        <w:ind w:left="2280" w:hanging="360"/>
      </w:pPr>
      <w:rPr>
        <w:rFonts w:ascii="Courier New" w:hAnsi="Courier New"/>
        <w:b w:val="0"/>
        <w:i w:val="0"/>
        <w:spacing w:val="0"/>
        <w:w w:val="100"/>
        <w:sz w:val="18"/>
      </w:rPr>
    </w:lvl>
    <w:lvl w:ilvl="2">
      <w:numFmt w:val="bullet"/>
      <w:lvlText w:val="•"/>
      <w:lvlJc w:val="left"/>
      <w:pPr>
        <w:ind w:left="3244" w:hanging="360"/>
      </w:pPr>
    </w:lvl>
    <w:lvl w:ilvl="3">
      <w:numFmt w:val="bullet"/>
      <w:lvlText w:val="•"/>
      <w:lvlJc w:val="left"/>
      <w:pPr>
        <w:ind w:left="4208" w:hanging="360"/>
      </w:pPr>
    </w:lvl>
    <w:lvl w:ilvl="4">
      <w:numFmt w:val="bullet"/>
      <w:lvlText w:val="•"/>
      <w:lvlJc w:val="left"/>
      <w:pPr>
        <w:ind w:left="5173" w:hanging="360"/>
      </w:pPr>
    </w:lvl>
    <w:lvl w:ilvl="5">
      <w:numFmt w:val="bullet"/>
      <w:lvlText w:val="•"/>
      <w:lvlJc w:val="left"/>
      <w:pPr>
        <w:ind w:left="6137" w:hanging="360"/>
      </w:pPr>
    </w:lvl>
    <w:lvl w:ilvl="6">
      <w:numFmt w:val="bullet"/>
      <w:lvlText w:val="•"/>
      <w:lvlJc w:val="left"/>
      <w:pPr>
        <w:ind w:left="7102" w:hanging="360"/>
      </w:pPr>
    </w:lvl>
    <w:lvl w:ilvl="7">
      <w:numFmt w:val="bullet"/>
      <w:lvlText w:val="•"/>
      <w:lvlJc w:val="left"/>
      <w:pPr>
        <w:ind w:left="8066" w:hanging="360"/>
      </w:pPr>
    </w:lvl>
    <w:lvl w:ilvl="8">
      <w:numFmt w:val="bullet"/>
      <w:lvlText w:val="•"/>
      <w:lvlJc w:val="left"/>
      <w:pPr>
        <w:ind w:left="9031" w:hanging="360"/>
      </w:pPr>
    </w:lvl>
  </w:abstractNum>
  <w:abstractNum w:abstractNumId="5" w15:restartNumberingAfterBreak="0">
    <w:nsid w:val="00000407"/>
    <w:multiLevelType w:val="multilevel"/>
    <w:tmpl w:val="FFFFFFFF"/>
    <w:lvl w:ilvl="0">
      <w:numFmt w:val="bullet"/>
      <w:lvlText w:val=""/>
      <w:lvlJc w:val="left"/>
      <w:pPr>
        <w:ind w:left="947" w:hanging="107"/>
      </w:pPr>
      <w:rPr>
        <w:rFonts w:ascii="Symbol" w:hAnsi="Symbol"/>
        <w:b w:val="0"/>
        <w:i w:val="0"/>
        <w:spacing w:val="-3"/>
        <w:w w:val="88"/>
        <w:sz w:val="21"/>
      </w:rPr>
    </w:lvl>
    <w:lvl w:ilvl="1">
      <w:numFmt w:val="bullet"/>
      <w:lvlText w:val="•"/>
      <w:lvlJc w:val="left"/>
      <w:pPr>
        <w:ind w:left="1942" w:hanging="107"/>
      </w:pPr>
    </w:lvl>
    <w:lvl w:ilvl="2">
      <w:numFmt w:val="bullet"/>
      <w:lvlText w:val="•"/>
      <w:lvlJc w:val="left"/>
      <w:pPr>
        <w:ind w:left="2944" w:hanging="107"/>
      </w:pPr>
    </w:lvl>
    <w:lvl w:ilvl="3">
      <w:numFmt w:val="bullet"/>
      <w:lvlText w:val="•"/>
      <w:lvlJc w:val="left"/>
      <w:pPr>
        <w:ind w:left="3946" w:hanging="107"/>
      </w:pPr>
    </w:lvl>
    <w:lvl w:ilvl="4">
      <w:numFmt w:val="bullet"/>
      <w:lvlText w:val="•"/>
      <w:lvlJc w:val="left"/>
      <w:pPr>
        <w:ind w:left="4948" w:hanging="107"/>
      </w:pPr>
    </w:lvl>
    <w:lvl w:ilvl="5">
      <w:numFmt w:val="bullet"/>
      <w:lvlText w:val="•"/>
      <w:lvlJc w:val="left"/>
      <w:pPr>
        <w:ind w:left="5950" w:hanging="107"/>
      </w:pPr>
    </w:lvl>
    <w:lvl w:ilvl="6">
      <w:numFmt w:val="bullet"/>
      <w:lvlText w:val="•"/>
      <w:lvlJc w:val="left"/>
      <w:pPr>
        <w:ind w:left="6952" w:hanging="107"/>
      </w:pPr>
    </w:lvl>
    <w:lvl w:ilvl="7">
      <w:numFmt w:val="bullet"/>
      <w:lvlText w:val="•"/>
      <w:lvlJc w:val="left"/>
      <w:pPr>
        <w:ind w:left="7954" w:hanging="107"/>
      </w:pPr>
    </w:lvl>
    <w:lvl w:ilvl="8">
      <w:numFmt w:val="bullet"/>
      <w:lvlText w:val="•"/>
      <w:lvlJc w:val="left"/>
      <w:pPr>
        <w:ind w:left="8956" w:hanging="107"/>
      </w:pPr>
    </w:lvl>
  </w:abstractNum>
  <w:abstractNum w:abstractNumId="6" w15:restartNumberingAfterBreak="0">
    <w:nsid w:val="1C523BED"/>
    <w:multiLevelType w:val="hybridMultilevel"/>
    <w:tmpl w:val="FFFFFFFF"/>
    <w:lvl w:ilvl="0" w:tplc="10090001">
      <w:start w:val="1"/>
      <w:numFmt w:val="bullet"/>
      <w:lvlText w:val=""/>
      <w:lvlJc w:val="left"/>
      <w:pPr>
        <w:ind w:left="1560" w:hanging="360"/>
      </w:pPr>
      <w:rPr>
        <w:rFonts w:ascii="Symbol" w:hAnsi="Symbol" w:hint="default"/>
      </w:rPr>
    </w:lvl>
    <w:lvl w:ilvl="1" w:tplc="10090003" w:tentative="1">
      <w:start w:val="1"/>
      <w:numFmt w:val="bullet"/>
      <w:lvlText w:val="o"/>
      <w:lvlJc w:val="left"/>
      <w:pPr>
        <w:ind w:left="2280" w:hanging="360"/>
      </w:pPr>
      <w:rPr>
        <w:rFonts w:ascii="Courier New" w:hAnsi="Courier New" w:hint="default"/>
      </w:rPr>
    </w:lvl>
    <w:lvl w:ilvl="2" w:tplc="10090005" w:tentative="1">
      <w:start w:val="1"/>
      <w:numFmt w:val="bullet"/>
      <w:lvlText w:val=""/>
      <w:lvlJc w:val="left"/>
      <w:pPr>
        <w:ind w:left="3000" w:hanging="360"/>
      </w:pPr>
      <w:rPr>
        <w:rFonts w:ascii="Wingdings" w:hAnsi="Wingdings" w:hint="default"/>
      </w:rPr>
    </w:lvl>
    <w:lvl w:ilvl="3" w:tplc="10090001" w:tentative="1">
      <w:start w:val="1"/>
      <w:numFmt w:val="bullet"/>
      <w:lvlText w:val=""/>
      <w:lvlJc w:val="left"/>
      <w:pPr>
        <w:ind w:left="3720" w:hanging="360"/>
      </w:pPr>
      <w:rPr>
        <w:rFonts w:ascii="Symbol" w:hAnsi="Symbol" w:hint="default"/>
      </w:rPr>
    </w:lvl>
    <w:lvl w:ilvl="4" w:tplc="10090003" w:tentative="1">
      <w:start w:val="1"/>
      <w:numFmt w:val="bullet"/>
      <w:lvlText w:val="o"/>
      <w:lvlJc w:val="left"/>
      <w:pPr>
        <w:ind w:left="4440" w:hanging="360"/>
      </w:pPr>
      <w:rPr>
        <w:rFonts w:ascii="Courier New" w:hAnsi="Courier New" w:hint="default"/>
      </w:rPr>
    </w:lvl>
    <w:lvl w:ilvl="5" w:tplc="10090005" w:tentative="1">
      <w:start w:val="1"/>
      <w:numFmt w:val="bullet"/>
      <w:lvlText w:val=""/>
      <w:lvlJc w:val="left"/>
      <w:pPr>
        <w:ind w:left="5160" w:hanging="360"/>
      </w:pPr>
      <w:rPr>
        <w:rFonts w:ascii="Wingdings" w:hAnsi="Wingdings" w:hint="default"/>
      </w:rPr>
    </w:lvl>
    <w:lvl w:ilvl="6" w:tplc="10090001" w:tentative="1">
      <w:start w:val="1"/>
      <w:numFmt w:val="bullet"/>
      <w:lvlText w:val=""/>
      <w:lvlJc w:val="left"/>
      <w:pPr>
        <w:ind w:left="5880" w:hanging="360"/>
      </w:pPr>
      <w:rPr>
        <w:rFonts w:ascii="Symbol" w:hAnsi="Symbol" w:hint="default"/>
      </w:rPr>
    </w:lvl>
    <w:lvl w:ilvl="7" w:tplc="10090003" w:tentative="1">
      <w:start w:val="1"/>
      <w:numFmt w:val="bullet"/>
      <w:lvlText w:val="o"/>
      <w:lvlJc w:val="left"/>
      <w:pPr>
        <w:ind w:left="6600" w:hanging="360"/>
      </w:pPr>
      <w:rPr>
        <w:rFonts w:ascii="Courier New" w:hAnsi="Courier New" w:hint="default"/>
      </w:rPr>
    </w:lvl>
    <w:lvl w:ilvl="8" w:tplc="10090005" w:tentative="1">
      <w:start w:val="1"/>
      <w:numFmt w:val="bullet"/>
      <w:lvlText w:val=""/>
      <w:lvlJc w:val="left"/>
      <w:pPr>
        <w:ind w:left="7320" w:hanging="360"/>
      </w:pPr>
      <w:rPr>
        <w:rFonts w:ascii="Wingdings" w:hAnsi="Wingdings" w:hint="default"/>
      </w:rPr>
    </w:lvl>
  </w:abstractNum>
  <w:abstractNum w:abstractNumId="7" w15:restartNumberingAfterBreak="0">
    <w:nsid w:val="302B2840"/>
    <w:multiLevelType w:val="hybridMultilevel"/>
    <w:tmpl w:val="FFFFFFFF"/>
    <w:lvl w:ilvl="0" w:tplc="FFFFFFFF">
      <w:start w:val="1"/>
      <w:numFmt w:val="bullet"/>
      <w:lvlText w:val=""/>
      <w:lvlJc w:val="left"/>
      <w:pPr>
        <w:ind w:left="1559" w:hanging="360"/>
      </w:pPr>
      <w:rPr>
        <w:rFonts w:ascii="Symbol" w:hAnsi="Symbol" w:hint="default"/>
      </w:rPr>
    </w:lvl>
    <w:lvl w:ilvl="1" w:tplc="FFFFFFFF">
      <w:start w:val="1"/>
      <w:numFmt w:val="bullet"/>
      <w:lvlText w:val="o"/>
      <w:lvlJc w:val="left"/>
      <w:pPr>
        <w:ind w:left="2279" w:hanging="360"/>
      </w:pPr>
      <w:rPr>
        <w:rFonts w:ascii="Courier New" w:hAnsi="Courier New" w:hint="default"/>
      </w:rPr>
    </w:lvl>
    <w:lvl w:ilvl="2" w:tplc="10090001">
      <w:start w:val="1"/>
      <w:numFmt w:val="bullet"/>
      <w:lvlText w:val=""/>
      <w:lvlJc w:val="left"/>
      <w:pPr>
        <w:ind w:left="2999" w:hanging="360"/>
      </w:pPr>
      <w:rPr>
        <w:rFonts w:ascii="Symbol" w:hAnsi="Symbol" w:hint="default"/>
      </w:rPr>
    </w:lvl>
    <w:lvl w:ilvl="3" w:tplc="FFFFFFFF" w:tentative="1">
      <w:start w:val="1"/>
      <w:numFmt w:val="bullet"/>
      <w:lvlText w:val=""/>
      <w:lvlJc w:val="left"/>
      <w:pPr>
        <w:ind w:left="3719" w:hanging="360"/>
      </w:pPr>
      <w:rPr>
        <w:rFonts w:ascii="Symbol" w:hAnsi="Symbol" w:hint="default"/>
      </w:rPr>
    </w:lvl>
    <w:lvl w:ilvl="4" w:tplc="FFFFFFFF" w:tentative="1">
      <w:start w:val="1"/>
      <w:numFmt w:val="bullet"/>
      <w:lvlText w:val="o"/>
      <w:lvlJc w:val="left"/>
      <w:pPr>
        <w:ind w:left="4439" w:hanging="360"/>
      </w:pPr>
      <w:rPr>
        <w:rFonts w:ascii="Courier New" w:hAnsi="Courier New" w:hint="default"/>
      </w:rPr>
    </w:lvl>
    <w:lvl w:ilvl="5" w:tplc="FFFFFFFF" w:tentative="1">
      <w:start w:val="1"/>
      <w:numFmt w:val="bullet"/>
      <w:lvlText w:val=""/>
      <w:lvlJc w:val="left"/>
      <w:pPr>
        <w:ind w:left="5159" w:hanging="360"/>
      </w:pPr>
      <w:rPr>
        <w:rFonts w:ascii="Wingdings" w:hAnsi="Wingdings" w:hint="default"/>
      </w:rPr>
    </w:lvl>
    <w:lvl w:ilvl="6" w:tplc="FFFFFFFF" w:tentative="1">
      <w:start w:val="1"/>
      <w:numFmt w:val="bullet"/>
      <w:lvlText w:val=""/>
      <w:lvlJc w:val="left"/>
      <w:pPr>
        <w:ind w:left="5879" w:hanging="360"/>
      </w:pPr>
      <w:rPr>
        <w:rFonts w:ascii="Symbol" w:hAnsi="Symbol" w:hint="default"/>
      </w:rPr>
    </w:lvl>
    <w:lvl w:ilvl="7" w:tplc="FFFFFFFF" w:tentative="1">
      <w:start w:val="1"/>
      <w:numFmt w:val="bullet"/>
      <w:lvlText w:val="o"/>
      <w:lvlJc w:val="left"/>
      <w:pPr>
        <w:ind w:left="6599" w:hanging="360"/>
      </w:pPr>
      <w:rPr>
        <w:rFonts w:ascii="Courier New" w:hAnsi="Courier New" w:hint="default"/>
      </w:rPr>
    </w:lvl>
    <w:lvl w:ilvl="8" w:tplc="FFFFFFFF" w:tentative="1">
      <w:start w:val="1"/>
      <w:numFmt w:val="bullet"/>
      <w:lvlText w:val=""/>
      <w:lvlJc w:val="left"/>
      <w:pPr>
        <w:ind w:left="7319" w:hanging="360"/>
      </w:pPr>
      <w:rPr>
        <w:rFonts w:ascii="Wingdings" w:hAnsi="Wingdings" w:hint="default"/>
      </w:rPr>
    </w:lvl>
  </w:abstractNum>
  <w:abstractNum w:abstractNumId="8" w15:restartNumberingAfterBreak="0">
    <w:nsid w:val="3A7008F1"/>
    <w:multiLevelType w:val="hybridMultilevel"/>
    <w:tmpl w:val="FFFFFFFF"/>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2950F8E"/>
    <w:multiLevelType w:val="hybridMultilevel"/>
    <w:tmpl w:val="FFFFFFFF"/>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0F5EA0"/>
    <w:multiLevelType w:val="hybridMultilevel"/>
    <w:tmpl w:val="FFFFFFFF"/>
    <w:lvl w:ilvl="0" w:tplc="10090001">
      <w:start w:val="1"/>
      <w:numFmt w:val="bullet"/>
      <w:lvlText w:val=""/>
      <w:lvlJc w:val="left"/>
      <w:pPr>
        <w:ind w:left="1559" w:hanging="360"/>
      </w:pPr>
      <w:rPr>
        <w:rFonts w:ascii="Symbol" w:hAnsi="Symbol" w:hint="default"/>
      </w:rPr>
    </w:lvl>
    <w:lvl w:ilvl="1" w:tplc="10090003" w:tentative="1">
      <w:start w:val="1"/>
      <w:numFmt w:val="bullet"/>
      <w:lvlText w:val="o"/>
      <w:lvlJc w:val="left"/>
      <w:pPr>
        <w:ind w:left="2279" w:hanging="360"/>
      </w:pPr>
      <w:rPr>
        <w:rFonts w:ascii="Courier New" w:hAnsi="Courier New" w:hint="default"/>
      </w:rPr>
    </w:lvl>
    <w:lvl w:ilvl="2" w:tplc="10090005">
      <w:start w:val="1"/>
      <w:numFmt w:val="bullet"/>
      <w:lvlText w:val=""/>
      <w:lvlJc w:val="left"/>
      <w:pPr>
        <w:ind w:left="2999" w:hanging="360"/>
      </w:pPr>
      <w:rPr>
        <w:rFonts w:ascii="Wingdings" w:hAnsi="Wingdings" w:hint="default"/>
      </w:rPr>
    </w:lvl>
    <w:lvl w:ilvl="3" w:tplc="10090001" w:tentative="1">
      <w:start w:val="1"/>
      <w:numFmt w:val="bullet"/>
      <w:lvlText w:val=""/>
      <w:lvlJc w:val="left"/>
      <w:pPr>
        <w:ind w:left="3719" w:hanging="360"/>
      </w:pPr>
      <w:rPr>
        <w:rFonts w:ascii="Symbol" w:hAnsi="Symbol" w:hint="default"/>
      </w:rPr>
    </w:lvl>
    <w:lvl w:ilvl="4" w:tplc="10090003" w:tentative="1">
      <w:start w:val="1"/>
      <w:numFmt w:val="bullet"/>
      <w:lvlText w:val="o"/>
      <w:lvlJc w:val="left"/>
      <w:pPr>
        <w:ind w:left="4439" w:hanging="360"/>
      </w:pPr>
      <w:rPr>
        <w:rFonts w:ascii="Courier New" w:hAnsi="Courier New" w:hint="default"/>
      </w:rPr>
    </w:lvl>
    <w:lvl w:ilvl="5" w:tplc="10090005" w:tentative="1">
      <w:start w:val="1"/>
      <w:numFmt w:val="bullet"/>
      <w:lvlText w:val=""/>
      <w:lvlJc w:val="left"/>
      <w:pPr>
        <w:ind w:left="5159" w:hanging="360"/>
      </w:pPr>
      <w:rPr>
        <w:rFonts w:ascii="Wingdings" w:hAnsi="Wingdings" w:hint="default"/>
      </w:rPr>
    </w:lvl>
    <w:lvl w:ilvl="6" w:tplc="10090001" w:tentative="1">
      <w:start w:val="1"/>
      <w:numFmt w:val="bullet"/>
      <w:lvlText w:val=""/>
      <w:lvlJc w:val="left"/>
      <w:pPr>
        <w:ind w:left="5879" w:hanging="360"/>
      </w:pPr>
      <w:rPr>
        <w:rFonts w:ascii="Symbol" w:hAnsi="Symbol" w:hint="default"/>
      </w:rPr>
    </w:lvl>
    <w:lvl w:ilvl="7" w:tplc="10090003" w:tentative="1">
      <w:start w:val="1"/>
      <w:numFmt w:val="bullet"/>
      <w:lvlText w:val="o"/>
      <w:lvlJc w:val="left"/>
      <w:pPr>
        <w:ind w:left="6599" w:hanging="360"/>
      </w:pPr>
      <w:rPr>
        <w:rFonts w:ascii="Courier New" w:hAnsi="Courier New" w:hint="default"/>
      </w:rPr>
    </w:lvl>
    <w:lvl w:ilvl="8" w:tplc="10090005" w:tentative="1">
      <w:start w:val="1"/>
      <w:numFmt w:val="bullet"/>
      <w:lvlText w:val=""/>
      <w:lvlJc w:val="left"/>
      <w:pPr>
        <w:ind w:left="7319" w:hanging="360"/>
      </w:pPr>
      <w:rPr>
        <w:rFonts w:ascii="Wingdings" w:hAnsi="Wingdings" w:hint="default"/>
      </w:rPr>
    </w:lvl>
  </w:abstractNum>
  <w:abstractNum w:abstractNumId="11" w15:restartNumberingAfterBreak="0">
    <w:nsid w:val="79963778"/>
    <w:multiLevelType w:val="hybridMultilevel"/>
    <w:tmpl w:val="FFFFFFFF"/>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32662480">
    <w:abstractNumId w:val="5"/>
  </w:num>
  <w:num w:numId="2" w16cid:durableId="1846896394">
    <w:abstractNumId w:val="4"/>
  </w:num>
  <w:num w:numId="3" w16cid:durableId="1074011251">
    <w:abstractNumId w:val="3"/>
  </w:num>
  <w:num w:numId="4" w16cid:durableId="386993588">
    <w:abstractNumId w:val="2"/>
  </w:num>
  <w:num w:numId="5" w16cid:durableId="1598324026">
    <w:abstractNumId w:val="1"/>
  </w:num>
  <w:num w:numId="6" w16cid:durableId="1731226132">
    <w:abstractNumId w:val="0"/>
  </w:num>
  <w:num w:numId="7" w16cid:durableId="1443574978">
    <w:abstractNumId w:val="6"/>
  </w:num>
  <w:num w:numId="8" w16cid:durableId="816923203">
    <w:abstractNumId w:val="11"/>
  </w:num>
  <w:num w:numId="9" w16cid:durableId="878470285">
    <w:abstractNumId w:val="9"/>
  </w:num>
  <w:num w:numId="10" w16cid:durableId="969095793">
    <w:abstractNumId w:val="8"/>
  </w:num>
  <w:num w:numId="11" w16cid:durableId="1251545541">
    <w:abstractNumId w:val="10"/>
  </w:num>
  <w:num w:numId="12" w16cid:durableId="17557379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3MDc1NjW1MLOwNDBQ0lEKTi0uzszPAykwrAUAJ447piwAAAA="/>
  </w:docVars>
  <w:rsids>
    <w:rsidRoot w:val="003554A3"/>
    <w:rsid w:val="00081D6B"/>
    <w:rsid w:val="000D166D"/>
    <w:rsid w:val="00172AFD"/>
    <w:rsid w:val="001A2EB6"/>
    <w:rsid w:val="001F545D"/>
    <w:rsid w:val="002F1D6F"/>
    <w:rsid w:val="00350826"/>
    <w:rsid w:val="003554A3"/>
    <w:rsid w:val="003608D0"/>
    <w:rsid w:val="003736AB"/>
    <w:rsid w:val="003A4030"/>
    <w:rsid w:val="003E00EE"/>
    <w:rsid w:val="0046530B"/>
    <w:rsid w:val="00496E31"/>
    <w:rsid w:val="004A4CC6"/>
    <w:rsid w:val="0052779B"/>
    <w:rsid w:val="005B480E"/>
    <w:rsid w:val="005C57E9"/>
    <w:rsid w:val="005F0F0E"/>
    <w:rsid w:val="006300C8"/>
    <w:rsid w:val="00630974"/>
    <w:rsid w:val="00633DFA"/>
    <w:rsid w:val="0069090E"/>
    <w:rsid w:val="00692195"/>
    <w:rsid w:val="006F7E86"/>
    <w:rsid w:val="00736C1B"/>
    <w:rsid w:val="00763BDA"/>
    <w:rsid w:val="0078115C"/>
    <w:rsid w:val="00781176"/>
    <w:rsid w:val="00785A01"/>
    <w:rsid w:val="007C4D1E"/>
    <w:rsid w:val="00815A9F"/>
    <w:rsid w:val="008C3D3C"/>
    <w:rsid w:val="008D2723"/>
    <w:rsid w:val="009160A2"/>
    <w:rsid w:val="00917361"/>
    <w:rsid w:val="00934084"/>
    <w:rsid w:val="009E64AE"/>
    <w:rsid w:val="009F6DAC"/>
    <w:rsid w:val="00A06FF8"/>
    <w:rsid w:val="00A55880"/>
    <w:rsid w:val="00A62260"/>
    <w:rsid w:val="00A955CA"/>
    <w:rsid w:val="00AA7F35"/>
    <w:rsid w:val="00AD0AF0"/>
    <w:rsid w:val="00B25BA3"/>
    <w:rsid w:val="00B71468"/>
    <w:rsid w:val="00B74B1A"/>
    <w:rsid w:val="00B76EF8"/>
    <w:rsid w:val="00B86445"/>
    <w:rsid w:val="00B91B62"/>
    <w:rsid w:val="00BC1AC3"/>
    <w:rsid w:val="00BC4E21"/>
    <w:rsid w:val="00BD64D4"/>
    <w:rsid w:val="00BE289B"/>
    <w:rsid w:val="00C03891"/>
    <w:rsid w:val="00C24422"/>
    <w:rsid w:val="00C5519F"/>
    <w:rsid w:val="00C63EEA"/>
    <w:rsid w:val="00C71719"/>
    <w:rsid w:val="00CF3D94"/>
    <w:rsid w:val="00D22DB4"/>
    <w:rsid w:val="00D23671"/>
    <w:rsid w:val="00D64177"/>
    <w:rsid w:val="00D67FE6"/>
    <w:rsid w:val="00DA1546"/>
    <w:rsid w:val="00DD5E6C"/>
    <w:rsid w:val="00DD7077"/>
    <w:rsid w:val="00DF3509"/>
    <w:rsid w:val="00E0522E"/>
    <w:rsid w:val="00E159DB"/>
    <w:rsid w:val="00E52FAB"/>
    <w:rsid w:val="00EB7C46"/>
    <w:rsid w:val="00F46BED"/>
    <w:rsid w:val="00FD4854"/>
    <w:rsid w:val="00FF2A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E1D813"/>
  <w14:defaultImageDpi w14:val="0"/>
  <w15:docId w15:val="{A71B8563-BD3B-4867-B39F-AAD3EE11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it-IT"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lang w:eastAsia="zh-TW"/>
    </w:rPr>
  </w:style>
  <w:style w:type="paragraph" w:styleId="Heading1">
    <w:name w:val="heading 1"/>
    <w:basedOn w:val="Normal"/>
    <w:next w:val="Normal"/>
    <w:link w:val="Heading1Char"/>
    <w:uiPriority w:val="1"/>
    <w:qFormat/>
    <w:pPr>
      <w:ind w:left="840"/>
      <w:outlineLvl w:val="0"/>
    </w:pPr>
    <w:rPr>
      <w:b/>
      <w:bCs/>
      <w:sz w:val="28"/>
      <w:szCs w:val="28"/>
    </w:rPr>
  </w:style>
  <w:style w:type="paragraph" w:styleId="Heading2">
    <w:name w:val="heading 2"/>
    <w:basedOn w:val="Normal"/>
    <w:next w:val="Normal"/>
    <w:link w:val="Heading2Char"/>
    <w:uiPriority w:val="1"/>
    <w:qFormat/>
    <w:pPr>
      <w:ind w:left="840"/>
      <w:outlineLvl w:val="1"/>
    </w:pPr>
    <w:rPr>
      <w:b/>
      <w:bCs/>
      <w:sz w:val="26"/>
      <w:szCs w:val="26"/>
    </w:rPr>
  </w:style>
  <w:style w:type="paragraph" w:styleId="Heading3">
    <w:name w:val="heading 3"/>
    <w:basedOn w:val="Normal"/>
    <w:next w:val="Normal"/>
    <w:link w:val="Heading3Char"/>
    <w:uiPriority w:val="1"/>
    <w:qFormat/>
    <w:pPr>
      <w:ind w:left="84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hAnsi="Calibri Light" w:cs="Times New Roman"/>
      <w:b/>
      <w:kern w:val="32"/>
      <w:sz w:val="32"/>
    </w:rPr>
  </w:style>
  <w:style w:type="character" w:customStyle="1" w:styleId="Heading2Char">
    <w:name w:val="Heading 2 Char"/>
    <w:link w:val="Heading2"/>
    <w:uiPriority w:val="9"/>
    <w:semiHidden/>
    <w:locked/>
    <w:rPr>
      <w:rFonts w:ascii="Calibri Light" w:hAnsi="Calibri Light" w:cs="Times New Roman"/>
      <w:b/>
      <w:i/>
      <w:kern w:val="0"/>
      <w:sz w:val="28"/>
    </w:rPr>
  </w:style>
  <w:style w:type="character" w:customStyle="1" w:styleId="Heading3Char">
    <w:name w:val="Heading 3 Char"/>
    <w:link w:val="Heading3"/>
    <w:uiPriority w:val="9"/>
    <w:semiHidden/>
    <w:locked/>
    <w:rPr>
      <w:rFonts w:ascii="Calibri Light" w:hAnsi="Calibri Light" w:cs="Times New Roman"/>
      <w:b/>
      <w:kern w:val="0"/>
      <w:sz w:val="26"/>
    </w:rPr>
  </w:style>
  <w:style w:type="paragraph" w:styleId="BodyText">
    <w:name w:val="Body Text"/>
    <w:basedOn w:val="Normal"/>
    <w:link w:val="BodyTextChar"/>
    <w:uiPriority w:val="1"/>
    <w:qFormat/>
    <w:rPr>
      <w:sz w:val="18"/>
      <w:szCs w:val="18"/>
    </w:rPr>
  </w:style>
  <w:style w:type="character" w:customStyle="1" w:styleId="BodyTextChar">
    <w:name w:val="Body Text Char"/>
    <w:link w:val="BodyText"/>
    <w:uiPriority w:val="99"/>
    <w:semiHidden/>
    <w:locked/>
    <w:rPr>
      <w:rFonts w:ascii="Arial" w:hAnsi="Arial" w:cs="Times New Roman"/>
      <w:kern w:val="0"/>
    </w:rPr>
  </w:style>
  <w:style w:type="paragraph" w:styleId="Title">
    <w:name w:val="Title"/>
    <w:basedOn w:val="Normal"/>
    <w:next w:val="Normal"/>
    <w:link w:val="TitleChar"/>
    <w:uiPriority w:val="1"/>
    <w:qFormat/>
    <w:pPr>
      <w:spacing w:before="87"/>
      <w:ind w:left="840"/>
    </w:pPr>
    <w:rPr>
      <w:sz w:val="40"/>
      <w:szCs w:val="40"/>
      <w:u w:val="single"/>
    </w:rPr>
  </w:style>
  <w:style w:type="character" w:customStyle="1" w:styleId="TitleChar">
    <w:name w:val="Title Char"/>
    <w:link w:val="Title"/>
    <w:uiPriority w:val="10"/>
    <w:locked/>
    <w:rPr>
      <w:rFonts w:ascii="Calibri Light" w:hAnsi="Calibri Light" w:cs="Times New Roman"/>
      <w:b/>
      <w:kern w:val="28"/>
      <w:sz w:val="32"/>
    </w:rPr>
  </w:style>
  <w:style w:type="paragraph" w:styleId="ListParagraph">
    <w:name w:val="List Paragraph"/>
    <w:basedOn w:val="Normal"/>
    <w:uiPriority w:val="1"/>
    <w:qFormat/>
    <w:pPr>
      <w:ind w:left="1560" w:hanging="360"/>
    </w:pPr>
    <w:rPr>
      <w:sz w:val="24"/>
      <w:szCs w:val="24"/>
    </w:rPr>
  </w:style>
  <w:style w:type="paragraph" w:customStyle="1" w:styleId="TableParagraph">
    <w:name w:val="Table Paragraph"/>
    <w:basedOn w:val="Normal"/>
    <w:uiPriority w:val="1"/>
    <w:qFormat/>
    <w:pPr>
      <w:ind w:left="107"/>
    </w:pPr>
    <w:rPr>
      <w:sz w:val="24"/>
      <w:szCs w:val="24"/>
    </w:rPr>
  </w:style>
  <w:style w:type="character" w:styleId="CommentReference">
    <w:name w:val="annotation reference"/>
    <w:uiPriority w:val="99"/>
    <w:semiHidden/>
    <w:unhideWhenUsed/>
    <w:rsid w:val="003554A3"/>
    <w:rPr>
      <w:rFonts w:cs="Times New Roman"/>
      <w:sz w:val="16"/>
    </w:rPr>
  </w:style>
  <w:style w:type="paragraph" w:styleId="CommentText">
    <w:name w:val="annotation text"/>
    <w:basedOn w:val="Normal"/>
    <w:link w:val="CommentTextChar"/>
    <w:uiPriority w:val="99"/>
    <w:unhideWhenUsed/>
    <w:rsid w:val="003554A3"/>
    <w:rPr>
      <w:sz w:val="20"/>
      <w:szCs w:val="20"/>
    </w:rPr>
  </w:style>
  <w:style w:type="character" w:customStyle="1" w:styleId="CommentTextChar">
    <w:name w:val="Comment Text Char"/>
    <w:link w:val="CommentText"/>
    <w:uiPriority w:val="99"/>
    <w:locked/>
    <w:rsid w:val="003554A3"/>
    <w:rPr>
      <w:rFonts w:ascii="Arial" w:hAnsi="Arial" w:cs="Times New Roman"/>
      <w:kern w:val="0"/>
      <w:sz w:val="20"/>
    </w:rPr>
  </w:style>
  <w:style w:type="paragraph" w:styleId="CommentSubject">
    <w:name w:val="annotation subject"/>
    <w:basedOn w:val="CommentText"/>
    <w:next w:val="CommentText"/>
    <w:link w:val="CommentSubjectChar"/>
    <w:uiPriority w:val="99"/>
    <w:semiHidden/>
    <w:unhideWhenUsed/>
    <w:rsid w:val="003554A3"/>
    <w:rPr>
      <w:b/>
      <w:bCs/>
    </w:rPr>
  </w:style>
  <w:style w:type="character" w:customStyle="1" w:styleId="CommentSubjectChar">
    <w:name w:val="Comment Subject Char"/>
    <w:link w:val="CommentSubject"/>
    <w:uiPriority w:val="99"/>
    <w:semiHidden/>
    <w:locked/>
    <w:rsid w:val="003554A3"/>
    <w:rPr>
      <w:rFonts w:ascii="Arial" w:hAnsi="Arial" w:cs="Times New Roman"/>
      <w:b/>
      <w:kern w:val="0"/>
      <w:sz w:val="20"/>
    </w:rPr>
  </w:style>
  <w:style w:type="paragraph" w:styleId="Revision">
    <w:name w:val="Revision"/>
    <w:hidden/>
    <w:uiPriority w:val="99"/>
    <w:semiHidden/>
    <w:rsid w:val="003554A3"/>
    <w:rPr>
      <w:rFonts w:ascii="Arial" w:hAnsi="Arial" w:cs="Arial"/>
      <w:sz w:val="22"/>
      <w:szCs w:val="22"/>
      <w:lang w:eastAsia="zh-TW"/>
    </w:rPr>
  </w:style>
  <w:style w:type="table" w:styleId="TableGrid">
    <w:name w:val="Table Grid"/>
    <w:basedOn w:val="TableNormal"/>
    <w:uiPriority w:val="39"/>
    <w:rsid w:val="00355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D0AF0"/>
    <w:rPr>
      <w:rFonts w:cs="Times New Roman"/>
      <w:color w:val="0563C1"/>
      <w:u w:val="single"/>
    </w:rPr>
  </w:style>
  <w:style w:type="character" w:styleId="UnresolvedMention">
    <w:name w:val="Unresolved Mention"/>
    <w:uiPriority w:val="99"/>
    <w:semiHidden/>
    <w:unhideWhenUsed/>
    <w:rsid w:val="00AD0AF0"/>
    <w:rPr>
      <w:rFonts w:cs="Times New Roman"/>
      <w:color w:val="605E5C"/>
      <w:shd w:val="clear" w:color="auto" w:fill="E1DFDD"/>
    </w:rPr>
  </w:style>
  <w:style w:type="paragraph" w:customStyle="1" w:styleId="Default">
    <w:name w:val="Default"/>
    <w:basedOn w:val="Normal"/>
    <w:rsid w:val="00D23671"/>
    <w:pPr>
      <w:widowControl/>
      <w:adjustRightInd/>
    </w:pPr>
    <w:rPr>
      <w:rFonts w:ascii="Century Gothic" w:hAnsi="Century Gothic" w:cs="Calibri"/>
      <w:color w:val="000000"/>
      <w:sz w:val="24"/>
      <w:szCs w:val="24"/>
      <w:lang w:eastAsia="zh-CN"/>
    </w:rPr>
  </w:style>
  <w:style w:type="paragraph" w:styleId="TOCHeading">
    <w:name w:val="TOC Heading"/>
    <w:basedOn w:val="Heading1"/>
    <w:next w:val="Normal"/>
    <w:uiPriority w:val="39"/>
    <w:unhideWhenUsed/>
    <w:qFormat/>
    <w:rsid w:val="001F545D"/>
    <w:pPr>
      <w:keepNext/>
      <w:keepLines/>
      <w:widowControl/>
      <w:autoSpaceDE/>
      <w:autoSpaceDN/>
      <w:adjustRightInd/>
      <w:spacing w:before="240" w:line="259" w:lineRule="auto"/>
      <w:ind w:left="0"/>
      <w:outlineLvl w:val="9"/>
    </w:pPr>
    <w:rPr>
      <w:rFonts w:ascii="Calibri Light" w:hAnsi="Calibri Light" w:cs="Times New Roman"/>
      <w:b w:val="0"/>
      <w:bCs w:val="0"/>
      <w:color w:val="2F5496"/>
      <w:sz w:val="32"/>
      <w:szCs w:val="32"/>
      <w:lang w:eastAsia="en-US"/>
    </w:rPr>
  </w:style>
  <w:style w:type="paragraph" w:styleId="TOC1">
    <w:name w:val="toc 1"/>
    <w:basedOn w:val="Normal"/>
    <w:next w:val="Normal"/>
    <w:autoRedefine/>
    <w:uiPriority w:val="39"/>
    <w:unhideWhenUsed/>
    <w:rsid w:val="001A2EB6"/>
    <w:pPr>
      <w:tabs>
        <w:tab w:val="right" w:leader="dot" w:pos="10950"/>
      </w:tabs>
      <w:ind w:left="737"/>
      <w:jc w:val="center"/>
    </w:pPr>
  </w:style>
  <w:style w:type="paragraph" w:styleId="TOC3">
    <w:name w:val="toc 3"/>
    <w:basedOn w:val="Normal"/>
    <w:next w:val="Normal"/>
    <w:autoRedefine/>
    <w:uiPriority w:val="39"/>
    <w:unhideWhenUsed/>
    <w:rsid w:val="00B74B1A"/>
    <w:pPr>
      <w:tabs>
        <w:tab w:val="right" w:leader="dot" w:pos="10950"/>
      </w:tabs>
      <w:ind w:left="907"/>
      <w:jc w:val="center"/>
    </w:pPr>
  </w:style>
  <w:style w:type="paragraph" w:styleId="TOC2">
    <w:name w:val="toc 2"/>
    <w:basedOn w:val="Normal"/>
    <w:next w:val="Normal"/>
    <w:autoRedefine/>
    <w:uiPriority w:val="39"/>
    <w:unhideWhenUsed/>
    <w:rsid w:val="001A2EB6"/>
    <w:pPr>
      <w:tabs>
        <w:tab w:val="right" w:leader="dot" w:pos="10950"/>
      </w:tabs>
      <w:spacing w:before="40" w:after="40"/>
      <w:ind w:left="907"/>
      <w:jc w:val="right"/>
    </w:pPr>
  </w:style>
  <w:style w:type="paragraph" w:styleId="TOC4">
    <w:name w:val="toc 4"/>
    <w:basedOn w:val="Normal"/>
    <w:next w:val="Normal"/>
    <w:autoRedefine/>
    <w:uiPriority w:val="39"/>
    <w:unhideWhenUsed/>
    <w:rsid w:val="001F545D"/>
    <w:pPr>
      <w:widowControl/>
      <w:autoSpaceDE/>
      <w:autoSpaceDN/>
      <w:adjustRightInd/>
      <w:spacing w:after="100" w:line="259" w:lineRule="auto"/>
      <w:ind w:left="660"/>
    </w:pPr>
    <w:rPr>
      <w:rFonts w:ascii="Calibri" w:hAnsi="Calibri" w:cs="Times New Roman"/>
      <w:kern w:val="2"/>
    </w:rPr>
  </w:style>
  <w:style w:type="paragraph" w:styleId="TOC5">
    <w:name w:val="toc 5"/>
    <w:basedOn w:val="Normal"/>
    <w:next w:val="Normal"/>
    <w:autoRedefine/>
    <w:uiPriority w:val="39"/>
    <w:unhideWhenUsed/>
    <w:rsid w:val="001F545D"/>
    <w:pPr>
      <w:widowControl/>
      <w:autoSpaceDE/>
      <w:autoSpaceDN/>
      <w:adjustRightInd/>
      <w:spacing w:after="100" w:line="259" w:lineRule="auto"/>
      <w:ind w:left="880"/>
    </w:pPr>
    <w:rPr>
      <w:rFonts w:ascii="Calibri" w:hAnsi="Calibri" w:cs="Times New Roman"/>
      <w:kern w:val="2"/>
    </w:rPr>
  </w:style>
  <w:style w:type="paragraph" w:styleId="TOC6">
    <w:name w:val="toc 6"/>
    <w:basedOn w:val="Normal"/>
    <w:next w:val="Normal"/>
    <w:autoRedefine/>
    <w:uiPriority w:val="39"/>
    <w:unhideWhenUsed/>
    <w:rsid w:val="001F545D"/>
    <w:pPr>
      <w:widowControl/>
      <w:autoSpaceDE/>
      <w:autoSpaceDN/>
      <w:adjustRightInd/>
      <w:spacing w:after="100" w:line="259" w:lineRule="auto"/>
      <w:ind w:left="1100"/>
    </w:pPr>
    <w:rPr>
      <w:rFonts w:ascii="Calibri" w:hAnsi="Calibri" w:cs="Times New Roman"/>
      <w:kern w:val="2"/>
    </w:rPr>
  </w:style>
  <w:style w:type="paragraph" w:styleId="TOC7">
    <w:name w:val="toc 7"/>
    <w:basedOn w:val="Normal"/>
    <w:next w:val="Normal"/>
    <w:autoRedefine/>
    <w:uiPriority w:val="39"/>
    <w:unhideWhenUsed/>
    <w:rsid w:val="001F545D"/>
    <w:pPr>
      <w:widowControl/>
      <w:autoSpaceDE/>
      <w:autoSpaceDN/>
      <w:adjustRightInd/>
      <w:spacing w:after="100" w:line="259" w:lineRule="auto"/>
      <w:ind w:left="1320"/>
    </w:pPr>
    <w:rPr>
      <w:rFonts w:ascii="Calibri" w:hAnsi="Calibri" w:cs="Times New Roman"/>
      <w:kern w:val="2"/>
    </w:rPr>
  </w:style>
  <w:style w:type="paragraph" w:styleId="TOC8">
    <w:name w:val="toc 8"/>
    <w:basedOn w:val="Normal"/>
    <w:next w:val="Normal"/>
    <w:autoRedefine/>
    <w:uiPriority w:val="39"/>
    <w:unhideWhenUsed/>
    <w:rsid w:val="001F545D"/>
    <w:pPr>
      <w:widowControl/>
      <w:autoSpaceDE/>
      <w:autoSpaceDN/>
      <w:adjustRightInd/>
      <w:spacing w:after="100" w:line="259" w:lineRule="auto"/>
      <w:ind w:left="1540"/>
    </w:pPr>
    <w:rPr>
      <w:rFonts w:ascii="Calibri" w:hAnsi="Calibri" w:cs="Times New Roman"/>
      <w:kern w:val="2"/>
    </w:rPr>
  </w:style>
  <w:style w:type="paragraph" w:styleId="TOC9">
    <w:name w:val="toc 9"/>
    <w:basedOn w:val="Normal"/>
    <w:next w:val="Normal"/>
    <w:autoRedefine/>
    <w:uiPriority w:val="39"/>
    <w:unhideWhenUsed/>
    <w:rsid w:val="001F545D"/>
    <w:pPr>
      <w:widowControl/>
      <w:autoSpaceDE/>
      <w:autoSpaceDN/>
      <w:adjustRightInd/>
      <w:spacing w:after="100" w:line="259" w:lineRule="auto"/>
      <w:ind w:left="1760"/>
    </w:pPr>
    <w:rPr>
      <w:rFonts w:ascii="Calibri" w:hAnsi="Calibri" w:cs="Times New Roman"/>
      <w:kern w:val="2"/>
    </w:rPr>
  </w:style>
  <w:style w:type="paragraph" w:styleId="Header">
    <w:name w:val="header"/>
    <w:basedOn w:val="Normal"/>
    <w:link w:val="HeaderChar"/>
    <w:uiPriority w:val="99"/>
    <w:unhideWhenUsed/>
    <w:rsid w:val="007C4D1E"/>
    <w:pPr>
      <w:tabs>
        <w:tab w:val="center" w:pos="4320"/>
        <w:tab w:val="right" w:pos="8640"/>
      </w:tabs>
    </w:pPr>
  </w:style>
  <w:style w:type="character" w:customStyle="1" w:styleId="HeaderChar">
    <w:name w:val="Header Char"/>
    <w:link w:val="Header"/>
    <w:uiPriority w:val="99"/>
    <w:locked/>
    <w:rsid w:val="007C4D1E"/>
    <w:rPr>
      <w:rFonts w:ascii="Arial" w:hAnsi="Arial" w:cs="Arial"/>
      <w:sz w:val="22"/>
      <w:szCs w:val="22"/>
      <w:lang w:val="it-IT" w:eastAsia="zh-TW"/>
    </w:rPr>
  </w:style>
  <w:style w:type="paragraph" w:styleId="Footer">
    <w:name w:val="footer"/>
    <w:basedOn w:val="Normal"/>
    <w:link w:val="FooterChar"/>
    <w:uiPriority w:val="99"/>
    <w:unhideWhenUsed/>
    <w:rsid w:val="007C4D1E"/>
    <w:pPr>
      <w:tabs>
        <w:tab w:val="center" w:pos="4320"/>
        <w:tab w:val="right" w:pos="8640"/>
      </w:tabs>
    </w:pPr>
  </w:style>
  <w:style w:type="character" w:customStyle="1" w:styleId="FooterChar">
    <w:name w:val="Footer Char"/>
    <w:link w:val="Footer"/>
    <w:uiPriority w:val="99"/>
    <w:locked/>
    <w:rsid w:val="007C4D1E"/>
    <w:rPr>
      <w:rFonts w:ascii="Arial" w:hAnsi="Arial" w:cs="Arial"/>
      <w:sz w:val="22"/>
      <w:szCs w:val="22"/>
      <w:lang w:val="it-IT" w:eastAsia="zh-TW"/>
    </w:rPr>
  </w:style>
  <w:style w:type="character" w:customStyle="1" w:styleId="ui-provider">
    <w:name w:val="ui-provider"/>
    <w:rsid w:val="00AA7F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07789">
      <w:marLeft w:val="0"/>
      <w:marRight w:val="0"/>
      <w:marTop w:val="0"/>
      <w:marBottom w:val="0"/>
      <w:divBdr>
        <w:top w:val="none" w:sz="0" w:space="0" w:color="auto"/>
        <w:left w:val="none" w:sz="0" w:space="0" w:color="auto"/>
        <w:bottom w:val="none" w:sz="0" w:space="0" w:color="auto"/>
        <w:right w:val="none" w:sz="0" w:space="0" w:color="auto"/>
      </w:divBdr>
    </w:div>
    <w:div w:id="811407790">
      <w:marLeft w:val="0"/>
      <w:marRight w:val="0"/>
      <w:marTop w:val="0"/>
      <w:marBottom w:val="0"/>
      <w:divBdr>
        <w:top w:val="none" w:sz="0" w:space="0" w:color="auto"/>
        <w:left w:val="none" w:sz="0" w:space="0" w:color="auto"/>
        <w:bottom w:val="none" w:sz="0" w:space="0" w:color="auto"/>
        <w:right w:val="none" w:sz="0" w:space="0" w:color="auto"/>
      </w:divBdr>
    </w:div>
    <w:div w:id="811407791">
      <w:marLeft w:val="0"/>
      <w:marRight w:val="0"/>
      <w:marTop w:val="0"/>
      <w:marBottom w:val="0"/>
      <w:divBdr>
        <w:top w:val="none" w:sz="0" w:space="0" w:color="auto"/>
        <w:left w:val="none" w:sz="0" w:space="0" w:color="auto"/>
        <w:bottom w:val="none" w:sz="0" w:space="0" w:color="auto"/>
        <w:right w:val="none" w:sz="0" w:space="0" w:color="auto"/>
      </w:divBdr>
    </w:div>
    <w:div w:id="811407792">
      <w:marLeft w:val="0"/>
      <w:marRight w:val="0"/>
      <w:marTop w:val="0"/>
      <w:marBottom w:val="0"/>
      <w:divBdr>
        <w:top w:val="none" w:sz="0" w:space="0" w:color="auto"/>
        <w:left w:val="none" w:sz="0" w:space="0" w:color="auto"/>
        <w:bottom w:val="none" w:sz="0" w:space="0" w:color="auto"/>
        <w:right w:val="none" w:sz="0" w:space="0" w:color="auto"/>
      </w:divBdr>
    </w:div>
    <w:div w:id="811407793">
      <w:marLeft w:val="0"/>
      <w:marRight w:val="0"/>
      <w:marTop w:val="0"/>
      <w:marBottom w:val="0"/>
      <w:divBdr>
        <w:top w:val="none" w:sz="0" w:space="0" w:color="auto"/>
        <w:left w:val="none" w:sz="0" w:space="0" w:color="auto"/>
        <w:bottom w:val="none" w:sz="0" w:space="0" w:color="auto"/>
        <w:right w:val="none" w:sz="0" w:space="0" w:color="auto"/>
      </w:divBdr>
    </w:div>
    <w:div w:id="811407794">
      <w:marLeft w:val="0"/>
      <w:marRight w:val="0"/>
      <w:marTop w:val="0"/>
      <w:marBottom w:val="0"/>
      <w:divBdr>
        <w:top w:val="none" w:sz="0" w:space="0" w:color="auto"/>
        <w:left w:val="none" w:sz="0" w:space="0" w:color="auto"/>
        <w:bottom w:val="none" w:sz="0" w:space="0" w:color="auto"/>
        <w:right w:val="none" w:sz="0" w:space="0" w:color="auto"/>
      </w:divBdr>
    </w:div>
    <w:div w:id="811407795">
      <w:marLeft w:val="0"/>
      <w:marRight w:val="0"/>
      <w:marTop w:val="0"/>
      <w:marBottom w:val="0"/>
      <w:divBdr>
        <w:top w:val="none" w:sz="0" w:space="0" w:color="auto"/>
        <w:left w:val="none" w:sz="0" w:space="0" w:color="auto"/>
        <w:bottom w:val="none" w:sz="0" w:space="0" w:color="auto"/>
        <w:right w:val="none" w:sz="0" w:space="0" w:color="auto"/>
      </w:divBdr>
    </w:div>
    <w:div w:id="811407796">
      <w:marLeft w:val="0"/>
      <w:marRight w:val="0"/>
      <w:marTop w:val="0"/>
      <w:marBottom w:val="0"/>
      <w:divBdr>
        <w:top w:val="none" w:sz="0" w:space="0" w:color="auto"/>
        <w:left w:val="none" w:sz="0" w:space="0" w:color="auto"/>
        <w:bottom w:val="none" w:sz="0" w:space="0" w:color="auto"/>
        <w:right w:val="none" w:sz="0" w:space="0" w:color="auto"/>
      </w:divBdr>
    </w:div>
    <w:div w:id="811407797">
      <w:marLeft w:val="0"/>
      <w:marRight w:val="0"/>
      <w:marTop w:val="0"/>
      <w:marBottom w:val="0"/>
      <w:divBdr>
        <w:top w:val="none" w:sz="0" w:space="0" w:color="auto"/>
        <w:left w:val="none" w:sz="0" w:space="0" w:color="auto"/>
        <w:bottom w:val="none" w:sz="0" w:space="0" w:color="auto"/>
        <w:right w:val="none" w:sz="0" w:space="0" w:color="auto"/>
      </w:divBdr>
    </w:div>
    <w:div w:id="811407798">
      <w:marLeft w:val="0"/>
      <w:marRight w:val="0"/>
      <w:marTop w:val="0"/>
      <w:marBottom w:val="0"/>
      <w:divBdr>
        <w:top w:val="none" w:sz="0" w:space="0" w:color="auto"/>
        <w:left w:val="none" w:sz="0" w:space="0" w:color="auto"/>
        <w:bottom w:val="none" w:sz="0" w:space="0" w:color="auto"/>
        <w:right w:val="none" w:sz="0" w:space="0" w:color="auto"/>
      </w:divBdr>
    </w:div>
    <w:div w:id="8114077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yperlink" Target="http://www.arcep.fr/" TargetMode="External"/><Relationship Id="rId18" Type="http://schemas.openxmlformats.org/officeDocument/2006/relationships/image" Target="media/image4.png"/><Relationship Id="rId26" Type="http://schemas.openxmlformats.org/officeDocument/2006/relationships/hyperlink" Target="https://www.netgear.com/it/about/regulatory/" TargetMode="External"/><Relationship Id="rId3" Type="http://schemas.openxmlformats.org/officeDocument/2006/relationships/styles" Target="styles.xml"/><Relationship Id="rId21" Type="http://schemas.openxmlformats.org/officeDocument/2006/relationships/hyperlink" Target="https://www.netgear.com/it/about/regulatory/" TargetMode="External"/><Relationship Id="rId7" Type="http://schemas.openxmlformats.org/officeDocument/2006/relationships/endnotes" Target="endnotes.xml"/><Relationship Id="rId12" Type="http://schemas.openxmlformats.org/officeDocument/2006/relationships/hyperlink" Target="http://www.arcep.fr/" TargetMode="External"/><Relationship Id="rId17" Type="http://schemas.openxmlformats.org/officeDocument/2006/relationships/hyperlink" Target="https://kb.netgear.com/000062897/UKCA-Declarations-of-Conformity" TargetMode="External"/><Relationship Id="rId25" Type="http://schemas.openxmlformats.org/officeDocument/2006/relationships/hyperlink" Target="https://www.netgear.com/it/about/regulator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pport.netgear.com/app/answers/detail/a_id/11621/" TargetMode="External"/><Relationship Id="rId20" Type="http://schemas.openxmlformats.org/officeDocument/2006/relationships/hyperlink" Target="https://www.bipt.be/operators/general-holders-licences" TargetMode="External"/><Relationship Id="rId29" Type="http://schemas.openxmlformats.org/officeDocument/2006/relationships/hyperlink" Target="https://www.netgear.com/fr/about/regula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tgear.com/it/about/regulatory/" TargetMode="External"/><Relationship Id="rId24" Type="http://schemas.openxmlformats.org/officeDocument/2006/relationships/hyperlink" Target="https://www.netgear.com/it/about/regulator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netgear.com/it/about/regulatory/" TargetMode="External"/><Relationship Id="rId28" Type="http://schemas.openxmlformats.org/officeDocument/2006/relationships/hyperlink" Target="https://www.netgear.com/fr/about/regulatory/" TargetMode="External"/><Relationship Id="rId10" Type="http://schemas.openxmlformats.org/officeDocument/2006/relationships/hyperlink" Target="https://www.netgear.com/it/about/regulatory/" TargetMode="External"/><Relationship Id="rId19" Type="http://schemas.openxmlformats.org/officeDocument/2006/relationships/hyperlink" Target="https://www.bipt.be/consumers/free-use-of-radio"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yperlink" Target="http://www.netgear.it/support" TargetMode="External"/><Relationship Id="rId27" Type="http://schemas.openxmlformats.org/officeDocument/2006/relationships/hyperlink" Target="https://epraon.ca/" TargetMode="External"/><Relationship Id="rId30" Type="http://schemas.openxmlformats.org/officeDocument/2006/relationships/hyperlink" Target="https://epraon.ca/"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4D6DE-A01C-46DA-A8D6-E43A5843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7252</Words>
  <Characters>41338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Pampuch</dc:creator>
  <cp:keywords/>
  <dc:description/>
  <cp:lastModifiedBy>Katty Chen</cp:lastModifiedBy>
  <cp:revision>3</cp:revision>
  <dcterms:created xsi:type="dcterms:W3CDTF">2023-10-06T07:48:00Z</dcterms:created>
  <dcterms:modified xsi:type="dcterms:W3CDTF">2023-10-25T18:21:00Z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y fmtid="{D5CDD505-2E9C-101B-9397-08002B2CF9AE}" pid="3" name="Producer">
    <vt:lpwstr>Microsoft® Word 2019</vt:lpwstr>
  </property>
</Properties>
</file>