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7BB2" w14:textId="77777777" w:rsidR="00DF3509" w:rsidRPr="003608D0" w:rsidRDefault="00DF3509">
      <w:pPr>
        <w:pStyle w:val="BodyText"/>
        <w:kinsoku w:val="0"/>
        <w:overflowPunct w:val="0"/>
        <w:spacing w:before="11"/>
        <w:rPr>
          <w:rFonts w:ascii="Times New Roman" w:hAnsi="Times New Roman" w:cs="Times New Roman"/>
          <w:sz w:val="12"/>
          <w:szCs w:val="12"/>
          <w:lang w:val="en-CA"/>
        </w:rPr>
      </w:pPr>
    </w:p>
    <w:p w14:paraId="46132FA9" w14:textId="0F8E3284" w:rsidR="00DF3509" w:rsidRDefault="0052779B">
      <w:pPr>
        <w:pStyle w:val="BodyText"/>
        <w:kinsoku w:val="0"/>
        <w:overflowPunct w:val="0"/>
        <w:ind w:left="930"/>
        <w:rPr>
          <w:rFonts w:ascii="Times New Roman" w:hAnsi="Times New Roman" w:cs="Times New Roman"/>
          <w:sz w:val="20"/>
          <w:szCs w:val="20"/>
        </w:rPr>
      </w:pPr>
      <w:r>
        <w:rPr>
          <w:rFonts w:ascii="Times New Roman" w:hAnsi="Times New Roman"/>
          <w:noProof/>
          <w:sz w:val="20"/>
        </w:rPr>
        <w:drawing>
          <wp:inline distT="0" distB="0" distL="0" distR="0" wp14:anchorId="672B0D98" wp14:editId="6771B088">
            <wp:extent cx="2812415" cy="39687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415" cy="396875"/>
                    </a:xfrm>
                    <a:prstGeom prst="rect">
                      <a:avLst/>
                    </a:prstGeom>
                    <a:noFill/>
                    <a:ln>
                      <a:noFill/>
                    </a:ln>
                  </pic:spPr>
                </pic:pic>
              </a:graphicData>
            </a:graphic>
          </wp:inline>
        </w:drawing>
      </w:r>
    </w:p>
    <w:p w14:paraId="6918319F" w14:textId="77777777" w:rsidR="00DF3509" w:rsidRDefault="00DF3509">
      <w:pPr>
        <w:pStyle w:val="BodyText"/>
        <w:kinsoku w:val="0"/>
        <w:overflowPunct w:val="0"/>
        <w:spacing w:before="7"/>
        <w:rPr>
          <w:rFonts w:ascii="Times New Roman" w:hAnsi="Times New Roman" w:cs="Times New Roman"/>
          <w:sz w:val="17"/>
          <w:szCs w:val="17"/>
        </w:rPr>
      </w:pPr>
    </w:p>
    <w:p w14:paraId="603488B0" w14:textId="77777777" w:rsidR="00DF3509" w:rsidRDefault="00DF3509">
      <w:pPr>
        <w:pStyle w:val="Title"/>
        <w:tabs>
          <w:tab w:val="left" w:pos="10230"/>
        </w:tabs>
        <w:kinsoku w:val="0"/>
        <w:overflowPunct w:val="0"/>
        <w:rPr>
          <w:u w:val="none"/>
        </w:rPr>
      </w:pPr>
      <w:r>
        <w:t>Konformitätserklärung</w:t>
      </w:r>
      <w:r>
        <w:tab/>
      </w:r>
    </w:p>
    <w:p w14:paraId="5A6C9F4D" w14:textId="77777777" w:rsidR="001F545D" w:rsidRPr="003608D0" w:rsidRDefault="001F545D" w:rsidP="003608D0">
      <w:pPr>
        <w:pStyle w:val="TOCHeading"/>
        <w:ind w:left="720"/>
        <w:rPr>
          <w:rFonts w:ascii="Cambria" w:hAnsi="Cambria" w:cs="Arial"/>
        </w:rPr>
      </w:pPr>
      <w:r>
        <w:rPr>
          <w:rFonts w:ascii="Cambria" w:hAnsi="Cambria"/>
        </w:rPr>
        <w:t>Inhalt</w:t>
      </w:r>
    </w:p>
    <w:p w14:paraId="1E756562" w14:textId="6F3B020D" w:rsidR="000A6F99" w:rsidRDefault="001F545D">
      <w:pPr>
        <w:pStyle w:val="TOC1"/>
        <w:rPr>
          <w:rFonts w:asciiTheme="minorHAnsi" w:eastAsiaTheme="minorEastAsia" w:hAnsiTheme="minorHAnsi" w:cstheme="minorBidi"/>
          <w:noProof/>
          <w:kern w:val="2"/>
          <w:lang w:val="en-US"/>
          <w14:ligatures w14:val="standardContextual"/>
        </w:rPr>
      </w:pPr>
      <w:r w:rsidRPr="001A2EB6">
        <w:fldChar w:fldCharType="begin"/>
      </w:r>
      <w:r w:rsidRPr="001A2EB6">
        <w:instrText xml:space="preserve"> TOC \o "1-3" \h \z \u </w:instrText>
      </w:r>
      <w:r w:rsidRPr="001A2EB6">
        <w:fldChar w:fldCharType="separate"/>
      </w:r>
      <w:hyperlink w:anchor="_Toc147502443" w:history="1">
        <w:r w:rsidR="000A6F99" w:rsidRPr="00C22A65">
          <w:rPr>
            <w:rStyle w:val="Hyperlink"/>
            <w:noProof/>
          </w:rPr>
          <w:t>Sicherheitsinformationen und -hinweise</w:t>
        </w:r>
        <w:r w:rsidR="000A6F99">
          <w:rPr>
            <w:noProof/>
            <w:webHidden/>
          </w:rPr>
          <w:tab/>
        </w:r>
        <w:r w:rsidR="000A6F99">
          <w:rPr>
            <w:noProof/>
            <w:webHidden/>
          </w:rPr>
          <w:fldChar w:fldCharType="begin"/>
        </w:r>
        <w:r w:rsidR="000A6F99">
          <w:rPr>
            <w:noProof/>
            <w:webHidden/>
          </w:rPr>
          <w:instrText xml:space="preserve"> PAGEREF _Toc147502443 \h </w:instrText>
        </w:r>
        <w:r w:rsidR="000A6F99">
          <w:rPr>
            <w:noProof/>
            <w:webHidden/>
          </w:rPr>
        </w:r>
        <w:r w:rsidR="000A6F99">
          <w:rPr>
            <w:noProof/>
            <w:webHidden/>
          </w:rPr>
          <w:fldChar w:fldCharType="separate"/>
        </w:r>
        <w:r w:rsidR="000A6F99">
          <w:rPr>
            <w:noProof/>
            <w:webHidden/>
          </w:rPr>
          <w:t>3</w:t>
        </w:r>
        <w:r w:rsidR="000A6F99">
          <w:rPr>
            <w:noProof/>
            <w:webHidden/>
          </w:rPr>
          <w:fldChar w:fldCharType="end"/>
        </w:r>
      </w:hyperlink>
    </w:p>
    <w:p w14:paraId="18BF30DA" w14:textId="0B41AE33" w:rsidR="000A6F99" w:rsidRDefault="00000000">
      <w:pPr>
        <w:pStyle w:val="TOC3"/>
        <w:rPr>
          <w:rFonts w:asciiTheme="minorHAnsi" w:eastAsiaTheme="minorEastAsia" w:hAnsiTheme="minorHAnsi" w:cstheme="minorBidi"/>
          <w:noProof/>
          <w:kern w:val="2"/>
          <w:lang w:val="en-US"/>
          <w14:ligatures w14:val="standardContextual"/>
        </w:rPr>
      </w:pPr>
      <w:hyperlink w:anchor="_Toc147502444" w:history="1">
        <w:r w:rsidR="000A6F99" w:rsidRPr="00C22A65">
          <w:rPr>
            <w:rStyle w:val="Hyperlink"/>
            <w:noProof/>
          </w:rPr>
          <w:t>Sicherer Umgang mit und sichere Verwendung von Akkus und Batterien</w:t>
        </w:r>
        <w:r w:rsidR="000A6F99">
          <w:rPr>
            <w:noProof/>
            <w:webHidden/>
          </w:rPr>
          <w:tab/>
        </w:r>
        <w:r w:rsidR="000A6F99">
          <w:rPr>
            <w:noProof/>
            <w:webHidden/>
          </w:rPr>
          <w:fldChar w:fldCharType="begin"/>
        </w:r>
        <w:r w:rsidR="000A6F99">
          <w:rPr>
            <w:noProof/>
            <w:webHidden/>
          </w:rPr>
          <w:instrText xml:space="preserve"> PAGEREF _Toc147502444 \h </w:instrText>
        </w:r>
        <w:r w:rsidR="000A6F99">
          <w:rPr>
            <w:noProof/>
            <w:webHidden/>
          </w:rPr>
        </w:r>
        <w:r w:rsidR="000A6F99">
          <w:rPr>
            <w:noProof/>
            <w:webHidden/>
          </w:rPr>
          <w:fldChar w:fldCharType="separate"/>
        </w:r>
        <w:r w:rsidR="000A6F99">
          <w:rPr>
            <w:noProof/>
            <w:webHidden/>
          </w:rPr>
          <w:t>3</w:t>
        </w:r>
        <w:r w:rsidR="000A6F99">
          <w:rPr>
            <w:noProof/>
            <w:webHidden/>
          </w:rPr>
          <w:fldChar w:fldCharType="end"/>
        </w:r>
      </w:hyperlink>
    </w:p>
    <w:p w14:paraId="79C1E346" w14:textId="0A970781" w:rsidR="000A6F99" w:rsidRDefault="00000000">
      <w:pPr>
        <w:pStyle w:val="TOC2"/>
        <w:rPr>
          <w:rFonts w:asciiTheme="minorHAnsi" w:eastAsiaTheme="minorEastAsia" w:hAnsiTheme="minorHAnsi" w:cstheme="minorBidi"/>
          <w:noProof/>
          <w:kern w:val="2"/>
          <w:lang w:val="en-US"/>
          <w14:ligatures w14:val="standardContextual"/>
        </w:rPr>
      </w:pPr>
      <w:hyperlink w:anchor="_Toc147502445" w:history="1">
        <w:r w:rsidR="000A6F99" w:rsidRPr="00C22A65">
          <w:rPr>
            <w:rStyle w:val="Hyperlink"/>
            <w:noProof/>
          </w:rPr>
          <w:t>Kennzeichnung finden</w:t>
        </w:r>
        <w:r w:rsidR="000A6F99">
          <w:rPr>
            <w:noProof/>
            <w:webHidden/>
          </w:rPr>
          <w:tab/>
        </w:r>
        <w:r w:rsidR="000A6F99">
          <w:rPr>
            <w:noProof/>
            <w:webHidden/>
          </w:rPr>
          <w:fldChar w:fldCharType="begin"/>
        </w:r>
        <w:r w:rsidR="000A6F99">
          <w:rPr>
            <w:noProof/>
            <w:webHidden/>
          </w:rPr>
          <w:instrText xml:space="preserve"> PAGEREF _Toc147502445 \h </w:instrText>
        </w:r>
        <w:r w:rsidR="000A6F99">
          <w:rPr>
            <w:noProof/>
            <w:webHidden/>
          </w:rPr>
        </w:r>
        <w:r w:rsidR="000A6F99">
          <w:rPr>
            <w:noProof/>
            <w:webHidden/>
          </w:rPr>
          <w:fldChar w:fldCharType="separate"/>
        </w:r>
        <w:r w:rsidR="000A6F99">
          <w:rPr>
            <w:noProof/>
            <w:webHidden/>
          </w:rPr>
          <w:t>3</w:t>
        </w:r>
        <w:r w:rsidR="000A6F99">
          <w:rPr>
            <w:noProof/>
            <w:webHidden/>
          </w:rPr>
          <w:fldChar w:fldCharType="end"/>
        </w:r>
      </w:hyperlink>
    </w:p>
    <w:p w14:paraId="1E38EA98" w14:textId="73E75C5C" w:rsidR="000A6F99" w:rsidRDefault="00000000">
      <w:pPr>
        <w:pStyle w:val="TOC2"/>
        <w:rPr>
          <w:rFonts w:asciiTheme="minorHAnsi" w:eastAsiaTheme="minorEastAsia" w:hAnsiTheme="minorHAnsi" w:cstheme="minorBidi"/>
          <w:noProof/>
          <w:kern w:val="2"/>
          <w:lang w:val="en-US"/>
          <w14:ligatures w14:val="standardContextual"/>
        </w:rPr>
      </w:pPr>
      <w:hyperlink w:anchor="_Toc147502446" w:history="1">
        <w:r w:rsidR="000A6F99" w:rsidRPr="00C22A65">
          <w:rPr>
            <w:rStyle w:val="Hyperlink"/>
            <w:noProof/>
          </w:rPr>
          <w:t>Verwendung an Orten, an denen sich Kinder wahrscheinlich nicht aufhalten</w:t>
        </w:r>
        <w:r w:rsidR="000A6F99">
          <w:rPr>
            <w:noProof/>
            <w:webHidden/>
          </w:rPr>
          <w:tab/>
        </w:r>
        <w:r w:rsidR="000A6F99">
          <w:rPr>
            <w:noProof/>
            <w:webHidden/>
          </w:rPr>
          <w:fldChar w:fldCharType="begin"/>
        </w:r>
        <w:r w:rsidR="000A6F99">
          <w:rPr>
            <w:noProof/>
            <w:webHidden/>
          </w:rPr>
          <w:instrText xml:space="preserve"> PAGEREF _Toc147502446 \h </w:instrText>
        </w:r>
        <w:r w:rsidR="000A6F99">
          <w:rPr>
            <w:noProof/>
            <w:webHidden/>
          </w:rPr>
        </w:r>
        <w:r w:rsidR="000A6F99">
          <w:rPr>
            <w:noProof/>
            <w:webHidden/>
          </w:rPr>
          <w:fldChar w:fldCharType="separate"/>
        </w:r>
        <w:r w:rsidR="000A6F99">
          <w:rPr>
            <w:noProof/>
            <w:webHidden/>
          </w:rPr>
          <w:t>3</w:t>
        </w:r>
        <w:r w:rsidR="000A6F99">
          <w:rPr>
            <w:noProof/>
            <w:webHidden/>
          </w:rPr>
          <w:fldChar w:fldCharType="end"/>
        </w:r>
      </w:hyperlink>
    </w:p>
    <w:p w14:paraId="088C8DEF" w14:textId="5665742E" w:rsidR="000A6F99" w:rsidRDefault="00000000">
      <w:pPr>
        <w:pStyle w:val="TOC2"/>
        <w:rPr>
          <w:rFonts w:asciiTheme="minorHAnsi" w:eastAsiaTheme="minorEastAsia" w:hAnsiTheme="minorHAnsi" w:cstheme="minorBidi"/>
          <w:noProof/>
          <w:kern w:val="2"/>
          <w:lang w:val="en-US"/>
          <w14:ligatures w14:val="standardContextual"/>
        </w:rPr>
      </w:pPr>
      <w:hyperlink w:anchor="_Toc147502447" w:history="1">
        <w:r w:rsidR="000A6F99" w:rsidRPr="00C22A65">
          <w:rPr>
            <w:rStyle w:val="Hyperlink"/>
            <w:noProof/>
          </w:rPr>
          <w:t>Hinweise für beschränkten Zugang</w:t>
        </w:r>
        <w:r w:rsidR="000A6F99">
          <w:rPr>
            <w:noProof/>
            <w:webHidden/>
          </w:rPr>
          <w:tab/>
        </w:r>
        <w:r w:rsidR="000A6F99">
          <w:rPr>
            <w:noProof/>
            <w:webHidden/>
          </w:rPr>
          <w:fldChar w:fldCharType="begin"/>
        </w:r>
        <w:r w:rsidR="000A6F99">
          <w:rPr>
            <w:noProof/>
            <w:webHidden/>
          </w:rPr>
          <w:instrText xml:space="preserve"> PAGEREF _Toc147502447 \h </w:instrText>
        </w:r>
        <w:r w:rsidR="000A6F99">
          <w:rPr>
            <w:noProof/>
            <w:webHidden/>
          </w:rPr>
        </w:r>
        <w:r w:rsidR="000A6F99">
          <w:rPr>
            <w:noProof/>
            <w:webHidden/>
          </w:rPr>
          <w:fldChar w:fldCharType="separate"/>
        </w:r>
        <w:r w:rsidR="000A6F99">
          <w:rPr>
            <w:noProof/>
            <w:webHidden/>
          </w:rPr>
          <w:t>3</w:t>
        </w:r>
        <w:r w:rsidR="000A6F99">
          <w:rPr>
            <w:noProof/>
            <w:webHidden/>
          </w:rPr>
          <w:fldChar w:fldCharType="end"/>
        </w:r>
      </w:hyperlink>
    </w:p>
    <w:p w14:paraId="132DAC98" w14:textId="795F719D" w:rsidR="000A6F99" w:rsidRDefault="00000000">
      <w:pPr>
        <w:pStyle w:val="TOC2"/>
        <w:rPr>
          <w:rFonts w:asciiTheme="minorHAnsi" w:eastAsiaTheme="minorEastAsia" w:hAnsiTheme="minorHAnsi" w:cstheme="minorBidi"/>
          <w:noProof/>
          <w:kern w:val="2"/>
          <w:lang w:val="en-US"/>
          <w14:ligatures w14:val="standardContextual"/>
        </w:rPr>
      </w:pPr>
      <w:hyperlink w:anchor="_Toc147502448" w:history="1">
        <w:r w:rsidR="000A6F99" w:rsidRPr="00C22A65">
          <w:rPr>
            <w:rStyle w:val="Hyperlink"/>
            <w:noProof/>
          </w:rPr>
          <w:t>Hinweis für Koaxialkabel-TV und Internetanschluss (bei ausgewählten Modellen)</w:t>
        </w:r>
        <w:r w:rsidR="000A6F99">
          <w:rPr>
            <w:noProof/>
            <w:webHidden/>
          </w:rPr>
          <w:tab/>
        </w:r>
        <w:r w:rsidR="000A6F99">
          <w:rPr>
            <w:noProof/>
            <w:webHidden/>
          </w:rPr>
          <w:fldChar w:fldCharType="begin"/>
        </w:r>
        <w:r w:rsidR="000A6F99">
          <w:rPr>
            <w:noProof/>
            <w:webHidden/>
          </w:rPr>
          <w:instrText xml:space="preserve"> PAGEREF _Toc147502448 \h </w:instrText>
        </w:r>
        <w:r w:rsidR="000A6F99">
          <w:rPr>
            <w:noProof/>
            <w:webHidden/>
          </w:rPr>
        </w:r>
        <w:r w:rsidR="000A6F99">
          <w:rPr>
            <w:noProof/>
            <w:webHidden/>
          </w:rPr>
          <w:fldChar w:fldCharType="separate"/>
        </w:r>
        <w:r w:rsidR="000A6F99">
          <w:rPr>
            <w:noProof/>
            <w:webHidden/>
          </w:rPr>
          <w:t>3</w:t>
        </w:r>
        <w:r w:rsidR="000A6F99">
          <w:rPr>
            <w:noProof/>
            <w:webHidden/>
          </w:rPr>
          <w:fldChar w:fldCharType="end"/>
        </w:r>
      </w:hyperlink>
    </w:p>
    <w:p w14:paraId="5A43017C" w14:textId="12586B9D" w:rsidR="000A6F99" w:rsidRDefault="00000000">
      <w:pPr>
        <w:pStyle w:val="TOC1"/>
        <w:rPr>
          <w:rFonts w:asciiTheme="minorHAnsi" w:eastAsiaTheme="minorEastAsia" w:hAnsiTheme="minorHAnsi" w:cstheme="minorBidi"/>
          <w:noProof/>
          <w:kern w:val="2"/>
          <w:lang w:val="en-US"/>
          <w14:ligatures w14:val="standardContextual"/>
        </w:rPr>
      </w:pPr>
      <w:hyperlink w:anchor="_Toc147502449" w:history="1">
        <w:r w:rsidR="000A6F99" w:rsidRPr="00C22A65">
          <w:rPr>
            <w:rStyle w:val="Hyperlink"/>
            <w:noProof/>
          </w:rPr>
          <w:t>Informationen zur Einhaltung rechtlicher Vorschriften</w:t>
        </w:r>
        <w:r w:rsidR="000A6F99">
          <w:rPr>
            <w:noProof/>
            <w:webHidden/>
          </w:rPr>
          <w:tab/>
        </w:r>
        <w:r w:rsidR="000A6F99">
          <w:rPr>
            <w:noProof/>
            <w:webHidden/>
          </w:rPr>
          <w:fldChar w:fldCharType="begin"/>
        </w:r>
        <w:r w:rsidR="000A6F99">
          <w:rPr>
            <w:noProof/>
            <w:webHidden/>
          </w:rPr>
          <w:instrText xml:space="preserve"> PAGEREF _Toc147502449 \h </w:instrText>
        </w:r>
        <w:r w:rsidR="000A6F99">
          <w:rPr>
            <w:noProof/>
            <w:webHidden/>
          </w:rPr>
        </w:r>
        <w:r w:rsidR="000A6F99">
          <w:rPr>
            <w:noProof/>
            <w:webHidden/>
          </w:rPr>
          <w:fldChar w:fldCharType="separate"/>
        </w:r>
        <w:r w:rsidR="000A6F99">
          <w:rPr>
            <w:noProof/>
            <w:webHidden/>
          </w:rPr>
          <w:t>4</w:t>
        </w:r>
        <w:r w:rsidR="000A6F99">
          <w:rPr>
            <w:noProof/>
            <w:webHidden/>
          </w:rPr>
          <w:fldChar w:fldCharType="end"/>
        </w:r>
      </w:hyperlink>
    </w:p>
    <w:p w14:paraId="579CC9B6" w14:textId="103B550B" w:rsidR="000A6F99" w:rsidRDefault="00000000">
      <w:pPr>
        <w:pStyle w:val="TOC2"/>
        <w:rPr>
          <w:rFonts w:asciiTheme="minorHAnsi" w:eastAsiaTheme="minorEastAsia" w:hAnsiTheme="minorHAnsi" w:cstheme="minorBidi"/>
          <w:noProof/>
          <w:kern w:val="2"/>
          <w:lang w:val="en-US"/>
          <w14:ligatures w14:val="standardContextual"/>
        </w:rPr>
      </w:pPr>
      <w:hyperlink w:anchor="_Toc147502450" w:history="1">
        <w:r w:rsidR="000A6F99" w:rsidRPr="00C22A65">
          <w:rPr>
            <w:rStyle w:val="Hyperlink"/>
            <w:noProof/>
          </w:rPr>
          <w:t>Für die Verwendung im Außenbereich zertifizierte Geräte</w:t>
        </w:r>
        <w:r w:rsidR="000A6F99">
          <w:rPr>
            <w:noProof/>
            <w:webHidden/>
          </w:rPr>
          <w:tab/>
        </w:r>
        <w:r w:rsidR="000A6F99">
          <w:rPr>
            <w:noProof/>
            <w:webHidden/>
          </w:rPr>
          <w:fldChar w:fldCharType="begin"/>
        </w:r>
        <w:r w:rsidR="000A6F99">
          <w:rPr>
            <w:noProof/>
            <w:webHidden/>
          </w:rPr>
          <w:instrText xml:space="preserve"> PAGEREF _Toc147502450 \h </w:instrText>
        </w:r>
        <w:r w:rsidR="000A6F99">
          <w:rPr>
            <w:noProof/>
            <w:webHidden/>
          </w:rPr>
        </w:r>
        <w:r w:rsidR="000A6F99">
          <w:rPr>
            <w:noProof/>
            <w:webHidden/>
          </w:rPr>
          <w:fldChar w:fldCharType="separate"/>
        </w:r>
        <w:r w:rsidR="000A6F99">
          <w:rPr>
            <w:noProof/>
            <w:webHidden/>
          </w:rPr>
          <w:t>4</w:t>
        </w:r>
        <w:r w:rsidR="000A6F99">
          <w:rPr>
            <w:noProof/>
            <w:webHidden/>
          </w:rPr>
          <w:fldChar w:fldCharType="end"/>
        </w:r>
      </w:hyperlink>
    </w:p>
    <w:p w14:paraId="34F338E3" w14:textId="74AFA467" w:rsidR="000A6F99" w:rsidRDefault="00000000">
      <w:pPr>
        <w:pStyle w:val="TOC2"/>
        <w:rPr>
          <w:rFonts w:asciiTheme="minorHAnsi" w:eastAsiaTheme="minorEastAsia" w:hAnsiTheme="minorHAnsi" w:cstheme="minorBidi"/>
          <w:noProof/>
          <w:kern w:val="2"/>
          <w:lang w:val="en-US"/>
          <w14:ligatures w14:val="standardContextual"/>
        </w:rPr>
      </w:pPr>
      <w:hyperlink w:anchor="_Toc147502451" w:history="1">
        <w:r w:rsidR="000A6F99" w:rsidRPr="00C22A65">
          <w:rPr>
            <w:rStyle w:val="Hyperlink"/>
            <w:noProof/>
          </w:rPr>
          <w:t>Geräte mit externen Antennen</w:t>
        </w:r>
        <w:r w:rsidR="000A6F99">
          <w:rPr>
            <w:noProof/>
            <w:webHidden/>
          </w:rPr>
          <w:tab/>
        </w:r>
        <w:r w:rsidR="000A6F99">
          <w:rPr>
            <w:noProof/>
            <w:webHidden/>
          </w:rPr>
          <w:fldChar w:fldCharType="begin"/>
        </w:r>
        <w:r w:rsidR="000A6F99">
          <w:rPr>
            <w:noProof/>
            <w:webHidden/>
          </w:rPr>
          <w:instrText xml:space="preserve"> PAGEREF _Toc147502451 \h </w:instrText>
        </w:r>
        <w:r w:rsidR="000A6F99">
          <w:rPr>
            <w:noProof/>
            <w:webHidden/>
          </w:rPr>
        </w:r>
        <w:r w:rsidR="000A6F99">
          <w:rPr>
            <w:noProof/>
            <w:webHidden/>
          </w:rPr>
          <w:fldChar w:fldCharType="separate"/>
        </w:r>
        <w:r w:rsidR="000A6F99">
          <w:rPr>
            <w:noProof/>
            <w:webHidden/>
          </w:rPr>
          <w:t>4</w:t>
        </w:r>
        <w:r w:rsidR="000A6F99">
          <w:rPr>
            <w:noProof/>
            <w:webHidden/>
          </w:rPr>
          <w:fldChar w:fldCharType="end"/>
        </w:r>
      </w:hyperlink>
    </w:p>
    <w:p w14:paraId="71DA3A46" w14:textId="6F19721B" w:rsidR="000A6F99" w:rsidRDefault="00000000">
      <w:pPr>
        <w:pStyle w:val="TOC1"/>
        <w:rPr>
          <w:rFonts w:asciiTheme="minorHAnsi" w:eastAsiaTheme="minorEastAsia" w:hAnsiTheme="minorHAnsi" w:cstheme="minorBidi"/>
          <w:noProof/>
          <w:kern w:val="2"/>
          <w:lang w:val="en-US"/>
          <w14:ligatures w14:val="standardContextual"/>
        </w:rPr>
      </w:pPr>
      <w:hyperlink w:anchor="_Toc147502452" w:history="1">
        <w:r w:rsidR="000A6F99" w:rsidRPr="00C22A65">
          <w:rPr>
            <w:rStyle w:val="Hyperlink"/>
            <w:noProof/>
          </w:rPr>
          <w:t>Rechtsvorschriften für den Betrieb in Europa (GB, UK und EU)</w:t>
        </w:r>
        <w:r w:rsidR="000A6F99">
          <w:rPr>
            <w:noProof/>
            <w:webHidden/>
          </w:rPr>
          <w:tab/>
        </w:r>
        <w:r w:rsidR="000A6F99">
          <w:rPr>
            <w:noProof/>
            <w:webHidden/>
          </w:rPr>
          <w:fldChar w:fldCharType="begin"/>
        </w:r>
        <w:r w:rsidR="000A6F99">
          <w:rPr>
            <w:noProof/>
            <w:webHidden/>
          </w:rPr>
          <w:instrText xml:space="preserve"> PAGEREF _Toc147502452 \h </w:instrText>
        </w:r>
        <w:r w:rsidR="000A6F99">
          <w:rPr>
            <w:noProof/>
            <w:webHidden/>
          </w:rPr>
        </w:r>
        <w:r w:rsidR="000A6F99">
          <w:rPr>
            <w:noProof/>
            <w:webHidden/>
          </w:rPr>
          <w:fldChar w:fldCharType="separate"/>
        </w:r>
        <w:r w:rsidR="000A6F99">
          <w:rPr>
            <w:noProof/>
            <w:webHidden/>
          </w:rPr>
          <w:t>8</w:t>
        </w:r>
        <w:r w:rsidR="000A6F99">
          <w:rPr>
            <w:noProof/>
            <w:webHidden/>
          </w:rPr>
          <w:fldChar w:fldCharType="end"/>
        </w:r>
      </w:hyperlink>
    </w:p>
    <w:p w14:paraId="5BFA7927" w14:textId="287AF3B8" w:rsidR="000A6F99" w:rsidRDefault="00000000">
      <w:pPr>
        <w:pStyle w:val="TOC2"/>
        <w:rPr>
          <w:rFonts w:asciiTheme="minorHAnsi" w:eastAsiaTheme="minorEastAsia" w:hAnsiTheme="minorHAnsi" w:cstheme="minorBidi"/>
          <w:noProof/>
          <w:kern w:val="2"/>
          <w:lang w:val="en-US"/>
          <w14:ligatures w14:val="standardContextual"/>
        </w:rPr>
      </w:pPr>
      <w:hyperlink w:anchor="_Toc147502453" w:history="1">
        <w:r w:rsidR="000A6F99" w:rsidRPr="00C22A65">
          <w:rPr>
            <w:rStyle w:val="Hyperlink"/>
            <w:noProof/>
          </w:rPr>
          <w:t>Einhaltung der Funkanlagenrichtlinie 2014/53/EU</w:t>
        </w:r>
        <w:r w:rsidR="000A6F99">
          <w:rPr>
            <w:noProof/>
            <w:webHidden/>
          </w:rPr>
          <w:tab/>
        </w:r>
        <w:r w:rsidR="000A6F99">
          <w:rPr>
            <w:noProof/>
            <w:webHidden/>
          </w:rPr>
          <w:fldChar w:fldCharType="begin"/>
        </w:r>
        <w:r w:rsidR="000A6F99">
          <w:rPr>
            <w:noProof/>
            <w:webHidden/>
          </w:rPr>
          <w:instrText xml:space="preserve"> PAGEREF _Toc147502453 \h </w:instrText>
        </w:r>
        <w:r w:rsidR="000A6F99">
          <w:rPr>
            <w:noProof/>
            <w:webHidden/>
          </w:rPr>
        </w:r>
        <w:r w:rsidR="000A6F99">
          <w:rPr>
            <w:noProof/>
            <w:webHidden/>
          </w:rPr>
          <w:fldChar w:fldCharType="separate"/>
        </w:r>
        <w:r w:rsidR="000A6F99">
          <w:rPr>
            <w:noProof/>
            <w:webHidden/>
          </w:rPr>
          <w:t>8</w:t>
        </w:r>
        <w:r w:rsidR="000A6F99">
          <w:rPr>
            <w:noProof/>
            <w:webHidden/>
          </w:rPr>
          <w:fldChar w:fldCharType="end"/>
        </w:r>
      </w:hyperlink>
    </w:p>
    <w:p w14:paraId="3306B266" w14:textId="0E74CD5D" w:rsidR="000A6F99" w:rsidRDefault="00000000">
      <w:pPr>
        <w:pStyle w:val="TOC3"/>
        <w:rPr>
          <w:rFonts w:asciiTheme="minorHAnsi" w:eastAsiaTheme="minorEastAsia" w:hAnsiTheme="minorHAnsi" w:cstheme="minorBidi"/>
          <w:noProof/>
          <w:kern w:val="2"/>
          <w:lang w:val="en-US"/>
          <w14:ligatures w14:val="standardContextual"/>
        </w:rPr>
      </w:pPr>
      <w:hyperlink w:anchor="_Toc147502454" w:history="1">
        <w:r w:rsidR="000A6F99" w:rsidRPr="00C22A65">
          <w:rPr>
            <w:rStyle w:val="Hyperlink"/>
            <w:noProof/>
          </w:rPr>
          <w:t>Hinweise zur Belastung durch Funkwellen</w:t>
        </w:r>
        <w:r w:rsidR="000A6F99">
          <w:rPr>
            <w:noProof/>
            <w:webHidden/>
          </w:rPr>
          <w:tab/>
        </w:r>
        <w:r w:rsidR="000A6F99">
          <w:rPr>
            <w:noProof/>
            <w:webHidden/>
          </w:rPr>
          <w:fldChar w:fldCharType="begin"/>
        </w:r>
        <w:r w:rsidR="000A6F99">
          <w:rPr>
            <w:noProof/>
            <w:webHidden/>
          </w:rPr>
          <w:instrText xml:space="preserve"> PAGEREF _Toc147502454 \h </w:instrText>
        </w:r>
        <w:r w:rsidR="000A6F99">
          <w:rPr>
            <w:noProof/>
            <w:webHidden/>
          </w:rPr>
        </w:r>
        <w:r w:rsidR="000A6F99">
          <w:rPr>
            <w:noProof/>
            <w:webHidden/>
          </w:rPr>
          <w:fldChar w:fldCharType="separate"/>
        </w:r>
        <w:r w:rsidR="000A6F99">
          <w:rPr>
            <w:noProof/>
            <w:webHidden/>
          </w:rPr>
          <w:t>9</w:t>
        </w:r>
        <w:r w:rsidR="000A6F99">
          <w:rPr>
            <w:noProof/>
            <w:webHidden/>
          </w:rPr>
          <w:fldChar w:fldCharType="end"/>
        </w:r>
      </w:hyperlink>
    </w:p>
    <w:p w14:paraId="22F6B5BE" w14:textId="5DBB4CE7" w:rsidR="000A6F99" w:rsidRDefault="00000000">
      <w:pPr>
        <w:pStyle w:val="TOC2"/>
        <w:rPr>
          <w:rFonts w:asciiTheme="minorHAnsi" w:eastAsiaTheme="minorEastAsia" w:hAnsiTheme="minorHAnsi" w:cstheme="minorBidi"/>
          <w:noProof/>
          <w:kern w:val="2"/>
          <w:lang w:val="en-US"/>
          <w14:ligatures w14:val="standardContextual"/>
        </w:rPr>
      </w:pPr>
      <w:hyperlink w:anchor="_Toc147502455" w:history="1">
        <w:r w:rsidR="000A6F99" w:rsidRPr="00C22A65">
          <w:rPr>
            <w:rStyle w:val="Hyperlink"/>
            <w:noProof/>
          </w:rPr>
          <w:t>Spezifische Sicherheitsvorkehrungen für EMC</w:t>
        </w:r>
        <w:r w:rsidR="000A6F99">
          <w:rPr>
            <w:noProof/>
            <w:webHidden/>
          </w:rPr>
          <w:tab/>
        </w:r>
        <w:r w:rsidR="000A6F99">
          <w:rPr>
            <w:noProof/>
            <w:webHidden/>
          </w:rPr>
          <w:fldChar w:fldCharType="begin"/>
        </w:r>
        <w:r w:rsidR="000A6F99">
          <w:rPr>
            <w:noProof/>
            <w:webHidden/>
          </w:rPr>
          <w:instrText xml:space="preserve"> PAGEREF _Toc147502455 \h </w:instrText>
        </w:r>
        <w:r w:rsidR="000A6F99">
          <w:rPr>
            <w:noProof/>
            <w:webHidden/>
          </w:rPr>
        </w:r>
        <w:r w:rsidR="000A6F99">
          <w:rPr>
            <w:noProof/>
            <w:webHidden/>
          </w:rPr>
          <w:fldChar w:fldCharType="separate"/>
        </w:r>
        <w:r w:rsidR="000A6F99">
          <w:rPr>
            <w:noProof/>
            <w:webHidden/>
          </w:rPr>
          <w:t>10</w:t>
        </w:r>
        <w:r w:rsidR="000A6F99">
          <w:rPr>
            <w:noProof/>
            <w:webHidden/>
          </w:rPr>
          <w:fldChar w:fldCharType="end"/>
        </w:r>
      </w:hyperlink>
    </w:p>
    <w:p w14:paraId="6DA706D3" w14:textId="3CCBA769" w:rsidR="000A6F99" w:rsidRDefault="00000000">
      <w:pPr>
        <w:pStyle w:val="TOC1"/>
        <w:rPr>
          <w:rFonts w:asciiTheme="minorHAnsi" w:eastAsiaTheme="minorEastAsia" w:hAnsiTheme="minorHAnsi" w:cstheme="minorBidi"/>
          <w:noProof/>
          <w:kern w:val="2"/>
          <w:lang w:val="en-US"/>
          <w14:ligatures w14:val="standardContextual"/>
        </w:rPr>
      </w:pPr>
      <w:hyperlink w:anchor="_Toc147502456" w:history="1">
        <w:r w:rsidR="000A6F99" w:rsidRPr="00C22A65">
          <w:rPr>
            <w:rStyle w:val="Hyperlink"/>
            <w:noProof/>
          </w:rPr>
          <w:t>Richtlinien der FCC für den Betrieb in den USA</w:t>
        </w:r>
        <w:r w:rsidR="000A6F99">
          <w:rPr>
            <w:noProof/>
            <w:webHidden/>
          </w:rPr>
          <w:tab/>
        </w:r>
        <w:r w:rsidR="000A6F99">
          <w:rPr>
            <w:noProof/>
            <w:webHidden/>
          </w:rPr>
          <w:fldChar w:fldCharType="begin"/>
        </w:r>
        <w:r w:rsidR="000A6F99">
          <w:rPr>
            <w:noProof/>
            <w:webHidden/>
          </w:rPr>
          <w:instrText xml:space="preserve"> PAGEREF _Toc147502456 \h </w:instrText>
        </w:r>
        <w:r w:rsidR="000A6F99">
          <w:rPr>
            <w:noProof/>
            <w:webHidden/>
          </w:rPr>
        </w:r>
        <w:r w:rsidR="000A6F99">
          <w:rPr>
            <w:noProof/>
            <w:webHidden/>
          </w:rPr>
          <w:fldChar w:fldCharType="separate"/>
        </w:r>
        <w:r w:rsidR="000A6F99">
          <w:rPr>
            <w:noProof/>
            <w:webHidden/>
          </w:rPr>
          <w:t>10</w:t>
        </w:r>
        <w:r w:rsidR="000A6F99">
          <w:rPr>
            <w:noProof/>
            <w:webHidden/>
          </w:rPr>
          <w:fldChar w:fldCharType="end"/>
        </w:r>
      </w:hyperlink>
    </w:p>
    <w:p w14:paraId="3BBDAD76" w14:textId="2BB17ABB" w:rsidR="000A6F99" w:rsidRDefault="00000000">
      <w:pPr>
        <w:pStyle w:val="TOC2"/>
        <w:rPr>
          <w:rFonts w:asciiTheme="minorHAnsi" w:eastAsiaTheme="minorEastAsia" w:hAnsiTheme="minorHAnsi" w:cstheme="minorBidi"/>
          <w:noProof/>
          <w:kern w:val="2"/>
          <w:lang w:val="en-US"/>
          <w14:ligatures w14:val="standardContextual"/>
        </w:rPr>
      </w:pPr>
      <w:hyperlink w:anchor="_Toc147502457" w:history="1">
        <w:r w:rsidR="000A6F99" w:rsidRPr="00C22A65">
          <w:rPr>
            <w:rStyle w:val="Hyperlink"/>
            <w:noProof/>
          </w:rPr>
          <w:t>FCC-Konformitätserklärung</w:t>
        </w:r>
        <w:r w:rsidR="000A6F99">
          <w:rPr>
            <w:noProof/>
            <w:webHidden/>
          </w:rPr>
          <w:tab/>
        </w:r>
        <w:r w:rsidR="000A6F99">
          <w:rPr>
            <w:noProof/>
            <w:webHidden/>
          </w:rPr>
          <w:fldChar w:fldCharType="begin"/>
        </w:r>
        <w:r w:rsidR="000A6F99">
          <w:rPr>
            <w:noProof/>
            <w:webHidden/>
          </w:rPr>
          <w:instrText xml:space="preserve"> PAGEREF _Toc147502457 \h </w:instrText>
        </w:r>
        <w:r w:rsidR="000A6F99">
          <w:rPr>
            <w:noProof/>
            <w:webHidden/>
          </w:rPr>
        </w:r>
        <w:r w:rsidR="000A6F99">
          <w:rPr>
            <w:noProof/>
            <w:webHidden/>
          </w:rPr>
          <w:fldChar w:fldCharType="separate"/>
        </w:r>
        <w:r w:rsidR="000A6F99">
          <w:rPr>
            <w:noProof/>
            <w:webHidden/>
          </w:rPr>
          <w:t>10</w:t>
        </w:r>
        <w:r w:rsidR="000A6F99">
          <w:rPr>
            <w:noProof/>
            <w:webHidden/>
          </w:rPr>
          <w:fldChar w:fldCharType="end"/>
        </w:r>
      </w:hyperlink>
    </w:p>
    <w:p w14:paraId="76B4556A" w14:textId="6FB675B9" w:rsidR="000A6F99" w:rsidRDefault="00000000">
      <w:pPr>
        <w:pStyle w:val="TOC2"/>
        <w:rPr>
          <w:rFonts w:asciiTheme="minorHAnsi" w:eastAsiaTheme="minorEastAsia" w:hAnsiTheme="minorHAnsi" w:cstheme="minorBidi"/>
          <w:noProof/>
          <w:kern w:val="2"/>
          <w:lang w:val="en-US"/>
          <w14:ligatures w14:val="standardContextual"/>
        </w:rPr>
      </w:pPr>
      <w:hyperlink w:anchor="_Toc147502458" w:history="1">
        <w:r w:rsidR="000A6F99" w:rsidRPr="00C22A65">
          <w:rPr>
            <w:rStyle w:val="Hyperlink"/>
            <w:noProof/>
          </w:rPr>
          <w:t>FCC-Informationen für den Benutzer</w:t>
        </w:r>
        <w:r w:rsidR="000A6F99">
          <w:rPr>
            <w:noProof/>
            <w:webHidden/>
          </w:rPr>
          <w:tab/>
        </w:r>
        <w:r w:rsidR="000A6F99">
          <w:rPr>
            <w:noProof/>
            <w:webHidden/>
          </w:rPr>
          <w:fldChar w:fldCharType="begin"/>
        </w:r>
        <w:r w:rsidR="000A6F99">
          <w:rPr>
            <w:noProof/>
            <w:webHidden/>
          </w:rPr>
          <w:instrText xml:space="preserve"> PAGEREF _Toc147502458 \h </w:instrText>
        </w:r>
        <w:r w:rsidR="000A6F99">
          <w:rPr>
            <w:noProof/>
            <w:webHidden/>
          </w:rPr>
        </w:r>
        <w:r w:rsidR="000A6F99">
          <w:rPr>
            <w:noProof/>
            <w:webHidden/>
          </w:rPr>
          <w:fldChar w:fldCharType="separate"/>
        </w:r>
        <w:r w:rsidR="000A6F99">
          <w:rPr>
            <w:noProof/>
            <w:webHidden/>
          </w:rPr>
          <w:t>11</w:t>
        </w:r>
        <w:r w:rsidR="000A6F99">
          <w:rPr>
            <w:noProof/>
            <w:webHidden/>
          </w:rPr>
          <w:fldChar w:fldCharType="end"/>
        </w:r>
      </w:hyperlink>
    </w:p>
    <w:p w14:paraId="7F3DC3A2" w14:textId="13C2F118" w:rsidR="000A6F99" w:rsidRDefault="00000000">
      <w:pPr>
        <w:pStyle w:val="TOC2"/>
        <w:rPr>
          <w:rFonts w:asciiTheme="minorHAnsi" w:eastAsiaTheme="minorEastAsia" w:hAnsiTheme="minorHAnsi" w:cstheme="minorBidi"/>
          <w:noProof/>
          <w:kern w:val="2"/>
          <w:lang w:val="en-US"/>
          <w14:ligatures w14:val="standardContextual"/>
        </w:rPr>
      </w:pPr>
      <w:hyperlink w:anchor="_Toc147502459" w:history="1">
        <w:r w:rsidR="000A6F99" w:rsidRPr="00C22A65">
          <w:rPr>
            <w:rStyle w:val="Hyperlink"/>
            <w:noProof/>
          </w:rPr>
          <w:t>FCC-Warnungen und -Hinweise für Funkfrequenzen</w:t>
        </w:r>
        <w:r w:rsidR="000A6F99">
          <w:rPr>
            <w:noProof/>
            <w:webHidden/>
          </w:rPr>
          <w:tab/>
        </w:r>
        <w:r w:rsidR="000A6F99">
          <w:rPr>
            <w:noProof/>
            <w:webHidden/>
          </w:rPr>
          <w:fldChar w:fldCharType="begin"/>
        </w:r>
        <w:r w:rsidR="000A6F99">
          <w:rPr>
            <w:noProof/>
            <w:webHidden/>
          </w:rPr>
          <w:instrText xml:space="preserve"> PAGEREF _Toc147502459 \h </w:instrText>
        </w:r>
        <w:r w:rsidR="000A6F99">
          <w:rPr>
            <w:noProof/>
            <w:webHidden/>
          </w:rPr>
        </w:r>
        <w:r w:rsidR="000A6F99">
          <w:rPr>
            <w:noProof/>
            <w:webHidden/>
          </w:rPr>
          <w:fldChar w:fldCharType="separate"/>
        </w:r>
        <w:r w:rsidR="000A6F99">
          <w:rPr>
            <w:noProof/>
            <w:webHidden/>
          </w:rPr>
          <w:t>11</w:t>
        </w:r>
        <w:r w:rsidR="000A6F99">
          <w:rPr>
            <w:noProof/>
            <w:webHidden/>
          </w:rPr>
          <w:fldChar w:fldCharType="end"/>
        </w:r>
      </w:hyperlink>
    </w:p>
    <w:p w14:paraId="7F870F11" w14:textId="641798A5" w:rsidR="000A6F99" w:rsidRDefault="00000000">
      <w:pPr>
        <w:pStyle w:val="TOC3"/>
        <w:rPr>
          <w:rFonts w:asciiTheme="minorHAnsi" w:eastAsiaTheme="minorEastAsia" w:hAnsiTheme="minorHAnsi" w:cstheme="minorBidi"/>
          <w:noProof/>
          <w:kern w:val="2"/>
          <w:lang w:val="en-US"/>
          <w14:ligatures w14:val="standardContextual"/>
        </w:rPr>
      </w:pPr>
      <w:hyperlink w:anchor="_Toc147502460" w:history="1">
        <w:r w:rsidR="000A6F99" w:rsidRPr="00C22A65">
          <w:rPr>
            <w:rStyle w:val="Hyperlink"/>
            <w:noProof/>
          </w:rPr>
          <w:t>Ländercodeauswahl für die Verwendung (WLAN-Geräte)</w:t>
        </w:r>
        <w:r w:rsidR="000A6F99">
          <w:rPr>
            <w:noProof/>
            <w:webHidden/>
          </w:rPr>
          <w:tab/>
        </w:r>
        <w:r w:rsidR="000A6F99">
          <w:rPr>
            <w:noProof/>
            <w:webHidden/>
          </w:rPr>
          <w:fldChar w:fldCharType="begin"/>
        </w:r>
        <w:r w:rsidR="000A6F99">
          <w:rPr>
            <w:noProof/>
            <w:webHidden/>
          </w:rPr>
          <w:instrText xml:space="preserve"> PAGEREF _Toc147502460 \h </w:instrText>
        </w:r>
        <w:r w:rsidR="000A6F99">
          <w:rPr>
            <w:noProof/>
            <w:webHidden/>
          </w:rPr>
        </w:r>
        <w:r w:rsidR="000A6F99">
          <w:rPr>
            <w:noProof/>
            <w:webHidden/>
          </w:rPr>
          <w:fldChar w:fldCharType="separate"/>
        </w:r>
        <w:r w:rsidR="000A6F99">
          <w:rPr>
            <w:noProof/>
            <w:webHidden/>
          </w:rPr>
          <w:t>11</w:t>
        </w:r>
        <w:r w:rsidR="000A6F99">
          <w:rPr>
            <w:noProof/>
            <w:webHidden/>
          </w:rPr>
          <w:fldChar w:fldCharType="end"/>
        </w:r>
      </w:hyperlink>
    </w:p>
    <w:p w14:paraId="7B59EAB2" w14:textId="72D8BF6F" w:rsidR="000A6F99" w:rsidRDefault="00000000">
      <w:pPr>
        <w:pStyle w:val="TOC3"/>
        <w:rPr>
          <w:rFonts w:asciiTheme="minorHAnsi" w:eastAsiaTheme="minorEastAsia" w:hAnsiTheme="minorHAnsi" w:cstheme="minorBidi"/>
          <w:noProof/>
          <w:kern w:val="2"/>
          <w:lang w:val="en-US"/>
          <w14:ligatures w14:val="standardContextual"/>
        </w:rPr>
      </w:pPr>
      <w:hyperlink w:anchor="_Toc147502461" w:history="1">
        <w:r w:rsidR="000A6F99" w:rsidRPr="00C22A65">
          <w:rPr>
            <w:rStyle w:val="Hyperlink"/>
            <w:noProof/>
          </w:rPr>
          <w:t>5,9- und 6-GHz-WLAN-Geräte</w:t>
        </w:r>
        <w:r w:rsidR="000A6F99">
          <w:rPr>
            <w:noProof/>
            <w:webHidden/>
          </w:rPr>
          <w:tab/>
        </w:r>
        <w:r w:rsidR="000A6F99">
          <w:rPr>
            <w:noProof/>
            <w:webHidden/>
          </w:rPr>
          <w:fldChar w:fldCharType="begin"/>
        </w:r>
        <w:r w:rsidR="000A6F99">
          <w:rPr>
            <w:noProof/>
            <w:webHidden/>
          </w:rPr>
          <w:instrText xml:space="preserve"> PAGEREF _Toc147502461 \h </w:instrText>
        </w:r>
        <w:r w:rsidR="000A6F99">
          <w:rPr>
            <w:noProof/>
            <w:webHidden/>
          </w:rPr>
        </w:r>
        <w:r w:rsidR="000A6F99">
          <w:rPr>
            <w:noProof/>
            <w:webHidden/>
          </w:rPr>
          <w:fldChar w:fldCharType="separate"/>
        </w:r>
        <w:r w:rsidR="000A6F99">
          <w:rPr>
            <w:noProof/>
            <w:webHidden/>
          </w:rPr>
          <w:t>11</w:t>
        </w:r>
        <w:r w:rsidR="000A6F99">
          <w:rPr>
            <w:noProof/>
            <w:webHidden/>
          </w:rPr>
          <w:fldChar w:fldCharType="end"/>
        </w:r>
      </w:hyperlink>
    </w:p>
    <w:p w14:paraId="438DA1AE" w14:textId="30901FAC" w:rsidR="000A6F99" w:rsidRDefault="00000000">
      <w:pPr>
        <w:pStyle w:val="TOC2"/>
        <w:rPr>
          <w:rFonts w:asciiTheme="minorHAnsi" w:eastAsiaTheme="minorEastAsia" w:hAnsiTheme="minorHAnsi" w:cstheme="minorBidi"/>
          <w:noProof/>
          <w:kern w:val="2"/>
          <w:lang w:val="en-US"/>
          <w14:ligatures w14:val="standardContextual"/>
        </w:rPr>
      </w:pPr>
      <w:hyperlink w:anchor="_Toc147502462" w:history="1">
        <w:r w:rsidR="000A6F99" w:rsidRPr="00C22A65">
          <w:rPr>
            <w:rStyle w:val="Hyperlink"/>
            <w:noProof/>
          </w:rPr>
          <w:t>FCC-Erklärung zur HF-Belastung und SAR</w:t>
        </w:r>
        <w:r w:rsidR="000A6F99">
          <w:rPr>
            <w:noProof/>
            <w:webHidden/>
          </w:rPr>
          <w:tab/>
        </w:r>
        <w:r w:rsidR="000A6F99">
          <w:rPr>
            <w:noProof/>
            <w:webHidden/>
          </w:rPr>
          <w:fldChar w:fldCharType="begin"/>
        </w:r>
        <w:r w:rsidR="000A6F99">
          <w:rPr>
            <w:noProof/>
            <w:webHidden/>
          </w:rPr>
          <w:instrText xml:space="preserve"> PAGEREF _Toc147502462 \h </w:instrText>
        </w:r>
        <w:r w:rsidR="000A6F99">
          <w:rPr>
            <w:noProof/>
            <w:webHidden/>
          </w:rPr>
        </w:r>
        <w:r w:rsidR="000A6F99">
          <w:rPr>
            <w:noProof/>
            <w:webHidden/>
          </w:rPr>
          <w:fldChar w:fldCharType="separate"/>
        </w:r>
        <w:r w:rsidR="000A6F99">
          <w:rPr>
            <w:noProof/>
            <w:webHidden/>
          </w:rPr>
          <w:t>11</w:t>
        </w:r>
        <w:r w:rsidR="000A6F99">
          <w:rPr>
            <w:noProof/>
            <w:webHidden/>
          </w:rPr>
          <w:fldChar w:fldCharType="end"/>
        </w:r>
      </w:hyperlink>
    </w:p>
    <w:p w14:paraId="2B806328" w14:textId="39D77171" w:rsidR="000A6F99" w:rsidRDefault="00000000">
      <w:pPr>
        <w:pStyle w:val="TOC3"/>
        <w:rPr>
          <w:rFonts w:asciiTheme="minorHAnsi" w:eastAsiaTheme="minorEastAsia" w:hAnsiTheme="minorHAnsi" w:cstheme="minorBidi"/>
          <w:noProof/>
          <w:kern w:val="2"/>
          <w:lang w:val="en-US"/>
          <w14:ligatures w14:val="standardContextual"/>
        </w:rPr>
      </w:pPr>
      <w:hyperlink w:anchor="_Toc147502463" w:history="1">
        <w:r w:rsidR="000A6F99" w:rsidRPr="00C22A65">
          <w:rPr>
            <w:rStyle w:val="Hyperlink"/>
            <w:noProof/>
          </w:rPr>
          <w:t>Die Informationen in diesem Abschnitt gelten für Produkte, die Daten übertragen oder drahtlos kommunizieren – SAR-Erklärung</w:t>
        </w:r>
        <w:r w:rsidR="000A6F99">
          <w:rPr>
            <w:noProof/>
            <w:webHidden/>
          </w:rPr>
          <w:tab/>
        </w:r>
        <w:r w:rsidR="000A6F99">
          <w:rPr>
            <w:noProof/>
            <w:webHidden/>
          </w:rPr>
          <w:fldChar w:fldCharType="begin"/>
        </w:r>
        <w:r w:rsidR="000A6F99">
          <w:rPr>
            <w:noProof/>
            <w:webHidden/>
          </w:rPr>
          <w:instrText xml:space="preserve"> PAGEREF _Toc147502463 \h </w:instrText>
        </w:r>
        <w:r w:rsidR="000A6F99">
          <w:rPr>
            <w:noProof/>
            <w:webHidden/>
          </w:rPr>
        </w:r>
        <w:r w:rsidR="000A6F99">
          <w:rPr>
            <w:noProof/>
            <w:webHidden/>
          </w:rPr>
          <w:fldChar w:fldCharType="separate"/>
        </w:r>
        <w:r w:rsidR="000A6F99">
          <w:rPr>
            <w:noProof/>
            <w:webHidden/>
          </w:rPr>
          <w:t>11</w:t>
        </w:r>
        <w:r w:rsidR="000A6F99">
          <w:rPr>
            <w:noProof/>
            <w:webHidden/>
          </w:rPr>
          <w:fldChar w:fldCharType="end"/>
        </w:r>
      </w:hyperlink>
    </w:p>
    <w:p w14:paraId="7768D24A" w14:textId="76A574FE" w:rsidR="000A6F99" w:rsidRDefault="00000000">
      <w:pPr>
        <w:pStyle w:val="TOC3"/>
        <w:rPr>
          <w:rFonts w:asciiTheme="minorHAnsi" w:eastAsiaTheme="minorEastAsia" w:hAnsiTheme="minorHAnsi" w:cstheme="minorBidi"/>
          <w:noProof/>
          <w:kern w:val="2"/>
          <w:lang w:val="en-US"/>
          <w14:ligatures w14:val="standardContextual"/>
        </w:rPr>
      </w:pPr>
      <w:hyperlink w:anchor="_Toc147502464" w:history="1">
        <w:r w:rsidR="000A6F99" w:rsidRPr="00C22A65">
          <w:rPr>
            <w:rStyle w:val="Hyperlink"/>
            <w:noProof/>
          </w:rPr>
          <w:t>Erklärung zur Maximal zulässigen Exposition (MPE-Erklärung):</w:t>
        </w:r>
        <w:r w:rsidR="000A6F99">
          <w:rPr>
            <w:noProof/>
            <w:webHidden/>
          </w:rPr>
          <w:tab/>
        </w:r>
        <w:r w:rsidR="000A6F99">
          <w:rPr>
            <w:noProof/>
            <w:webHidden/>
          </w:rPr>
          <w:fldChar w:fldCharType="begin"/>
        </w:r>
        <w:r w:rsidR="000A6F99">
          <w:rPr>
            <w:noProof/>
            <w:webHidden/>
          </w:rPr>
          <w:instrText xml:space="preserve"> PAGEREF _Toc147502464 \h </w:instrText>
        </w:r>
        <w:r w:rsidR="000A6F99">
          <w:rPr>
            <w:noProof/>
            <w:webHidden/>
          </w:rPr>
        </w:r>
        <w:r w:rsidR="000A6F99">
          <w:rPr>
            <w:noProof/>
            <w:webHidden/>
          </w:rPr>
          <w:fldChar w:fldCharType="separate"/>
        </w:r>
        <w:r w:rsidR="000A6F99">
          <w:rPr>
            <w:noProof/>
            <w:webHidden/>
          </w:rPr>
          <w:t>13</w:t>
        </w:r>
        <w:r w:rsidR="000A6F99">
          <w:rPr>
            <w:noProof/>
            <w:webHidden/>
          </w:rPr>
          <w:fldChar w:fldCharType="end"/>
        </w:r>
      </w:hyperlink>
    </w:p>
    <w:p w14:paraId="0B585C25" w14:textId="31C39206" w:rsidR="000A6F99" w:rsidRDefault="00000000">
      <w:pPr>
        <w:pStyle w:val="TOC2"/>
        <w:rPr>
          <w:rFonts w:asciiTheme="minorHAnsi" w:eastAsiaTheme="minorEastAsia" w:hAnsiTheme="minorHAnsi" w:cstheme="minorBidi"/>
          <w:noProof/>
          <w:kern w:val="2"/>
          <w:lang w:val="en-US"/>
          <w14:ligatures w14:val="standardContextual"/>
        </w:rPr>
      </w:pPr>
      <w:hyperlink w:anchor="_Toc147502465" w:history="1">
        <w:r w:rsidR="000A6F99" w:rsidRPr="00C22A65">
          <w:rPr>
            <w:rStyle w:val="Hyperlink"/>
            <w:noProof/>
          </w:rPr>
          <w:t>Spezifische Sicherheitsvorkehrungen für EMC</w:t>
        </w:r>
        <w:r w:rsidR="000A6F99">
          <w:rPr>
            <w:noProof/>
            <w:webHidden/>
          </w:rPr>
          <w:tab/>
        </w:r>
        <w:r w:rsidR="000A6F99">
          <w:rPr>
            <w:noProof/>
            <w:webHidden/>
          </w:rPr>
          <w:fldChar w:fldCharType="begin"/>
        </w:r>
        <w:r w:rsidR="000A6F99">
          <w:rPr>
            <w:noProof/>
            <w:webHidden/>
          </w:rPr>
          <w:instrText xml:space="preserve"> PAGEREF _Toc147502465 \h </w:instrText>
        </w:r>
        <w:r w:rsidR="000A6F99">
          <w:rPr>
            <w:noProof/>
            <w:webHidden/>
          </w:rPr>
        </w:r>
        <w:r w:rsidR="000A6F99">
          <w:rPr>
            <w:noProof/>
            <w:webHidden/>
          </w:rPr>
          <w:fldChar w:fldCharType="separate"/>
        </w:r>
        <w:r w:rsidR="000A6F99">
          <w:rPr>
            <w:noProof/>
            <w:webHidden/>
          </w:rPr>
          <w:t>13</w:t>
        </w:r>
        <w:r w:rsidR="000A6F99">
          <w:rPr>
            <w:noProof/>
            <w:webHidden/>
          </w:rPr>
          <w:fldChar w:fldCharType="end"/>
        </w:r>
      </w:hyperlink>
    </w:p>
    <w:p w14:paraId="57D3A346" w14:textId="14A5B444" w:rsidR="000A6F99" w:rsidRDefault="00000000">
      <w:pPr>
        <w:pStyle w:val="TOC3"/>
        <w:rPr>
          <w:rFonts w:asciiTheme="minorHAnsi" w:eastAsiaTheme="minorEastAsia" w:hAnsiTheme="minorHAnsi" w:cstheme="minorBidi"/>
          <w:noProof/>
          <w:kern w:val="2"/>
          <w:lang w:val="en-US"/>
          <w14:ligatures w14:val="standardContextual"/>
        </w:rPr>
      </w:pPr>
      <w:hyperlink w:anchor="_Toc147502466" w:history="1">
        <w:r w:rsidR="000A6F99" w:rsidRPr="00C22A65">
          <w:rPr>
            <w:rStyle w:val="Hyperlink"/>
            <w:noProof/>
          </w:rPr>
          <w:t>Produkte der Klasse B</w:t>
        </w:r>
        <w:r w:rsidR="000A6F99">
          <w:rPr>
            <w:noProof/>
            <w:webHidden/>
          </w:rPr>
          <w:tab/>
        </w:r>
        <w:r w:rsidR="000A6F99">
          <w:rPr>
            <w:noProof/>
            <w:webHidden/>
          </w:rPr>
          <w:fldChar w:fldCharType="begin"/>
        </w:r>
        <w:r w:rsidR="000A6F99">
          <w:rPr>
            <w:noProof/>
            <w:webHidden/>
          </w:rPr>
          <w:instrText xml:space="preserve"> PAGEREF _Toc147502466 \h </w:instrText>
        </w:r>
        <w:r w:rsidR="000A6F99">
          <w:rPr>
            <w:noProof/>
            <w:webHidden/>
          </w:rPr>
        </w:r>
        <w:r w:rsidR="000A6F99">
          <w:rPr>
            <w:noProof/>
            <w:webHidden/>
          </w:rPr>
          <w:fldChar w:fldCharType="separate"/>
        </w:r>
        <w:r w:rsidR="000A6F99">
          <w:rPr>
            <w:noProof/>
            <w:webHidden/>
          </w:rPr>
          <w:t>13</w:t>
        </w:r>
        <w:r w:rsidR="000A6F99">
          <w:rPr>
            <w:noProof/>
            <w:webHidden/>
          </w:rPr>
          <w:fldChar w:fldCharType="end"/>
        </w:r>
      </w:hyperlink>
    </w:p>
    <w:p w14:paraId="6D2B983B" w14:textId="29AFDC4D" w:rsidR="000A6F99" w:rsidRDefault="00000000">
      <w:pPr>
        <w:pStyle w:val="TOC3"/>
        <w:rPr>
          <w:rFonts w:asciiTheme="minorHAnsi" w:eastAsiaTheme="minorEastAsia" w:hAnsiTheme="minorHAnsi" w:cstheme="minorBidi"/>
          <w:noProof/>
          <w:kern w:val="2"/>
          <w:lang w:val="en-US"/>
          <w14:ligatures w14:val="standardContextual"/>
        </w:rPr>
      </w:pPr>
      <w:hyperlink w:anchor="_Toc147502467" w:history="1">
        <w:r w:rsidR="000A6F99" w:rsidRPr="00C22A65">
          <w:rPr>
            <w:rStyle w:val="Hyperlink"/>
            <w:noProof/>
          </w:rPr>
          <w:t>Produkte der Klasse A</w:t>
        </w:r>
        <w:r w:rsidR="000A6F99">
          <w:rPr>
            <w:noProof/>
            <w:webHidden/>
          </w:rPr>
          <w:tab/>
        </w:r>
        <w:r w:rsidR="000A6F99">
          <w:rPr>
            <w:noProof/>
            <w:webHidden/>
          </w:rPr>
          <w:fldChar w:fldCharType="begin"/>
        </w:r>
        <w:r w:rsidR="000A6F99">
          <w:rPr>
            <w:noProof/>
            <w:webHidden/>
          </w:rPr>
          <w:instrText xml:space="preserve"> PAGEREF _Toc147502467 \h </w:instrText>
        </w:r>
        <w:r w:rsidR="000A6F99">
          <w:rPr>
            <w:noProof/>
            <w:webHidden/>
          </w:rPr>
        </w:r>
        <w:r w:rsidR="000A6F99">
          <w:rPr>
            <w:noProof/>
            <w:webHidden/>
          </w:rPr>
          <w:fldChar w:fldCharType="separate"/>
        </w:r>
        <w:r w:rsidR="000A6F99">
          <w:rPr>
            <w:noProof/>
            <w:webHidden/>
          </w:rPr>
          <w:t>13</w:t>
        </w:r>
        <w:r w:rsidR="000A6F99">
          <w:rPr>
            <w:noProof/>
            <w:webHidden/>
          </w:rPr>
          <w:fldChar w:fldCharType="end"/>
        </w:r>
      </w:hyperlink>
    </w:p>
    <w:p w14:paraId="3C7C0D8A" w14:textId="4041B49E" w:rsidR="000A6F99" w:rsidRDefault="00000000">
      <w:pPr>
        <w:pStyle w:val="TOC1"/>
        <w:rPr>
          <w:rFonts w:asciiTheme="minorHAnsi" w:eastAsiaTheme="minorEastAsia" w:hAnsiTheme="minorHAnsi" w:cstheme="minorBidi"/>
          <w:noProof/>
          <w:kern w:val="2"/>
          <w:lang w:val="en-US"/>
          <w14:ligatures w14:val="standardContextual"/>
        </w:rPr>
      </w:pPr>
      <w:hyperlink w:anchor="_Toc147502468" w:history="1">
        <w:r w:rsidR="000A6F99" w:rsidRPr="00C22A65">
          <w:rPr>
            <w:rStyle w:val="Hyperlink"/>
            <w:noProof/>
            <w:lang w:val="en-IN"/>
          </w:rPr>
          <w:t>Innovation, Science and Economic Development Canada (ISED)-Verordnungen</w:t>
        </w:r>
        <w:r w:rsidR="000A6F99">
          <w:rPr>
            <w:noProof/>
            <w:webHidden/>
          </w:rPr>
          <w:tab/>
        </w:r>
        <w:r w:rsidR="000A6F99">
          <w:rPr>
            <w:noProof/>
            <w:webHidden/>
          </w:rPr>
          <w:fldChar w:fldCharType="begin"/>
        </w:r>
        <w:r w:rsidR="000A6F99">
          <w:rPr>
            <w:noProof/>
            <w:webHidden/>
          </w:rPr>
          <w:instrText xml:space="preserve"> PAGEREF _Toc147502468 \h </w:instrText>
        </w:r>
        <w:r w:rsidR="000A6F99">
          <w:rPr>
            <w:noProof/>
            <w:webHidden/>
          </w:rPr>
        </w:r>
        <w:r w:rsidR="000A6F99">
          <w:rPr>
            <w:noProof/>
            <w:webHidden/>
          </w:rPr>
          <w:fldChar w:fldCharType="separate"/>
        </w:r>
        <w:r w:rsidR="000A6F99">
          <w:rPr>
            <w:noProof/>
            <w:webHidden/>
          </w:rPr>
          <w:t>14</w:t>
        </w:r>
        <w:r w:rsidR="000A6F99">
          <w:rPr>
            <w:noProof/>
            <w:webHidden/>
          </w:rPr>
          <w:fldChar w:fldCharType="end"/>
        </w:r>
      </w:hyperlink>
    </w:p>
    <w:p w14:paraId="7E203594" w14:textId="563E5EE7" w:rsidR="000A6F99" w:rsidRDefault="00000000">
      <w:pPr>
        <w:pStyle w:val="TOC2"/>
        <w:rPr>
          <w:rFonts w:asciiTheme="minorHAnsi" w:eastAsiaTheme="minorEastAsia" w:hAnsiTheme="minorHAnsi" w:cstheme="minorBidi"/>
          <w:noProof/>
          <w:kern w:val="2"/>
          <w:lang w:val="en-US"/>
          <w14:ligatures w14:val="standardContextual"/>
        </w:rPr>
      </w:pPr>
      <w:hyperlink w:anchor="_Toc147502469" w:history="1">
        <w:r w:rsidR="000A6F99" w:rsidRPr="00C22A65">
          <w:rPr>
            <w:rStyle w:val="Hyperlink"/>
            <w:noProof/>
          </w:rPr>
          <w:t>Warnungen und Hinweise für Funkfrequenzen</w:t>
        </w:r>
        <w:r w:rsidR="000A6F99">
          <w:rPr>
            <w:noProof/>
            <w:webHidden/>
          </w:rPr>
          <w:tab/>
        </w:r>
        <w:r w:rsidR="000A6F99">
          <w:rPr>
            <w:noProof/>
            <w:webHidden/>
          </w:rPr>
          <w:fldChar w:fldCharType="begin"/>
        </w:r>
        <w:r w:rsidR="000A6F99">
          <w:rPr>
            <w:noProof/>
            <w:webHidden/>
          </w:rPr>
          <w:instrText xml:space="preserve"> PAGEREF _Toc147502469 \h </w:instrText>
        </w:r>
        <w:r w:rsidR="000A6F99">
          <w:rPr>
            <w:noProof/>
            <w:webHidden/>
          </w:rPr>
        </w:r>
        <w:r w:rsidR="000A6F99">
          <w:rPr>
            <w:noProof/>
            <w:webHidden/>
          </w:rPr>
          <w:fldChar w:fldCharType="separate"/>
        </w:r>
        <w:r w:rsidR="000A6F99">
          <w:rPr>
            <w:noProof/>
            <w:webHidden/>
          </w:rPr>
          <w:t>14</w:t>
        </w:r>
        <w:r w:rsidR="000A6F99">
          <w:rPr>
            <w:noProof/>
            <w:webHidden/>
          </w:rPr>
          <w:fldChar w:fldCharType="end"/>
        </w:r>
      </w:hyperlink>
    </w:p>
    <w:p w14:paraId="34B475CA" w14:textId="024785DE" w:rsidR="000A6F99" w:rsidRDefault="00000000">
      <w:pPr>
        <w:pStyle w:val="TOC2"/>
        <w:rPr>
          <w:rFonts w:asciiTheme="minorHAnsi" w:eastAsiaTheme="minorEastAsia" w:hAnsiTheme="minorHAnsi" w:cstheme="minorBidi"/>
          <w:noProof/>
          <w:kern w:val="2"/>
          <w:lang w:val="en-US"/>
          <w14:ligatures w14:val="standardContextual"/>
        </w:rPr>
      </w:pPr>
      <w:hyperlink w:anchor="_Toc147502470" w:history="1">
        <w:r w:rsidR="000A6F99" w:rsidRPr="00C22A65">
          <w:rPr>
            <w:rStyle w:val="Hyperlink"/>
            <w:noProof/>
          </w:rPr>
          <w:t>WICHTER HINWEIS: Erklärung zur Strahlenbelastung:</w:t>
        </w:r>
        <w:r w:rsidR="000A6F99">
          <w:rPr>
            <w:noProof/>
            <w:webHidden/>
          </w:rPr>
          <w:tab/>
        </w:r>
        <w:r w:rsidR="000A6F99">
          <w:rPr>
            <w:noProof/>
            <w:webHidden/>
          </w:rPr>
          <w:fldChar w:fldCharType="begin"/>
        </w:r>
        <w:r w:rsidR="000A6F99">
          <w:rPr>
            <w:noProof/>
            <w:webHidden/>
          </w:rPr>
          <w:instrText xml:space="preserve"> PAGEREF _Toc147502470 \h </w:instrText>
        </w:r>
        <w:r w:rsidR="000A6F99">
          <w:rPr>
            <w:noProof/>
            <w:webHidden/>
          </w:rPr>
        </w:r>
        <w:r w:rsidR="000A6F99">
          <w:rPr>
            <w:noProof/>
            <w:webHidden/>
          </w:rPr>
          <w:fldChar w:fldCharType="separate"/>
        </w:r>
        <w:r w:rsidR="000A6F99">
          <w:rPr>
            <w:noProof/>
            <w:webHidden/>
          </w:rPr>
          <w:t>15</w:t>
        </w:r>
        <w:r w:rsidR="000A6F99">
          <w:rPr>
            <w:noProof/>
            <w:webHidden/>
          </w:rPr>
          <w:fldChar w:fldCharType="end"/>
        </w:r>
      </w:hyperlink>
    </w:p>
    <w:p w14:paraId="0A178627" w14:textId="36480B1D" w:rsidR="000A6F99" w:rsidRDefault="00000000">
      <w:pPr>
        <w:pStyle w:val="TOC3"/>
        <w:rPr>
          <w:rFonts w:asciiTheme="minorHAnsi" w:eastAsiaTheme="minorEastAsia" w:hAnsiTheme="minorHAnsi" w:cstheme="minorBidi"/>
          <w:noProof/>
          <w:kern w:val="2"/>
          <w:lang w:val="en-US"/>
          <w14:ligatures w14:val="standardContextual"/>
        </w:rPr>
      </w:pPr>
      <w:hyperlink w:anchor="_Toc147502471" w:history="1">
        <w:r w:rsidR="000A6F99" w:rsidRPr="00C22A65">
          <w:rPr>
            <w:rStyle w:val="Hyperlink"/>
            <w:noProof/>
          </w:rPr>
          <w:t>SAR-Warnhinweis:</w:t>
        </w:r>
        <w:r w:rsidR="000A6F99">
          <w:rPr>
            <w:noProof/>
            <w:webHidden/>
          </w:rPr>
          <w:tab/>
        </w:r>
        <w:r w:rsidR="000A6F99">
          <w:rPr>
            <w:noProof/>
            <w:webHidden/>
          </w:rPr>
          <w:fldChar w:fldCharType="begin"/>
        </w:r>
        <w:r w:rsidR="000A6F99">
          <w:rPr>
            <w:noProof/>
            <w:webHidden/>
          </w:rPr>
          <w:instrText xml:space="preserve"> PAGEREF _Toc147502471 \h </w:instrText>
        </w:r>
        <w:r w:rsidR="000A6F99">
          <w:rPr>
            <w:noProof/>
            <w:webHidden/>
          </w:rPr>
        </w:r>
        <w:r w:rsidR="000A6F99">
          <w:rPr>
            <w:noProof/>
            <w:webHidden/>
          </w:rPr>
          <w:fldChar w:fldCharType="separate"/>
        </w:r>
        <w:r w:rsidR="000A6F99">
          <w:rPr>
            <w:noProof/>
            <w:webHidden/>
          </w:rPr>
          <w:t>15</w:t>
        </w:r>
        <w:r w:rsidR="000A6F99">
          <w:rPr>
            <w:noProof/>
            <w:webHidden/>
          </w:rPr>
          <w:fldChar w:fldCharType="end"/>
        </w:r>
      </w:hyperlink>
    </w:p>
    <w:p w14:paraId="43822962" w14:textId="3EE0CC62" w:rsidR="000A6F99" w:rsidRDefault="00000000">
      <w:pPr>
        <w:pStyle w:val="TOC3"/>
        <w:rPr>
          <w:rFonts w:asciiTheme="minorHAnsi" w:eastAsiaTheme="minorEastAsia" w:hAnsiTheme="minorHAnsi" w:cstheme="minorBidi"/>
          <w:noProof/>
          <w:kern w:val="2"/>
          <w:lang w:val="en-US"/>
          <w14:ligatures w14:val="standardContextual"/>
        </w:rPr>
      </w:pPr>
      <w:hyperlink w:anchor="_Toc147502472" w:history="1">
        <w:r w:rsidR="000A6F99" w:rsidRPr="00C22A65">
          <w:rPr>
            <w:rStyle w:val="Hyperlink"/>
            <w:noProof/>
          </w:rPr>
          <w:t>Erklärung zur Maximal zulässigen Exposition (MPE-Erklärung):</w:t>
        </w:r>
        <w:r w:rsidR="000A6F99">
          <w:rPr>
            <w:noProof/>
            <w:webHidden/>
          </w:rPr>
          <w:tab/>
        </w:r>
        <w:r w:rsidR="000A6F99">
          <w:rPr>
            <w:noProof/>
            <w:webHidden/>
          </w:rPr>
          <w:fldChar w:fldCharType="begin"/>
        </w:r>
        <w:r w:rsidR="000A6F99">
          <w:rPr>
            <w:noProof/>
            <w:webHidden/>
          </w:rPr>
          <w:instrText xml:space="preserve"> PAGEREF _Toc147502472 \h </w:instrText>
        </w:r>
        <w:r w:rsidR="000A6F99">
          <w:rPr>
            <w:noProof/>
            <w:webHidden/>
          </w:rPr>
        </w:r>
        <w:r w:rsidR="000A6F99">
          <w:rPr>
            <w:noProof/>
            <w:webHidden/>
          </w:rPr>
          <w:fldChar w:fldCharType="separate"/>
        </w:r>
        <w:r w:rsidR="000A6F99">
          <w:rPr>
            <w:noProof/>
            <w:webHidden/>
          </w:rPr>
          <w:t>15</w:t>
        </w:r>
        <w:r w:rsidR="000A6F99">
          <w:rPr>
            <w:noProof/>
            <w:webHidden/>
          </w:rPr>
          <w:fldChar w:fldCharType="end"/>
        </w:r>
      </w:hyperlink>
    </w:p>
    <w:p w14:paraId="737A7CAD" w14:textId="03BB0A1B" w:rsidR="000A6F99" w:rsidRDefault="00000000">
      <w:pPr>
        <w:pStyle w:val="TOC2"/>
        <w:rPr>
          <w:rFonts w:asciiTheme="minorHAnsi" w:eastAsiaTheme="minorEastAsia" w:hAnsiTheme="minorHAnsi" w:cstheme="minorBidi"/>
          <w:noProof/>
          <w:kern w:val="2"/>
          <w:lang w:val="en-US"/>
          <w14:ligatures w14:val="standardContextual"/>
        </w:rPr>
      </w:pPr>
      <w:hyperlink w:anchor="_Toc147502473" w:history="1">
        <w:r w:rsidR="000A6F99" w:rsidRPr="00C22A65">
          <w:rPr>
            <w:rStyle w:val="Hyperlink"/>
            <w:noProof/>
          </w:rPr>
          <w:t>Tabelle für die Reduzierung von Funkstörungen</w:t>
        </w:r>
        <w:r w:rsidR="000A6F99">
          <w:rPr>
            <w:noProof/>
            <w:webHidden/>
          </w:rPr>
          <w:tab/>
        </w:r>
        <w:r w:rsidR="000A6F99">
          <w:rPr>
            <w:noProof/>
            <w:webHidden/>
          </w:rPr>
          <w:fldChar w:fldCharType="begin"/>
        </w:r>
        <w:r w:rsidR="000A6F99">
          <w:rPr>
            <w:noProof/>
            <w:webHidden/>
          </w:rPr>
          <w:instrText xml:space="preserve"> PAGEREF _Toc147502473 \h </w:instrText>
        </w:r>
        <w:r w:rsidR="000A6F99">
          <w:rPr>
            <w:noProof/>
            <w:webHidden/>
          </w:rPr>
        </w:r>
        <w:r w:rsidR="000A6F99">
          <w:rPr>
            <w:noProof/>
            <w:webHidden/>
          </w:rPr>
          <w:fldChar w:fldCharType="separate"/>
        </w:r>
        <w:r w:rsidR="000A6F99">
          <w:rPr>
            <w:noProof/>
            <w:webHidden/>
          </w:rPr>
          <w:t>15</w:t>
        </w:r>
        <w:r w:rsidR="000A6F99">
          <w:rPr>
            <w:noProof/>
            <w:webHidden/>
          </w:rPr>
          <w:fldChar w:fldCharType="end"/>
        </w:r>
      </w:hyperlink>
    </w:p>
    <w:p w14:paraId="3D0DDE27" w14:textId="62E6E103" w:rsidR="000A6F99" w:rsidRDefault="00000000">
      <w:pPr>
        <w:pStyle w:val="TOC1"/>
        <w:rPr>
          <w:rFonts w:asciiTheme="minorHAnsi" w:eastAsiaTheme="minorEastAsia" w:hAnsiTheme="minorHAnsi" w:cstheme="minorBidi"/>
          <w:noProof/>
          <w:kern w:val="2"/>
          <w:lang w:val="en-US"/>
          <w14:ligatures w14:val="standardContextual"/>
        </w:rPr>
      </w:pPr>
      <w:hyperlink w:anchor="_Toc147502474" w:history="1">
        <w:r w:rsidR="000A6F99" w:rsidRPr="00C22A65">
          <w:rPr>
            <w:rStyle w:val="Hyperlink"/>
            <w:noProof/>
          </w:rPr>
          <w:t>ANFORDERUNGEN AN DIE VERPACKUNG VON LITHIUM-IONEN-AKKUS UND LITHIUM-METALL-BATTERIEN</w:t>
        </w:r>
        <w:r w:rsidR="000A6F99">
          <w:rPr>
            <w:noProof/>
            <w:webHidden/>
          </w:rPr>
          <w:tab/>
        </w:r>
        <w:r w:rsidR="000A6F99">
          <w:rPr>
            <w:noProof/>
            <w:webHidden/>
          </w:rPr>
          <w:fldChar w:fldCharType="begin"/>
        </w:r>
        <w:r w:rsidR="000A6F99">
          <w:rPr>
            <w:noProof/>
            <w:webHidden/>
          </w:rPr>
          <w:instrText xml:space="preserve"> PAGEREF _Toc147502474 \h </w:instrText>
        </w:r>
        <w:r w:rsidR="000A6F99">
          <w:rPr>
            <w:noProof/>
            <w:webHidden/>
          </w:rPr>
        </w:r>
        <w:r w:rsidR="000A6F99">
          <w:rPr>
            <w:noProof/>
            <w:webHidden/>
          </w:rPr>
          <w:fldChar w:fldCharType="separate"/>
        </w:r>
        <w:r w:rsidR="000A6F99">
          <w:rPr>
            <w:noProof/>
            <w:webHidden/>
          </w:rPr>
          <w:t>16</w:t>
        </w:r>
        <w:r w:rsidR="000A6F99">
          <w:rPr>
            <w:noProof/>
            <w:webHidden/>
          </w:rPr>
          <w:fldChar w:fldCharType="end"/>
        </w:r>
      </w:hyperlink>
    </w:p>
    <w:p w14:paraId="581047D2" w14:textId="4CCCC1D9" w:rsidR="000A6F99" w:rsidRDefault="00000000">
      <w:pPr>
        <w:pStyle w:val="TOC3"/>
        <w:rPr>
          <w:rFonts w:asciiTheme="minorHAnsi" w:eastAsiaTheme="minorEastAsia" w:hAnsiTheme="minorHAnsi" w:cstheme="minorBidi"/>
          <w:noProof/>
          <w:kern w:val="2"/>
          <w:lang w:val="en-US"/>
          <w14:ligatures w14:val="standardContextual"/>
        </w:rPr>
      </w:pPr>
      <w:hyperlink w:anchor="_Toc147502475" w:history="1">
        <w:r w:rsidR="000A6F99" w:rsidRPr="00C22A65">
          <w:rPr>
            <w:rStyle w:val="Hyperlink"/>
            <w:noProof/>
          </w:rPr>
          <w:t>Li-Ionen-Akkus und Li-Metall-Batterien</w:t>
        </w:r>
        <w:r w:rsidR="000A6F99">
          <w:rPr>
            <w:noProof/>
            <w:webHidden/>
          </w:rPr>
          <w:tab/>
        </w:r>
        <w:r w:rsidR="000A6F99">
          <w:rPr>
            <w:noProof/>
            <w:webHidden/>
          </w:rPr>
          <w:fldChar w:fldCharType="begin"/>
        </w:r>
        <w:r w:rsidR="000A6F99">
          <w:rPr>
            <w:noProof/>
            <w:webHidden/>
          </w:rPr>
          <w:instrText xml:space="preserve"> PAGEREF _Toc147502475 \h </w:instrText>
        </w:r>
        <w:r w:rsidR="000A6F99">
          <w:rPr>
            <w:noProof/>
            <w:webHidden/>
          </w:rPr>
        </w:r>
        <w:r w:rsidR="000A6F99">
          <w:rPr>
            <w:noProof/>
            <w:webHidden/>
          </w:rPr>
          <w:fldChar w:fldCharType="separate"/>
        </w:r>
        <w:r w:rsidR="000A6F99">
          <w:rPr>
            <w:noProof/>
            <w:webHidden/>
          </w:rPr>
          <w:t>16</w:t>
        </w:r>
        <w:r w:rsidR="000A6F99">
          <w:rPr>
            <w:noProof/>
            <w:webHidden/>
          </w:rPr>
          <w:fldChar w:fldCharType="end"/>
        </w:r>
      </w:hyperlink>
    </w:p>
    <w:p w14:paraId="03A03256" w14:textId="4EB0AD59" w:rsidR="000A6F99" w:rsidRDefault="00000000">
      <w:pPr>
        <w:pStyle w:val="TOC3"/>
        <w:rPr>
          <w:rFonts w:asciiTheme="minorHAnsi" w:eastAsiaTheme="minorEastAsia" w:hAnsiTheme="minorHAnsi" w:cstheme="minorBidi"/>
          <w:noProof/>
          <w:kern w:val="2"/>
          <w:lang w:val="en-US"/>
          <w14:ligatures w14:val="standardContextual"/>
        </w:rPr>
      </w:pPr>
      <w:hyperlink w:anchor="_Toc147502476" w:history="1">
        <w:r w:rsidR="000A6F99" w:rsidRPr="00C22A65">
          <w:rPr>
            <w:rStyle w:val="Hyperlink"/>
            <w:noProof/>
          </w:rPr>
          <w:t>Kennzeichnungsanforderungen für Li-Ionen-Akkus und Li-Metall-Batterien</w:t>
        </w:r>
        <w:r w:rsidR="000A6F99">
          <w:rPr>
            <w:noProof/>
            <w:webHidden/>
          </w:rPr>
          <w:tab/>
        </w:r>
        <w:r w:rsidR="000A6F99">
          <w:rPr>
            <w:noProof/>
            <w:webHidden/>
          </w:rPr>
          <w:fldChar w:fldCharType="begin"/>
        </w:r>
        <w:r w:rsidR="000A6F99">
          <w:rPr>
            <w:noProof/>
            <w:webHidden/>
          </w:rPr>
          <w:instrText xml:space="preserve"> PAGEREF _Toc147502476 \h </w:instrText>
        </w:r>
        <w:r w:rsidR="000A6F99">
          <w:rPr>
            <w:noProof/>
            <w:webHidden/>
          </w:rPr>
        </w:r>
        <w:r w:rsidR="000A6F99">
          <w:rPr>
            <w:noProof/>
            <w:webHidden/>
          </w:rPr>
          <w:fldChar w:fldCharType="separate"/>
        </w:r>
        <w:r w:rsidR="000A6F99">
          <w:rPr>
            <w:noProof/>
            <w:webHidden/>
          </w:rPr>
          <w:t>16</w:t>
        </w:r>
        <w:r w:rsidR="000A6F99">
          <w:rPr>
            <w:noProof/>
            <w:webHidden/>
          </w:rPr>
          <w:fldChar w:fldCharType="end"/>
        </w:r>
      </w:hyperlink>
    </w:p>
    <w:p w14:paraId="33B7C810" w14:textId="1E1A8BA5" w:rsidR="000A6F99" w:rsidRDefault="00000000">
      <w:pPr>
        <w:pStyle w:val="TOC3"/>
        <w:rPr>
          <w:rFonts w:asciiTheme="minorHAnsi" w:eastAsiaTheme="minorEastAsia" w:hAnsiTheme="minorHAnsi" w:cstheme="minorBidi"/>
          <w:noProof/>
          <w:kern w:val="2"/>
          <w:lang w:val="en-US"/>
          <w14:ligatures w14:val="standardContextual"/>
        </w:rPr>
      </w:pPr>
      <w:hyperlink w:anchor="_Toc147502477" w:history="1">
        <w:r w:rsidR="000A6F99" w:rsidRPr="00C22A65">
          <w:rPr>
            <w:rStyle w:val="Hyperlink"/>
            <w:noProof/>
          </w:rPr>
          <w:t>Ausnahmen von der Kennzeichnungspflicht</w:t>
        </w:r>
        <w:r w:rsidR="000A6F99">
          <w:rPr>
            <w:noProof/>
            <w:webHidden/>
          </w:rPr>
          <w:tab/>
        </w:r>
        <w:r w:rsidR="000A6F99">
          <w:rPr>
            <w:noProof/>
            <w:webHidden/>
          </w:rPr>
          <w:fldChar w:fldCharType="begin"/>
        </w:r>
        <w:r w:rsidR="000A6F99">
          <w:rPr>
            <w:noProof/>
            <w:webHidden/>
          </w:rPr>
          <w:instrText xml:space="preserve"> PAGEREF _Toc147502477 \h </w:instrText>
        </w:r>
        <w:r w:rsidR="000A6F99">
          <w:rPr>
            <w:noProof/>
            <w:webHidden/>
          </w:rPr>
        </w:r>
        <w:r w:rsidR="000A6F99">
          <w:rPr>
            <w:noProof/>
            <w:webHidden/>
          </w:rPr>
          <w:fldChar w:fldCharType="separate"/>
        </w:r>
        <w:r w:rsidR="000A6F99">
          <w:rPr>
            <w:noProof/>
            <w:webHidden/>
          </w:rPr>
          <w:t>18</w:t>
        </w:r>
        <w:r w:rsidR="000A6F99">
          <w:rPr>
            <w:noProof/>
            <w:webHidden/>
          </w:rPr>
          <w:fldChar w:fldCharType="end"/>
        </w:r>
      </w:hyperlink>
    </w:p>
    <w:p w14:paraId="2C82D7D8" w14:textId="385FF9E4" w:rsidR="000A6F99" w:rsidRDefault="00000000">
      <w:pPr>
        <w:pStyle w:val="TOC3"/>
        <w:rPr>
          <w:rFonts w:asciiTheme="minorHAnsi" w:eastAsiaTheme="minorEastAsia" w:hAnsiTheme="minorHAnsi" w:cstheme="minorBidi"/>
          <w:noProof/>
          <w:kern w:val="2"/>
          <w:lang w:val="en-US"/>
          <w14:ligatures w14:val="standardContextual"/>
        </w:rPr>
      </w:pPr>
      <w:hyperlink w:anchor="_Toc147502478" w:history="1">
        <w:r w:rsidR="000A6F99" w:rsidRPr="00C22A65">
          <w:rPr>
            <w:rStyle w:val="Hyperlink"/>
            <w:noProof/>
          </w:rPr>
          <w:t>Hinweis zur Produktentsorgung</w:t>
        </w:r>
        <w:r w:rsidR="000A6F99">
          <w:rPr>
            <w:noProof/>
            <w:webHidden/>
          </w:rPr>
          <w:tab/>
        </w:r>
        <w:r w:rsidR="000A6F99">
          <w:rPr>
            <w:noProof/>
            <w:webHidden/>
          </w:rPr>
          <w:fldChar w:fldCharType="begin"/>
        </w:r>
        <w:r w:rsidR="000A6F99">
          <w:rPr>
            <w:noProof/>
            <w:webHidden/>
          </w:rPr>
          <w:instrText xml:space="preserve"> PAGEREF _Toc147502478 \h </w:instrText>
        </w:r>
        <w:r w:rsidR="000A6F99">
          <w:rPr>
            <w:noProof/>
            <w:webHidden/>
          </w:rPr>
        </w:r>
        <w:r w:rsidR="000A6F99">
          <w:rPr>
            <w:noProof/>
            <w:webHidden/>
          </w:rPr>
          <w:fldChar w:fldCharType="separate"/>
        </w:r>
        <w:r w:rsidR="000A6F99">
          <w:rPr>
            <w:noProof/>
            <w:webHidden/>
          </w:rPr>
          <w:t>18</w:t>
        </w:r>
        <w:r w:rsidR="000A6F99">
          <w:rPr>
            <w:noProof/>
            <w:webHidden/>
          </w:rPr>
          <w:fldChar w:fldCharType="end"/>
        </w:r>
      </w:hyperlink>
    </w:p>
    <w:p w14:paraId="329F3EA1" w14:textId="41E98D67" w:rsidR="000A6F99" w:rsidRDefault="00000000">
      <w:pPr>
        <w:pStyle w:val="TOC1"/>
        <w:rPr>
          <w:rFonts w:asciiTheme="minorHAnsi" w:eastAsiaTheme="minorEastAsia" w:hAnsiTheme="minorHAnsi" w:cstheme="minorBidi"/>
          <w:noProof/>
          <w:kern w:val="2"/>
          <w:lang w:val="en-US"/>
          <w14:ligatures w14:val="standardContextual"/>
        </w:rPr>
      </w:pPr>
      <w:hyperlink w:anchor="_Toc147502479" w:history="1">
        <w:r w:rsidR="000A6F99" w:rsidRPr="00C22A65">
          <w:rPr>
            <w:rStyle w:val="Hyperlink"/>
            <w:noProof/>
          </w:rPr>
          <w:t>Informationen zur Sicherheit und EMV-Hinweis für Powerline Geräte und Pass-Through-Steckdose</w:t>
        </w:r>
        <w:r w:rsidR="000A6F99">
          <w:rPr>
            <w:noProof/>
            <w:webHidden/>
          </w:rPr>
          <w:tab/>
        </w:r>
        <w:r w:rsidR="000A6F99">
          <w:rPr>
            <w:noProof/>
            <w:webHidden/>
          </w:rPr>
          <w:fldChar w:fldCharType="begin"/>
        </w:r>
        <w:r w:rsidR="000A6F99">
          <w:rPr>
            <w:noProof/>
            <w:webHidden/>
          </w:rPr>
          <w:instrText xml:space="preserve"> PAGEREF _Toc147502479 \h </w:instrText>
        </w:r>
        <w:r w:rsidR="000A6F99">
          <w:rPr>
            <w:noProof/>
            <w:webHidden/>
          </w:rPr>
        </w:r>
        <w:r w:rsidR="000A6F99">
          <w:rPr>
            <w:noProof/>
            <w:webHidden/>
          </w:rPr>
          <w:fldChar w:fldCharType="separate"/>
        </w:r>
        <w:r w:rsidR="000A6F99">
          <w:rPr>
            <w:noProof/>
            <w:webHidden/>
          </w:rPr>
          <w:t>18</w:t>
        </w:r>
        <w:r w:rsidR="000A6F99">
          <w:rPr>
            <w:noProof/>
            <w:webHidden/>
          </w:rPr>
          <w:fldChar w:fldCharType="end"/>
        </w:r>
      </w:hyperlink>
    </w:p>
    <w:p w14:paraId="22327311" w14:textId="036AB310" w:rsidR="000A6F99" w:rsidRDefault="00000000">
      <w:pPr>
        <w:pStyle w:val="TOC2"/>
        <w:rPr>
          <w:rFonts w:asciiTheme="minorHAnsi" w:eastAsiaTheme="minorEastAsia" w:hAnsiTheme="minorHAnsi" w:cstheme="minorBidi"/>
          <w:noProof/>
          <w:kern w:val="2"/>
          <w:lang w:val="en-US"/>
          <w14:ligatures w14:val="standardContextual"/>
        </w:rPr>
      </w:pPr>
      <w:hyperlink w:anchor="_Toc147502480" w:history="1">
        <w:r w:rsidR="000A6F99" w:rsidRPr="00C22A65">
          <w:rPr>
            <w:rStyle w:val="Hyperlink"/>
            <w:noProof/>
          </w:rPr>
          <w:t>Allgemeine Hinweise für alle Produkte</w:t>
        </w:r>
        <w:r w:rsidR="000A6F99">
          <w:rPr>
            <w:noProof/>
            <w:webHidden/>
          </w:rPr>
          <w:tab/>
        </w:r>
        <w:r w:rsidR="000A6F99">
          <w:rPr>
            <w:noProof/>
            <w:webHidden/>
          </w:rPr>
          <w:fldChar w:fldCharType="begin"/>
        </w:r>
        <w:r w:rsidR="000A6F99">
          <w:rPr>
            <w:noProof/>
            <w:webHidden/>
          </w:rPr>
          <w:instrText xml:space="preserve"> PAGEREF _Toc147502480 \h </w:instrText>
        </w:r>
        <w:r w:rsidR="000A6F99">
          <w:rPr>
            <w:noProof/>
            <w:webHidden/>
          </w:rPr>
        </w:r>
        <w:r w:rsidR="000A6F99">
          <w:rPr>
            <w:noProof/>
            <w:webHidden/>
          </w:rPr>
          <w:fldChar w:fldCharType="separate"/>
        </w:r>
        <w:r w:rsidR="000A6F99">
          <w:rPr>
            <w:noProof/>
            <w:webHidden/>
          </w:rPr>
          <w:t>20</w:t>
        </w:r>
        <w:r w:rsidR="000A6F99">
          <w:rPr>
            <w:noProof/>
            <w:webHidden/>
          </w:rPr>
          <w:fldChar w:fldCharType="end"/>
        </w:r>
      </w:hyperlink>
    </w:p>
    <w:p w14:paraId="04751F15" w14:textId="2DB263BB" w:rsidR="000A6F99" w:rsidRDefault="00000000">
      <w:pPr>
        <w:pStyle w:val="TOC1"/>
        <w:rPr>
          <w:rFonts w:asciiTheme="minorHAnsi" w:eastAsiaTheme="minorEastAsia" w:hAnsiTheme="minorHAnsi" w:cstheme="minorBidi"/>
          <w:noProof/>
          <w:kern w:val="2"/>
          <w:lang w:val="en-US"/>
          <w14:ligatures w14:val="standardContextual"/>
        </w:rPr>
      </w:pPr>
      <w:hyperlink w:anchor="_Toc147502481" w:history="1">
        <w:r w:rsidR="000A6F99" w:rsidRPr="00C22A65">
          <w:rPr>
            <w:rStyle w:val="Hyperlink"/>
            <w:noProof/>
          </w:rPr>
          <w:t>Sicherheitshinweise für die Befestigung im Rack</w:t>
        </w:r>
        <w:r w:rsidR="000A6F99">
          <w:rPr>
            <w:noProof/>
            <w:webHidden/>
          </w:rPr>
          <w:tab/>
        </w:r>
        <w:r w:rsidR="000A6F99">
          <w:rPr>
            <w:noProof/>
            <w:webHidden/>
          </w:rPr>
          <w:fldChar w:fldCharType="begin"/>
        </w:r>
        <w:r w:rsidR="000A6F99">
          <w:rPr>
            <w:noProof/>
            <w:webHidden/>
          </w:rPr>
          <w:instrText xml:space="preserve"> PAGEREF _Toc147502481 \h </w:instrText>
        </w:r>
        <w:r w:rsidR="000A6F99">
          <w:rPr>
            <w:noProof/>
            <w:webHidden/>
          </w:rPr>
        </w:r>
        <w:r w:rsidR="000A6F99">
          <w:rPr>
            <w:noProof/>
            <w:webHidden/>
          </w:rPr>
          <w:fldChar w:fldCharType="separate"/>
        </w:r>
        <w:r w:rsidR="000A6F99">
          <w:rPr>
            <w:noProof/>
            <w:webHidden/>
          </w:rPr>
          <w:t>20</w:t>
        </w:r>
        <w:r w:rsidR="000A6F99">
          <w:rPr>
            <w:noProof/>
            <w:webHidden/>
          </w:rPr>
          <w:fldChar w:fldCharType="end"/>
        </w:r>
      </w:hyperlink>
    </w:p>
    <w:p w14:paraId="1976BED2" w14:textId="1C361C2F" w:rsidR="001F545D" w:rsidRDefault="001F545D" w:rsidP="001A2EB6">
      <w:pPr>
        <w:ind w:left="720"/>
        <w:jc w:val="center"/>
      </w:pPr>
      <w:r w:rsidRPr="001A2EB6">
        <w:fldChar w:fldCharType="end"/>
      </w:r>
    </w:p>
    <w:p w14:paraId="7B8350DB" w14:textId="77777777" w:rsidR="00DF3509" w:rsidRDefault="00DF3509" w:rsidP="003608D0">
      <w:pPr>
        <w:pStyle w:val="BodyText"/>
        <w:tabs>
          <w:tab w:val="right" w:leader="dot" w:pos="10194"/>
        </w:tabs>
        <w:kinsoku w:val="0"/>
        <w:overflowPunct w:val="0"/>
        <w:spacing w:before="91"/>
        <w:ind w:left="840"/>
        <w:rPr>
          <w:spacing w:val="-5"/>
        </w:rPr>
      </w:pPr>
    </w:p>
    <w:p w14:paraId="77C1E834" w14:textId="77777777" w:rsidR="00DF3509" w:rsidRDefault="00DF3509">
      <w:pPr>
        <w:pStyle w:val="BodyText"/>
        <w:tabs>
          <w:tab w:val="right" w:leader="dot" w:pos="10194"/>
        </w:tabs>
        <w:kinsoku w:val="0"/>
        <w:overflowPunct w:val="0"/>
        <w:spacing w:before="91"/>
        <w:ind w:left="1020"/>
        <w:rPr>
          <w:spacing w:val="-5"/>
        </w:rPr>
        <w:sectPr w:rsidR="00DF3509">
          <w:footerReference w:type="default" r:id="rId9"/>
          <w:pgSz w:w="12240" w:h="15840"/>
          <w:pgMar w:top="1360" w:right="680" w:bottom="1140" w:left="600" w:header="0" w:footer="950" w:gutter="0"/>
          <w:cols w:space="720"/>
          <w:noEndnote/>
        </w:sectPr>
      </w:pPr>
    </w:p>
    <w:p w14:paraId="64F5FC76" w14:textId="77777777" w:rsidR="00DF3509" w:rsidRDefault="00DF3509">
      <w:pPr>
        <w:pStyle w:val="Heading1"/>
        <w:kinsoku w:val="0"/>
        <w:overflowPunct w:val="0"/>
        <w:spacing w:before="79"/>
        <w:rPr>
          <w:spacing w:val="-2"/>
        </w:rPr>
      </w:pPr>
      <w:bookmarkStart w:id="0" w:name="_bookmark0"/>
      <w:bookmarkStart w:id="1" w:name="_Toc147502443"/>
      <w:bookmarkEnd w:id="0"/>
      <w:r>
        <w:lastRenderedPageBreak/>
        <w:t>Sicherheitsinformationen und -hinweise</w:t>
      </w:r>
      <w:bookmarkEnd w:id="1"/>
    </w:p>
    <w:p w14:paraId="4BE33886" w14:textId="7678D2D2" w:rsidR="00DF3509" w:rsidRDefault="00DF3509">
      <w:pPr>
        <w:pStyle w:val="BodyText"/>
        <w:kinsoku w:val="0"/>
        <w:overflowPunct w:val="0"/>
        <w:spacing w:before="108" w:line="276" w:lineRule="auto"/>
        <w:ind w:left="840" w:right="873"/>
        <w:rPr>
          <w:color w:val="0000FF"/>
        </w:rPr>
      </w:pPr>
      <w:r>
        <w:t xml:space="preserve">Beachten Sie die Warnungen, Vorsichtsmaßnahmen und Hinweise in den entsprechenden Dokumenten zur Gerätesicherheit und zu den gesetzlichen Bestimmungen im Abschnitt zur Einhaltung der Sicherheitsvorschriften unter </w:t>
      </w:r>
      <w:r w:rsidR="00FE3A82">
        <w:fldChar w:fldCharType="begin"/>
      </w:r>
      <w:r w:rsidR="00FE3A82">
        <w:instrText>HYPERLINK "https://www.netgear.com/about/regulatory/"</w:instrText>
      </w:r>
      <w:r w:rsidR="00FE3A82">
        <w:fldChar w:fldCharType="separate"/>
      </w:r>
      <w:r>
        <w:rPr>
          <w:color w:val="0000FF"/>
          <w:u w:val="single"/>
        </w:rPr>
        <w:t>www.netgear.com/about/regulatory/</w:t>
      </w:r>
      <w:r w:rsidR="00FE3A82">
        <w:rPr>
          <w:color w:val="0000FF"/>
          <w:u w:val="single"/>
        </w:rPr>
        <w:fldChar w:fldCharType="end"/>
      </w:r>
    </w:p>
    <w:p w14:paraId="66FC379B" w14:textId="77777777" w:rsidR="00DF3509" w:rsidRDefault="00DF3509">
      <w:pPr>
        <w:pStyle w:val="Heading3"/>
        <w:kinsoku w:val="0"/>
        <w:overflowPunct w:val="0"/>
        <w:spacing w:before="409"/>
        <w:rPr>
          <w:spacing w:val="-2"/>
        </w:rPr>
      </w:pPr>
      <w:bookmarkStart w:id="2" w:name="_bookmark1"/>
      <w:bookmarkStart w:id="3" w:name="_Toc147502444"/>
      <w:bookmarkEnd w:id="2"/>
      <w:r>
        <w:t>Sicherer Umgang mit und sichere Verwendung von Akkus und Batterien</w:t>
      </w:r>
      <w:bookmarkEnd w:id="3"/>
    </w:p>
    <w:p w14:paraId="74EE27B9" w14:textId="792C5708" w:rsidR="00DF3509" w:rsidRDefault="00DF3509">
      <w:pPr>
        <w:pStyle w:val="BodyText"/>
        <w:kinsoku w:val="0"/>
        <w:overflowPunct w:val="0"/>
        <w:spacing w:before="89" w:line="280" w:lineRule="auto"/>
        <w:ind w:left="840"/>
        <w:rPr>
          <w:color w:val="0000FF"/>
          <w:spacing w:val="-2"/>
        </w:rPr>
      </w:pPr>
      <w:r>
        <w:t xml:space="preserve">Beachten Sie die Warnungen, Vorsichtsmaßnahmen und Hinweise im Dokument Batteriewarnhinweise und -sicherheit im Abschnitt Sicherheitsbestimmungen unter </w:t>
      </w:r>
      <w:r w:rsidR="00FE3A82">
        <w:fldChar w:fldCharType="begin"/>
      </w:r>
      <w:r w:rsidR="00FE3A82">
        <w:instrText>HYPERLINK "https://www.netgear.com/about/regulatory/"</w:instrText>
      </w:r>
      <w:r w:rsidR="00FE3A82">
        <w:fldChar w:fldCharType="separate"/>
      </w:r>
      <w:r>
        <w:rPr>
          <w:color w:val="0000FF"/>
          <w:u w:val="single"/>
        </w:rPr>
        <w:t>www.netgear.com/about/regulatory/</w:t>
      </w:r>
      <w:r w:rsidR="00FE3A82">
        <w:rPr>
          <w:color w:val="0000FF"/>
          <w:u w:val="single"/>
        </w:rPr>
        <w:fldChar w:fldCharType="end"/>
      </w:r>
    </w:p>
    <w:p w14:paraId="6F76CC0E" w14:textId="77777777" w:rsidR="00DF3509" w:rsidRDefault="00DF3509">
      <w:pPr>
        <w:pStyle w:val="BodyText"/>
        <w:kinsoku w:val="0"/>
        <w:overflowPunct w:val="0"/>
        <w:spacing w:before="8"/>
        <w:rPr>
          <w:sz w:val="16"/>
          <w:szCs w:val="16"/>
        </w:rPr>
      </w:pPr>
    </w:p>
    <w:p w14:paraId="3B7F2BFF" w14:textId="77777777" w:rsidR="00DF3509" w:rsidRDefault="00DF3509">
      <w:pPr>
        <w:pStyle w:val="BodyText"/>
        <w:kinsoku w:val="0"/>
        <w:overflowPunct w:val="0"/>
        <w:ind w:left="840" w:right="873"/>
      </w:pPr>
      <w:r>
        <w:t>Wenn Ihr Netzteil Wasser, anderen Flüssigkeiten oder übermäßiger Feuchtigkeit ausgesetzt war, bringen Sie es zur Durchsicht zu einem autorisierten Dienstleister.</w:t>
      </w:r>
    </w:p>
    <w:p w14:paraId="18C7B9AB" w14:textId="77777777" w:rsidR="00DF3509" w:rsidRDefault="00DF3509">
      <w:pPr>
        <w:pStyle w:val="BodyText"/>
        <w:kinsoku w:val="0"/>
        <w:overflowPunct w:val="0"/>
        <w:spacing w:before="1"/>
      </w:pPr>
    </w:p>
    <w:p w14:paraId="412A9B67" w14:textId="77777777" w:rsidR="00DF3509" w:rsidRDefault="00DF3509">
      <w:pPr>
        <w:pStyle w:val="BodyText"/>
        <w:kinsoku w:val="0"/>
        <w:overflowPunct w:val="0"/>
        <w:ind w:left="840"/>
        <w:rPr>
          <w:spacing w:val="-2"/>
        </w:rPr>
      </w:pPr>
      <w:r>
        <w:t>Das Gerät sollte nur an eine Steckdose angeschlossen werden, die sich in seiner Nähe befindet und leicht zugänglich ist.</w:t>
      </w:r>
    </w:p>
    <w:p w14:paraId="1A98A6CC" w14:textId="77777777" w:rsidR="00DF3509" w:rsidRDefault="00DF3509">
      <w:pPr>
        <w:pStyle w:val="BodyText"/>
        <w:kinsoku w:val="0"/>
        <w:overflowPunct w:val="0"/>
        <w:rPr>
          <w:sz w:val="20"/>
          <w:szCs w:val="20"/>
        </w:rPr>
      </w:pPr>
    </w:p>
    <w:p w14:paraId="6D43948F" w14:textId="77777777" w:rsidR="00DF3509" w:rsidRDefault="00DF3509">
      <w:pPr>
        <w:pStyle w:val="Heading2"/>
        <w:kinsoku w:val="0"/>
        <w:overflowPunct w:val="0"/>
        <w:spacing w:before="163"/>
        <w:rPr>
          <w:spacing w:val="-2"/>
        </w:rPr>
      </w:pPr>
      <w:bookmarkStart w:id="4" w:name="_bookmark2"/>
      <w:bookmarkStart w:id="5" w:name="_Toc147502445"/>
      <w:bookmarkEnd w:id="4"/>
      <w:r>
        <w:t>Kennzeichnung finden</w:t>
      </w:r>
      <w:bookmarkEnd w:id="5"/>
    </w:p>
    <w:p w14:paraId="54A7117B" w14:textId="311A93B2" w:rsidR="00DF3509" w:rsidRDefault="00DF3509">
      <w:pPr>
        <w:pStyle w:val="BodyText"/>
        <w:kinsoku w:val="0"/>
        <w:overflowPunct w:val="0"/>
        <w:spacing w:before="105" w:line="278" w:lineRule="auto"/>
        <w:ind w:left="840" w:right="873"/>
      </w:pPr>
      <w:r>
        <w:t xml:space="preserve">Die Kennzeichnung von </w:t>
      </w:r>
      <w:r w:rsidR="003A5D0A">
        <w:t xml:space="preserve">NETGEAR </w:t>
      </w:r>
      <w:r>
        <w:t xml:space="preserve">Produkten, einschließlich aller </w:t>
      </w:r>
      <w:r w:rsidR="003A5D0A">
        <w:t xml:space="preserve">NETGEAR </w:t>
      </w:r>
      <w:r>
        <w:t>Switches und Rackmount ReadyNAS-Produkte sowie praktisch aller WLAN-Router und Satellitensysteme, befindet sich auf der Unterseite des Geräts.</w:t>
      </w:r>
    </w:p>
    <w:p w14:paraId="28568C4D" w14:textId="77777777" w:rsidR="00DF3509" w:rsidRDefault="00DF3509">
      <w:pPr>
        <w:pStyle w:val="BodyText"/>
        <w:kinsoku w:val="0"/>
        <w:overflowPunct w:val="0"/>
        <w:spacing w:before="2"/>
        <w:rPr>
          <w:sz w:val="17"/>
          <w:szCs w:val="17"/>
        </w:rPr>
      </w:pPr>
    </w:p>
    <w:p w14:paraId="1B51400A" w14:textId="77777777" w:rsidR="00DF3509" w:rsidRDefault="00DF3509">
      <w:pPr>
        <w:pStyle w:val="Heading2"/>
        <w:kinsoku w:val="0"/>
        <w:overflowPunct w:val="0"/>
        <w:spacing w:before="1"/>
        <w:rPr>
          <w:spacing w:val="-2"/>
        </w:rPr>
      </w:pPr>
      <w:bookmarkStart w:id="6" w:name="_bookmark3"/>
      <w:bookmarkStart w:id="7" w:name="_Use_in_locations"/>
      <w:bookmarkStart w:id="8" w:name="_Toc147502446"/>
      <w:bookmarkEnd w:id="6"/>
      <w:bookmarkEnd w:id="7"/>
      <w:r>
        <w:t>Verwendung an Orten, an denen sich Kinder wahrscheinlich nicht aufhalten</w:t>
      </w:r>
      <w:bookmarkEnd w:id="8"/>
    </w:p>
    <w:p w14:paraId="17127FD9" w14:textId="77777777" w:rsidR="00DF3509" w:rsidRDefault="00D22DB4" w:rsidP="00D22DB4">
      <w:pPr>
        <w:pStyle w:val="BodyText"/>
        <w:kinsoku w:val="0"/>
        <w:overflowPunct w:val="0"/>
        <w:spacing w:before="102" w:line="278" w:lineRule="auto"/>
        <w:ind w:left="840" w:right="873"/>
      </w:pPr>
      <w:r>
        <w:t xml:space="preserve">Die folgenden Produkte sind nicht für die Verwendung an Orten geeignet, an denen sich Kinder wahrscheinlich aufhalten </w:t>
      </w:r>
    </w:p>
    <w:p w14:paraId="3BBF74DC" w14:textId="77777777" w:rsidR="00DF3509" w:rsidRDefault="00DF3509">
      <w:pPr>
        <w:pStyle w:val="BodyText"/>
        <w:kinsoku w:val="0"/>
        <w:overflowPunct w:val="0"/>
        <w:spacing w:before="8"/>
        <w:rPr>
          <w:sz w:val="17"/>
          <w:szCs w:val="17"/>
        </w:rPr>
      </w:pPr>
    </w:p>
    <w:tbl>
      <w:tblPr>
        <w:tblW w:w="0" w:type="auto"/>
        <w:jc w:val="center"/>
        <w:tblLayout w:type="fixed"/>
        <w:tblLook w:val="04A0" w:firstRow="1" w:lastRow="0" w:firstColumn="1" w:lastColumn="0" w:noHBand="0" w:noVBand="1"/>
      </w:tblPr>
      <w:tblGrid>
        <w:gridCol w:w="1984"/>
        <w:gridCol w:w="1644"/>
        <w:gridCol w:w="1815"/>
        <w:gridCol w:w="1814"/>
        <w:gridCol w:w="1815"/>
      </w:tblGrid>
      <w:tr w:rsidR="00B25BA3" w:rsidRPr="00B25BA3" w14:paraId="526217A1" w14:textId="77777777" w:rsidTr="00A06FF8">
        <w:trPr>
          <w:jc w:val="center"/>
        </w:trPr>
        <w:tc>
          <w:tcPr>
            <w:tcW w:w="1984" w:type="dxa"/>
          </w:tcPr>
          <w:p w14:paraId="3AF2EB46" w14:textId="77777777" w:rsidR="00D22DB4" w:rsidRPr="00B25BA3" w:rsidRDefault="00D22DB4" w:rsidP="001F545D">
            <w:pPr>
              <w:pStyle w:val="BodyText"/>
              <w:kinsoku w:val="0"/>
              <w:overflowPunct w:val="0"/>
              <w:spacing w:before="8"/>
              <w:rPr>
                <w:rFonts w:eastAsia="Times New Roman"/>
                <w:spacing w:val="-2"/>
              </w:rPr>
            </w:pPr>
            <w:r>
              <w:t>GSM4212P/PX/UX</w:t>
            </w:r>
          </w:p>
        </w:tc>
        <w:tc>
          <w:tcPr>
            <w:tcW w:w="1644" w:type="dxa"/>
          </w:tcPr>
          <w:p w14:paraId="14389D9F" w14:textId="77777777" w:rsidR="00D22DB4" w:rsidRPr="00B25BA3" w:rsidRDefault="00D22DB4" w:rsidP="001F545D">
            <w:pPr>
              <w:pStyle w:val="BodyText"/>
              <w:kinsoku w:val="0"/>
              <w:overflowPunct w:val="0"/>
              <w:spacing w:before="8"/>
              <w:rPr>
                <w:rFonts w:eastAsia="Times New Roman"/>
                <w:spacing w:val="-2"/>
              </w:rPr>
            </w:pPr>
            <w:r>
              <w:t>XSM4316</w:t>
            </w:r>
          </w:p>
        </w:tc>
        <w:tc>
          <w:tcPr>
            <w:tcW w:w="1815" w:type="dxa"/>
          </w:tcPr>
          <w:p w14:paraId="5B039149" w14:textId="77777777" w:rsidR="00D22DB4" w:rsidRPr="00B25BA3" w:rsidRDefault="00D22DB4" w:rsidP="001F545D">
            <w:pPr>
              <w:pStyle w:val="BodyText"/>
              <w:kinsoku w:val="0"/>
              <w:overflowPunct w:val="0"/>
              <w:spacing w:before="8"/>
              <w:rPr>
                <w:rFonts w:eastAsia="Times New Roman"/>
                <w:spacing w:val="-2"/>
              </w:rPr>
            </w:pPr>
            <w:r>
              <w:t>XSM4340FV/V/CV</w:t>
            </w:r>
          </w:p>
        </w:tc>
        <w:tc>
          <w:tcPr>
            <w:tcW w:w="1814" w:type="dxa"/>
          </w:tcPr>
          <w:p w14:paraId="32E98406" w14:textId="77777777" w:rsidR="00D22DB4" w:rsidRPr="00B25BA3" w:rsidRDefault="00D22DB4" w:rsidP="001F545D">
            <w:pPr>
              <w:pStyle w:val="BodyText"/>
              <w:kinsoku w:val="0"/>
              <w:overflowPunct w:val="0"/>
              <w:spacing w:before="8"/>
              <w:rPr>
                <w:rFonts w:eastAsia="Times New Roman"/>
                <w:spacing w:val="-2"/>
              </w:rPr>
            </w:pPr>
            <w:r>
              <w:t>CSM4532</w:t>
            </w:r>
          </w:p>
        </w:tc>
        <w:tc>
          <w:tcPr>
            <w:tcW w:w="1815" w:type="dxa"/>
          </w:tcPr>
          <w:p w14:paraId="437AA03D" w14:textId="77777777" w:rsidR="00D22DB4" w:rsidRPr="00B25BA3" w:rsidRDefault="00D22DB4" w:rsidP="001F545D">
            <w:pPr>
              <w:pStyle w:val="BodyText"/>
              <w:kinsoku w:val="0"/>
              <w:overflowPunct w:val="0"/>
              <w:spacing w:before="8"/>
              <w:rPr>
                <w:rFonts w:eastAsia="Times New Roman"/>
                <w:spacing w:val="-2"/>
              </w:rPr>
            </w:pPr>
            <w:r>
              <w:t>GSM4328</w:t>
            </w:r>
          </w:p>
        </w:tc>
      </w:tr>
      <w:tr w:rsidR="00B25BA3" w:rsidRPr="00B25BA3" w14:paraId="27E4291E" w14:textId="77777777" w:rsidTr="00A06FF8">
        <w:trPr>
          <w:jc w:val="center"/>
        </w:trPr>
        <w:tc>
          <w:tcPr>
            <w:tcW w:w="1984" w:type="dxa"/>
          </w:tcPr>
          <w:p w14:paraId="183162AB" w14:textId="77777777" w:rsidR="00D22DB4" w:rsidRPr="00B25BA3" w:rsidRDefault="00D22DB4" w:rsidP="001F545D">
            <w:pPr>
              <w:pStyle w:val="BodyText"/>
              <w:kinsoku w:val="0"/>
              <w:overflowPunct w:val="0"/>
              <w:spacing w:before="8"/>
              <w:rPr>
                <w:rFonts w:eastAsia="Times New Roman"/>
                <w:spacing w:val="-2"/>
              </w:rPr>
            </w:pPr>
            <w:r>
              <w:t>GSM4230P/PX/UP</w:t>
            </w:r>
          </w:p>
        </w:tc>
        <w:tc>
          <w:tcPr>
            <w:tcW w:w="1644" w:type="dxa"/>
          </w:tcPr>
          <w:p w14:paraId="39A2F22B" w14:textId="77777777" w:rsidR="00D22DB4" w:rsidRPr="00B25BA3" w:rsidRDefault="00D22DB4" w:rsidP="001F545D">
            <w:pPr>
              <w:pStyle w:val="BodyText"/>
              <w:kinsoku w:val="0"/>
              <w:overflowPunct w:val="0"/>
              <w:spacing w:before="8"/>
              <w:rPr>
                <w:rFonts w:eastAsia="Times New Roman"/>
                <w:spacing w:val="-2"/>
              </w:rPr>
            </w:pPr>
            <w:r>
              <w:t>XSM4324</w:t>
            </w:r>
          </w:p>
        </w:tc>
        <w:tc>
          <w:tcPr>
            <w:tcW w:w="1815" w:type="dxa"/>
          </w:tcPr>
          <w:p w14:paraId="3B31305E" w14:textId="77777777" w:rsidR="00D22DB4" w:rsidRPr="00B25BA3" w:rsidRDefault="00D22DB4" w:rsidP="001F545D">
            <w:pPr>
              <w:pStyle w:val="BodyText"/>
              <w:kinsoku w:val="0"/>
              <w:overflowPunct w:val="0"/>
              <w:spacing w:before="8"/>
              <w:rPr>
                <w:rFonts w:eastAsia="Times New Roman"/>
                <w:spacing w:val="-2"/>
              </w:rPr>
            </w:pPr>
            <w:r>
              <w:t>VSM4320C</w:t>
            </w:r>
          </w:p>
        </w:tc>
        <w:tc>
          <w:tcPr>
            <w:tcW w:w="1814" w:type="dxa"/>
          </w:tcPr>
          <w:p w14:paraId="69194A55" w14:textId="77777777" w:rsidR="00D22DB4" w:rsidRPr="00B25BA3" w:rsidRDefault="00D22DB4" w:rsidP="001F545D">
            <w:pPr>
              <w:pStyle w:val="BodyText"/>
              <w:kinsoku w:val="0"/>
              <w:overflowPunct w:val="0"/>
              <w:spacing w:before="8"/>
              <w:rPr>
                <w:rFonts w:eastAsia="Times New Roman"/>
                <w:spacing w:val="-2"/>
              </w:rPr>
            </w:pPr>
            <w:r>
              <w:t>XSM4556</w:t>
            </w:r>
          </w:p>
        </w:tc>
        <w:tc>
          <w:tcPr>
            <w:tcW w:w="1815" w:type="dxa"/>
          </w:tcPr>
          <w:p w14:paraId="0A4583F6" w14:textId="77777777" w:rsidR="00D22DB4" w:rsidRPr="00B25BA3" w:rsidRDefault="00D22DB4" w:rsidP="001F545D">
            <w:pPr>
              <w:pStyle w:val="BodyText"/>
              <w:kinsoku w:val="0"/>
              <w:overflowPunct w:val="0"/>
              <w:spacing w:before="8"/>
              <w:rPr>
                <w:rFonts w:eastAsia="Times New Roman"/>
                <w:spacing w:val="-2"/>
              </w:rPr>
            </w:pPr>
            <w:r>
              <w:t>GSM4352</w:t>
            </w:r>
          </w:p>
        </w:tc>
      </w:tr>
      <w:tr w:rsidR="00B25BA3" w:rsidRPr="00B25BA3" w14:paraId="77ABCF5E" w14:textId="77777777" w:rsidTr="00A06FF8">
        <w:trPr>
          <w:jc w:val="center"/>
        </w:trPr>
        <w:tc>
          <w:tcPr>
            <w:tcW w:w="1984" w:type="dxa"/>
          </w:tcPr>
          <w:p w14:paraId="770A38F0" w14:textId="77777777" w:rsidR="00D22DB4" w:rsidRPr="00B25BA3" w:rsidRDefault="00D22DB4" w:rsidP="001F545D">
            <w:pPr>
              <w:pStyle w:val="BodyText"/>
              <w:kinsoku w:val="0"/>
              <w:overflowPunct w:val="0"/>
              <w:spacing w:before="8"/>
              <w:rPr>
                <w:rFonts w:eastAsia="Times New Roman"/>
                <w:spacing w:val="-2"/>
              </w:rPr>
            </w:pPr>
            <w:r>
              <w:t>GSM4248P/PX/UX</w:t>
            </w:r>
          </w:p>
        </w:tc>
        <w:tc>
          <w:tcPr>
            <w:tcW w:w="1644" w:type="dxa"/>
          </w:tcPr>
          <w:p w14:paraId="5E37559B" w14:textId="77777777" w:rsidR="00D22DB4" w:rsidRPr="00B25BA3" w:rsidRDefault="00D22DB4" w:rsidP="001F545D">
            <w:pPr>
              <w:pStyle w:val="BodyText"/>
              <w:kinsoku w:val="0"/>
              <w:overflowPunct w:val="0"/>
              <w:spacing w:before="8"/>
              <w:rPr>
                <w:rFonts w:eastAsia="Times New Roman"/>
                <w:spacing w:val="-2"/>
              </w:rPr>
            </w:pPr>
            <w:r>
              <w:t>XSM4328FV/CV</w:t>
            </w:r>
          </w:p>
        </w:tc>
        <w:tc>
          <w:tcPr>
            <w:tcW w:w="1815" w:type="dxa"/>
          </w:tcPr>
          <w:p w14:paraId="0BDC166B" w14:textId="77777777" w:rsidR="00D22DB4" w:rsidRPr="00B25BA3" w:rsidRDefault="00D22DB4" w:rsidP="001F545D">
            <w:pPr>
              <w:pStyle w:val="BodyText"/>
              <w:kinsoku w:val="0"/>
              <w:overflowPunct w:val="0"/>
              <w:spacing w:before="8"/>
              <w:rPr>
                <w:rFonts w:eastAsia="Times New Roman"/>
                <w:spacing w:val="-2"/>
              </w:rPr>
            </w:pPr>
            <w:r>
              <w:t xml:space="preserve">XSM4344C: </w:t>
            </w:r>
          </w:p>
        </w:tc>
        <w:tc>
          <w:tcPr>
            <w:tcW w:w="1814" w:type="dxa"/>
          </w:tcPr>
          <w:p w14:paraId="1554CB0F" w14:textId="77777777" w:rsidR="00D22DB4" w:rsidRPr="00B25BA3" w:rsidRDefault="00D22DB4" w:rsidP="001F545D">
            <w:pPr>
              <w:pStyle w:val="BodyText"/>
              <w:kinsoku w:val="0"/>
              <w:overflowPunct w:val="0"/>
              <w:spacing w:before="8"/>
              <w:rPr>
                <w:rFonts w:eastAsia="Times New Roman"/>
                <w:spacing w:val="-2"/>
              </w:rPr>
            </w:pPr>
            <w:r>
              <w:t>XSM4316S/PS</w:t>
            </w:r>
          </w:p>
        </w:tc>
        <w:tc>
          <w:tcPr>
            <w:tcW w:w="1815" w:type="dxa"/>
          </w:tcPr>
          <w:p w14:paraId="70FEBD29" w14:textId="77777777" w:rsidR="00D22DB4" w:rsidRPr="00B25BA3" w:rsidRDefault="00D22DB4" w:rsidP="001F545D">
            <w:pPr>
              <w:pStyle w:val="BodyText"/>
              <w:kinsoku w:val="0"/>
              <w:overflowPunct w:val="0"/>
              <w:spacing w:before="8"/>
              <w:rPr>
                <w:rFonts w:eastAsia="Times New Roman"/>
                <w:spacing w:val="-2"/>
              </w:rPr>
            </w:pPr>
            <w:r>
              <w:t>XSM4324S/CS/FS</w:t>
            </w:r>
          </w:p>
        </w:tc>
      </w:tr>
      <w:tr w:rsidR="00B25BA3" w:rsidRPr="00B25BA3" w14:paraId="250D12AF" w14:textId="77777777" w:rsidTr="00A06FF8">
        <w:trPr>
          <w:jc w:val="center"/>
        </w:trPr>
        <w:tc>
          <w:tcPr>
            <w:tcW w:w="1984" w:type="dxa"/>
          </w:tcPr>
          <w:p w14:paraId="153F448F" w14:textId="77777777" w:rsidR="00D22DB4" w:rsidRPr="00B25BA3" w:rsidRDefault="00D22DB4" w:rsidP="001F545D">
            <w:pPr>
              <w:pStyle w:val="BodyText"/>
              <w:kinsoku w:val="0"/>
              <w:overflowPunct w:val="0"/>
              <w:spacing w:before="8"/>
              <w:rPr>
                <w:rFonts w:eastAsia="Times New Roman"/>
                <w:spacing w:val="-2"/>
              </w:rPr>
            </w:pPr>
            <w:r>
              <w:t>MSM4214X</w:t>
            </w:r>
          </w:p>
        </w:tc>
        <w:tc>
          <w:tcPr>
            <w:tcW w:w="1644" w:type="dxa"/>
          </w:tcPr>
          <w:p w14:paraId="3735DBB8" w14:textId="77777777" w:rsidR="00D22DB4" w:rsidRPr="00B25BA3" w:rsidRDefault="00D22DB4" w:rsidP="001F545D">
            <w:pPr>
              <w:pStyle w:val="BodyText"/>
              <w:kinsoku w:val="0"/>
              <w:overflowPunct w:val="0"/>
              <w:spacing w:before="8"/>
              <w:rPr>
                <w:rFonts w:eastAsia="Times New Roman"/>
                <w:spacing w:val="-2"/>
              </w:rPr>
            </w:pPr>
            <w:r>
              <w:t>MSM4352</w:t>
            </w:r>
          </w:p>
        </w:tc>
        <w:tc>
          <w:tcPr>
            <w:tcW w:w="1815" w:type="dxa"/>
          </w:tcPr>
          <w:p w14:paraId="283AFD68" w14:textId="77777777" w:rsidR="00D22DB4" w:rsidRPr="00B25BA3" w:rsidRDefault="00D22DB4" w:rsidP="001F545D">
            <w:pPr>
              <w:pStyle w:val="BodyText"/>
              <w:kinsoku w:val="0"/>
              <w:overflowPunct w:val="0"/>
              <w:spacing w:before="8"/>
              <w:rPr>
                <w:rFonts w:eastAsia="Times New Roman"/>
                <w:spacing w:val="-2"/>
              </w:rPr>
            </w:pPr>
            <w:r>
              <w:t>XSM4396S</w:t>
            </w:r>
          </w:p>
        </w:tc>
        <w:tc>
          <w:tcPr>
            <w:tcW w:w="1814" w:type="dxa"/>
          </w:tcPr>
          <w:p w14:paraId="7A185745" w14:textId="77777777" w:rsidR="00D22DB4" w:rsidRPr="00B25BA3" w:rsidRDefault="00D22DB4" w:rsidP="001F545D">
            <w:pPr>
              <w:pStyle w:val="BodyText"/>
              <w:kinsoku w:val="0"/>
              <w:overflowPunct w:val="0"/>
              <w:spacing w:before="8"/>
              <w:rPr>
                <w:rFonts w:eastAsia="Times New Roman"/>
                <w:spacing w:val="-2"/>
              </w:rPr>
            </w:pPr>
            <w:r>
              <w:t>GSM4328S/PS</w:t>
            </w:r>
          </w:p>
        </w:tc>
        <w:tc>
          <w:tcPr>
            <w:tcW w:w="1815" w:type="dxa"/>
          </w:tcPr>
          <w:p w14:paraId="12D8DFC4" w14:textId="77777777" w:rsidR="00D22DB4" w:rsidRPr="00B25BA3" w:rsidRDefault="00D22DB4" w:rsidP="001F545D">
            <w:pPr>
              <w:pStyle w:val="BodyText"/>
              <w:kinsoku w:val="0"/>
              <w:overflowPunct w:val="0"/>
              <w:spacing w:before="8"/>
              <w:rPr>
                <w:rFonts w:eastAsia="Times New Roman"/>
                <w:spacing w:val="-2"/>
              </w:rPr>
            </w:pPr>
            <w:r>
              <w:t>XSM4348S/CS/FS</w:t>
            </w:r>
          </w:p>
        </w:tc>
      </w:tr>
      <w:tr w:rsidR="00B25BA3" w:rsidRPr="00B25BA3" w14:paraId="723B3338" w14:textId="77777777" w:rsidTr="00A06FF8">
        <w:trPr>
          <w:jc w:val="center"/>
        </w:trPr>
        <w:tc>
          <w:tcPr>
            <w:tcW w:w="1984" w:type="dxa"/>
          </w:tcPr>
          <w:p w14:paraId="01928B0F" w14:textId="77777777" w:rsidR="00AD0AF0" w:rsidRPr="00B25BA3" w:rsidRDefault="00AD0AF0" w:rsidP="001F545D">
            <w:pPr>
              <w:pStyle w:val="BodyText"/>
              <w:kinsoku w:val="0"/>
              <w:overflowPunct w:val="0"/>
              <w:spacing w:before="8"/>
              <w:rPr>
                <w:rFonts w:eastAsia="Times New Roman"/>
                <w:spacing w:val="-2"/>
              </w:rPr>
            </w:pPr>
            <w:r>
              <w:t>XSM4216F</w:t>
            </w:r>
          </w:p>
        </w:tc>
        <w:tc>
          <w:tcPr>
            <w:tcW w:w="1644" w:type="dxa"/>
          </w:tcPr>
          <w:p w14:paraId="6DED7CDD" w14:textId="77777777" w:rsidR="00AD0AF0" w:rsidRPr="00B25BA3" w:rsidRDefault="00AD0AF0" w:rsidP="001F545D">
            <w:pPr>
              <w:pStyle w:val="BodyText"/>
              <w:kinsoku w:val="0"/>
              <w:overflowPunct w:val="0"/>
              <w:spacing w:before="8"/>
              <w:rPr>
                <w:rFonts w:eastAsia="Times New Roman"/>
                <w:spacing w:val="-2"/>
              </w:rPr>
            </w:pPr>
            <w:r>
              <w:t>GSM4352S/PS</w:t>
            </w:r>
          </w:p>
        </w:tc>
        <w:tc>
          <w:tcPr>
            <w:tcW w:w="1815" w:type="dxa"/>
          </w:tcPr>
          <w:p w14:paraId="4ADC0FE4" w14:textId="77777777" w:rsidR="00AD0AF0" w:rsidRPr="00B25BA3" w:rsidRDefault="00AD0AF0" w:rsidP="001F545D">
            <w:pPr>
              <w:pStyle w:val="BodyText"/>
              <w:kinsoku w:val="0"/>
              <w:overflowPunct w:val="0"/>
              <w:spacing w:before="8"/>
              <w:rPr>
                <w:rFonts w:eastAsia="Times New Roman"/>
                <w:spacing w:val="-2"/>
              </w:rPr>
            </w:pPr>
            <w:r>
              <w:t>GS524PP/UP</w:t>
            </w:r>
          </w:p>
        </w:tc>
        <w:tc>
          <w:tcPr>
            <w:tcW w:w="1814" w:type="dxa"/>
          </w:tcPr>
          <w:p w14:paraId="775A6887" w14:textId="77777777" w:rsidR="00AD0AF0" w:rsidRPr="00B25BA3" w:rsidRDefault="00AD0AF0" w:rsidP="001F545D">
            <w:pPr>
              <w:pStyle w:val="BodyText"/>
              <w:kinsoku w:val="0"/>
              <w:overflowPunct w:val="0"/>
              <w:spacing w:before="8"/>
              <w:rPr>
                <w:rFonts w:eastAsia="Times New Roman"/>
                <w:spacing w:val="-2"/>
              </w:rPr>
            </w:pPr>
            <w:r>
              <w:t>GS724Tv6</w:t>
            </w:r>
          </w:p>
        </w:tc>
        <w:tc>
          <w:tcPr>
            <w:tcW w:w="1815" w:type="dxa"/>
          </w:tcPr>
          <w:p w14:paraId="626906EA" w14:textId="77777777" w:rsidR="00AD0AF0" w:rsidRPr="00B25BA3" w:rsidRDefault="00AD0AF0" w:rsidP="001F545D">
            <w:pPr>
              <w:pStyle w:val="BodyText"/>
              <w:kinsoku w:val="0"/>
              <w:overflowPunct w:val="0"/>
              <w:spacing w:before="8"/>
              <w:rPr>
                <w:rFonts w:eastAsia="Times New Roman"/>
                <w:spacing w:val="-2"/>
              </w:rPr>
            </w:pPr>
            <w:r>
              <w:t>GS752TPv2/v3</w:t>
            </w:r>
          </w:p>
        </w:tc>
      </w:tr>
      <w:tr w:rsidR="00B25BA3" w:rsidRPr="00B25BA3" w14:paraId="76528A6A" w14:textId="77777777" w:rsidTr="00A06FF8">
        <w:trPr>
          <w:jc w:val="center"/>
        </w:trPr>
        <w:tc>
          <w:tcPr>
            <w:tcW w:w="1984" w:type="dxa"/>
          </w:tcPr>
          <w:p w14:paraId="6428E0FB" w14:textId="77777777" w:rsidR="00AD0AF0" w:rsidRPr="00B25BA3" w:rsidRDefault="00AD0AF0" w:rsidP="001F545D">
            <w:pPr>
              <w:pStyle w:val="BodyText"/>
              <w:kinsoku w:val="0"/>
              <w:overflowPunct w:val="0"/>
              <w:spacing w:before="8"/>
              <w:rPr>
                <w:rFonts w:eastAsia="Times New Roman"/>
                <w:spacing w:val="-2"/>
              </w:rPr>
            </w:pPr>
            <w:r>
              <w:t>JGS524Ev2</w:t>
            </w:r>
          </w:p>
        </w:tc>
        <w:tc>
          <w:tcPr>
            <w:tcW w:w="1644" w:type="dxa"/>
          </w:tcPr>
          <w:p w14:paraId="0F4BDDEB" w14:textId="77777777" w:rsidR="00AD0AF0" w:rsidRPr="00B25BA3" w:rsidRDefault="00AD0AF0" w:rsidP="001F545D">
            <w:pPr>
              <w:pStyle w:val="BodyText"/>
              <w:kinsoku w:val="0"/>
              <w:overflowPunct w:val="0"/>
              <w:spacing w:before="8"/>
              <w:rPr>
                <w:rFonts w:eastAsia="Times New Roman"/>
                <w:spacing w:val="-2"/>
              </w:rPr>
            </w:pPr>
            <w:r>
              <w:t>GS324T/TP</w:t>
            </w:r>
          </w:p>
        </w:tc>
        <w:tc>
          <w:tcPr>
            <w:tcW w:w="1815" w:type="dxa"/>
          </w:tcPr>
          <w:p w14:paraId="6C8D46F3" w14:textId="77777777" w:rsidR="00AD0AF0" w:rsidRPr="00B25BA3" w:rsidRDefault="00AD0AF0" w:rsidP="001F545D">
            <w:pPr>
              <w:pStyle w:val="BodyText"/>
              <w:kinsoku w:val="0"/>
              <w:overflowPunct w:val="0"/>
              <w:spacing w:before="8"/>
              <w:rPr>
                <w:rFonts w:eastAsia="Times New Roman"/>
                <w:spacing w:val="-2"/>
              </w:rPr>
            </w:pPr>
            <w:r>
              <w:t>GS524v3</w:t>
            </w:r>
          </w:p>
        </w:tc>
        <w:tc>
          <w:tcPr>
            <w:tcW w:w="1814" w:type="dxa"/>
          </w:tcPr>
          <w:p w14:paraId="02E7DC88" w14:textId="77777777" w:rsidR="00AD0AF0" w:rsidRPr="00B25BA3" w:rsidRDefault="00AD0AF0" w:rsidP="001F545D">
            <w:pPr>
              <w:pStyle w:val="BodyText"/>
              <w:kinsoku w:val="0"/>
              <w:overflowPunct w:val="0"/>
              <w:spacing w:before="8"/>
              <w:rPr>
                <w:rFonts w:eastAsia="Times New Roman"/>
                <w:spacing w:val="-2"/>
              </w:rPr>
            </w:pPr>
            <w:r>
              <w:t>GS724TPv2/v3</w:t>
            </w:r>
          </w:p>
        </w:tc>
        <w:tc>
          <w:tcPr>
            <w:tcW w:w="1815" w:type="dxa"/>
          </w:tcPr>
          <w:p w14:paraId="1403F173" w14:textId="77777777" w:rsidR="00AD0AF0" w:rsidRPr="00B25BA3" w:rsidRDefault="00AD0AF0" w:rsidP="001F545D">
            <w:pPr>
              <w:pStyle w:val="BodyText"/>
              <w:kinsoku w:val="0"/>
              <w:overflowPunct w:val="0"/>
              <w:spacing w:before="8"/>
              <w:rPr>
                <w:rFonts w:eastAsia="Times New Roman"/>
                <w:spacing w:val="-2"/>
              </w:rPr>
            </w:pPr>
            <w:r>
              <w:t>GS752TPP/v3</w:t>
            </w:r>
          </w:p>
        </w:tc>
      </w:tr>
      <w:tr w:rsidR="00B25BA3" w:rsidRPr="00B25BA3" w14:paraId="56D0C2CD" w14:textId="77777777" w:rsidTr="00A06FF8">
        <w:trPr>
          <w:jc w:val="center"/>
        </w:trPr>
        <w:tc>
          <w:tcPr>
            <w:tcW w:w="1984" w:type="dxa"/>
          </w:tcPr>
          <w:p w14:paraId="5794F9D8" w14:textId="77777777" w:rsidR="00AD0AF0" w:rsidRPr="00B25BA3" w:rsidRDefault="00AD0AF0" w:rsidP="001F545D">
            <w:pPr>
              <w:pStyle w:val="BodyText"/>
              <w:kinsoku w:val="0"/>
              <w:overflowPunct w:val="0"/>
              <w:spacing w:before="8"/>
              <w:rPr>
                <w:rFonts w:eastAsia="Times New Roman"/>
                <w:spacing w:val="-2"/>
              </w:rPr>
            </w:pPr>
            <w:r>
              <w:t>GS324v2</w:t>
            </w:r>
          </w:p>
        </w:tc>
        <w:tc>
          <w:tcPr>
            <w:tcW w:w="1644" w:type="dxa"/>
          </w:tcPr>
          <w:p w14:paraId="0941BEB2" w14:textId="77777777" w:rsidR="00AD0AF0" w:rsidRPr="00B25BA3" w:rsidRDefault="00AD0AF0" w:rsidP="001F545D">
            <w:pPr>
              <w:pStyle w:val="BodyText"/>
              <w:kinsoku w:val="0"/>
              <w:overflowPunct w:val="0"/>
              <w:spacing w:before="8"/>
              <w:rPr>
                <w:rFonts w:eastAsia="Times New Roman"/>
                <w:spacing w:val="-2"/>
              </w:rPr>
            </w:pPr>
            <w:r>
              <w:t>GS348/PP</w:t>
            </w:r>
          </w:p>
        </w:tc>
        <w:tc>
          <w:tcPr>
            <w:tcW w:w="1815" w:type="dxa"/>
          </w:tcPr>
          <w:p w14:paraId="3A3D635E" w14:textId="77777777" w:rsidR="00AD0AF0" w:rsidRPr="00B25BA3" w:rsidRDefault="00AD0AF0" w:rsidP="001F545D">
            <w:pPr>
              <w:pStyle w:val="BodyText"/>
              <w:kinsoku w:val="0"/>
              <w:overflowPunct w:val="0"/>
              <w:spacing w:before="8"/>
              <w:rPr>
                <w:rFonts w:eastAsia="Times New Roman"/>
                <w:spacing w:val="-2"/>
              </w:rPr>
            </w:pPr>
            <w:r>
              <w:t>GS716TP</w:t>
            </w:r>
          </w:p>
        </w:tc>
        <w:tc>
          <w:tcPr>
            <w:tcW w:w="1814" w:type="dxa"/>
          </w:tcPr>
          <w:p w14:paraId="6019E989" w14:textId="77777777" w:rsidR="00AD0AF0" w:rsidRPr="00B25BA3" w:rsidRDefault="00AD0AF0" w:rsidP="001F545D">
            <w:pPr>
              <w:pStyle w:val="BodyText"/>
              <w:kinsoku w:val="0"/>
              <w:overflowPunct w:val="0"/>
              <w:spacing w:before="8"/>
              <w:rPr>
                <w:rFonts w:eastAsia="Times New Roman"/>
                <w:spacing w:val="-2"/>
              </w:rPr>
            </w:pPr>
            <w:r>
              <w:t>GS728TPPv2/v3</w:t>
            </w:r>
          </w:p>
        </w:tc>
        <w:tc>
          <w:tcPr>
            <w:tcW w:w="1815" w:type="dxa"/>
          </w:tcPr>
          <w:p w14:paraId="5D21052F" w14:textId="77777777" w:rsidR="00AD0AF0" w:rsidRPr="00B25BA3" w:rsidRDefault="00AD0AF0" w:rsidP="001F545D">
            <w:pPr>
              <w:pStyle w:val="BodyText"/>
              <w:kinsoku w:val="0"/>
              <w:overflowPunct w:val="0"/>
              <w:spacing w:before="8"/>
              <w:rPr>
                <w:rFonts w:eastAsia="Times New Roman"/>
                <w:spacing w:val="-2"/>
              </w:rPr>
            </w:pPr>
            <w:r>
              <w:t>Alle ReadyNAS</w:t>
            </w:r>
          </w:p>
        </w:tc>
      </w:tr>
      <w:tr w:rsidR="00B25BA3" w:rsidRPr="00B25BA3" w14:paraId="668606A9" w14:textId="77777777" w:rsidTr="00A06FF8">
        <w:trPr>
          <w:jc w:val="center"/>
        </w:trPr>
        <w:tc>
          <w:tcPr>
            <w:tcW w:w="1984" w:type="dxa"/>
          </w:tcPr>
          <w:p w14:paraId="21CE0D70" w14:textId="77777777" w:rsidR="00AD0AF0" w:rsidRPr="00B25BA3" w:rsidRDefault="00AD0AF0" w:rsidP="001F545D">
            <w:pPr>
              <w:pStyle w:val="BodyText"/>
              <w:kinsoku w:val="0"/>
              <w:overflowPunct w:val="0"/>
              <w:spacing w:before="8"/>
              <w:rPr>
                <w:rFonts w:eastAsia="Times New Roman"/>
                <w:spacing w:val="-2"/>
              </w:rPr>
            </w:pPr>
            <w:r>
              <w:t>GS324P/PP</w:t>
            </w:r>
          </w:p>
        </w:tc>
        <w:tc>
          <w:tcPr>
            <w:tcW w:w="1644" w:type="dxa"/>
          </w:tcPr>
          <w:p w14:paraId="78E648CB" w14:textId="77777777" w:rsidR="00AD0AF0" w:rsidRPr="00B25BA3" w:rsidRDefault="00AD0AF0" w:rsidP="001F545D">
            <w:pPr>
              <w:pStyle w:val="BodyText"/>
              <w:kinsoku w:val="0"/>
              <w:overflowPunct w:val="0"/>
              <w:spacing w:before="8"/>
              <w:rPr>
                <w:rFonts w:eastAsia="Times New Roman"/>
                <w:spacing w:val="-2"/>
              </w:rPr>
            </w:pPr>
            <w:r>
              <w:t>XS724EM/TM</w:t>
            </w:r>
          </w:p>
        </w:tc>
        <w:tc>
          <w:tcPr>
            <w:tcW w:w="1815" w:type="dxa"/>
          </w:tcPr>
          <w:p w14:paraId="35837C0C" w14:textId="77777777" w:rsidR="00AD0AF0" w:rsidRPr="00B25BA3" w:rsidRDefault="00AD0AF0" w:rsidP="001F545D">
            <w:pPr>
              <w:pStyle w:val="BodyText"/>
              <w:kinsoku w:val="0"/>
              <w:overflowPunct w:val="0"/>
              <w:spacing w:before="8"/>
              <w:rPr>
                <w:rFonts w:eastAsia="Times New Roman"/>
                <w:spacing w:val="-2"/>
              </w:rPr>
            </w:pPr>
            <w:r>
              <w:t>GS724Tv4</w:t>
            </w:r>
          </w:p>
        </w:tc>
        <w:tc>
          <w:tcPr>
            <w:tcW w:w="1814" w:type="dxa"/>
          </w:tcPr>
          <w:p w14:paraId="103AAC35" w14:textId="77777777" w:rsidR="00AD0AF0" w:rsidRPr="00B25BA3" w:rsidRDefault="00AD0AF0" w:rsidP="001F545D">
            <w:pPr>
              <w:pStyle w:val="BodyText"/>
              <w:kinsoku w:val="0"/>
              <w:overflowPunct w:val="0"/>
              <w:spacing w:before="8"/>
              <w:rPr>
                <w:rFonts w:eastAsia="Times New Roman"/>
                <w:spacing w:val="-2"/>
              </w:rPr>
            </w:pPr>
            <w:r>
              <w:t>GS748Tv5/v6</w:t>
            </w:r>
          </w:p>
        </w:tc>
        <w:tc>
          <w:tcPr>
            <w:tcW w:w="1815" w:type="dxa"/>
          </w:tcPr>
          <w:p w14:paraId="35ED2A8C" w14:textId="77777777" w:rsidR="00AD0AF0" w:rsidRPr="00B25BA3" w:rsidRDefault="00AD0AF0" w:rsidP="001F545D">
            <w:pPr>
              <w:pStyle w:val="BodyText"/>
              <w:kinsoku w:val="0"/>
              <w:overflowPunct w:val="0"/>
              <w:spacing w:before="8"/>
              <w:rPr>
                <w:rFonts w:eastAsia="Times New Roman"/>
                <w:spacing w:val="-2"/>
              </w:rPr>
            </w:pPr>
          </w:p>
        </w:tc>
      </w:tr>
    </w:tbl>
    <w:p w14:paraId="3EBA7E60" w14:textId="77777777" w:rsidR="003554A3" w:rsidRPr="003608D0" w:rsidRDefault="003554A3" w:rsidP="00AD0AF0">
      <w:pPr>
        <w:pStyle w:val="BodyText"/>
        <w:kinsoku w:val="0"/>
        <w:overflowPunct w:val="0"/>
        <w:spacing w:before="8"/>
        <w:rPr>
          <w:spacing w:val="-2"/>
        </w:rPr>
      </w:pPr>
    </w:p>
    <w:p w14:paraId="138F01D1" w14:textId="77777777" w:rsidR="003554A3" w:rsidRDefault="003554A3">
      <w:pPr>
        <w:pStyle w:val="BodyText"/>
        <w:kinsoku w:val="0"/>
        <w:overflowPunct w:val="0"/>
        <w:spacing w:before="8"/>
        <w:rPr>
          <w:sz w:val="17"/>
          <w:szCs w:val="17"/>
        </w:rPr>
      </w:pPr>
    </w:p>
    <w:p w14:paraId="704579B4" w14:textId="77777777" w:rsidR="00DF3509" w:rsidRDefault="00DF3509">
      <w:pPr>
        <w:pStyle w:val="Heading2"/>
        <w:kinsoku w:val="0"/>
        <w:overflowPunct w:val="0"/>
        <w:rPr>
          <w:spacing w:val="-2"/>
        </w:rPr>
      </w:pPr>
      <w:bookmarkStart w:id="9" w:name="_bookmark4"/>
      <w:bookmarkStart w:id="10" w:name="_Toc147502447"/>
      <w:bookmarkEnd w:id="9"/>
      <w:r>
        <w:t>Hinweise für beschränkten Zugang</w:t>
      </w:r>
      <w:bookmarkEnd w:id="10"/>
    </w:p>
    <w:p w14:paraId="345AD2DF" w14:textId="77777777" w:rsidR="00DF3509" w:rsidRDefault="00AD0AF0" w:rsidP="003608D0">
      <w:pPr>
        <w:pStyle w:val="BodyText"/>
        <w:kinsoku w:val="0"/>
        <w:overflowPunct w:val="0"/>
        <w:spacing w:before="102" w:line="278" w:lineRule="auto"/>
        <w:ind w:left="840" w:right="873"/>
        <w:rPr>
          <w:spacing w:val="-2"/>
        </w:rPr>
      </w:pPr>
      <w:r>
        <w:t>ReadyNAS ist für die Installation an einem Ort mit beschränktem Zugang vorgesehen und darf nur von qualifiziertem Fachpersonal bedient werden.</w:t>
      </w:r>
    </w:p>
    <w:p w14:paraId="1B587ED2" w14:textId="77777777" w:rsidR="00DF3509" w:rsidRDefault="00DF3509">
      <w:pPr>
        <w:pStyle w:val="BodyText"/>
        <w:kinsoku w:val="0"/>
        <w:overflowPunct w:val="0"/>
        <w:rPr>
          <w:sz w:val="20"/>
          <w:szCs w:val="20"/>
        </w:rPr>
      </w:pPr>
    </w:p>
    <w:p w14:paraId="2D05EE8B" w14:textId="77777777" w:rsidR="00DF3509" w:rsidRDefault="00DF3509">
      <w:pPr>
        <w:pStyle w:val="Heading2"/>
        <w:kinsoku w:val="0"/>
        <w:overflowPunct w:val="0"/>
        <w:spacing w:before="1"/>
        <w:rPr>
          <w:spacing w:val="-2"/>
        </w:rPr>
      </w:pPr>
      <w:bookmarkStart w:id="11" w:name="_bookmark5"/>
      <w:bookmarkStart w:id="12" w:name="_Toc147502448"/>
      <w:bookmarkEnd w:id="11"/>
      <w:r>
        <w:t>Hinweis für Koaxialkabel-TV und Internetanschluss (bei ausgewählten Modellen)</w:t>
      </w:r>
      <w:bookmarkEnd w:id="12"/>
    </w:p>
    <w:p w14:paraId="579D236F" w14:textId="77777777" w:rsidR="00DF3509" w:rsidRPr="003608D0" w:rsidRDefault="00DF3509" w:rsidP="003608D0">
      <w:pPr>
        <w:pStyle w:val="BodyText"/>
        <w:kinsoku w:val="0"/>
        <w:overflowPunct w:val="0"/>
        <w:spacing w:before="102" w:line="278" w:lineRule="auto"/>
        <w:ind w:left="840" w:right="873"/>
      </w:pPr>
      <w:r>
        <w:t>Die Informationen in diesem Abschnitt beziehen sich auf NETGEAR Produkte, die über einen TV-Tuner verfügen. Hinweis für den CATV-Systeminstallateur: Mit dieser Erinnerung möchten wir den Installateur des CATV-Systems auf Abschnitt 820-93 des National Electrical Code aufmerksam machen, in dem die Richtlinien für die ordnungsgemäße Erdung beschrieben werden. Insbesondere wird hervorgehoben, dass der Koaxialkabel-Schirm so nah am Gebäudeeintrittspunkt des Kabels wie möglich mit dem Erdungssystem des Gebäudes verbunden werden muss.</w:t>
      </w:r>
    </w:p>
    <w:p w14:paraId="42654A77" w14:textId="77777777" w:rsidR="00DF3509" w:rsidRDefault="00DF3509">
      <w:pPr>
        <w:pStyle w:val="BodyText"/>
        <w:kinsoku w:val="0"/>
        <w:overflowPunct w:val="0"/>
        <w:spacing w:before="39" w:line="276" w:lineRule="auto"/>
        <w:ind w:left="840" w:right="873"/>
        <w:rPr>
          <w:spacing w:val="-2"/>
          <w:sz w:val="23"/>
          <w:szCs w:val="23"/>
        </w:rPr>
        <w:sectPr w:rsidR="00DF3509">
          <w:pgSz w:w="12240" w:h="15840"/>
          <w:pgMar w:top="1360" w:right="680" w:bottom="1140" w:left="600" w:header="0" w:footer="950" w:gutter="0"/>
          <w:cols w:space="720"/>
          <w:noEndnote/>
        </w:sectPr>
      </w:pPr>
    </w:p>
    <w:p w14:paraId="42E69BB6" w14:textId="77777777" w:rsidR="00DF3509" w:rsidRDefault="00DF3509">
      <w:pPr>
        <w:pStyle w:val="Heading1"/>
        <w:kinsoku w:val="0"/>
        <w:overflowPunct w:val="0"/>
        <w:spacing w:before="79"/>
        <w:rPr>
          <w:spacing w:val="-2"/>
        </w:rPr>
      </w:pPr>
      <w:bookmarkStart w:id="13" w:name="_bookmark6"/>
      <w:bookmarkStart w:id="14" w:name="_Toc147502449"/>
      <w:bookmarkEnd w:id="13"/>
      <w:r>
        <w:lastRenderedPageBreak/>
        <w:t>Informationen zur Einhaltung rechtlicher Vorschriften</w:t>
      </w:r>
      <w:bookmarkEnd w:id="14"/>
    </w:p>
    <w:p w14:paraId="23F05ED9" w14:textId="77777777" w:rsidR="00DF3509" w:rsidRDefault="00DF3509">
      <w:pPr>
        <w:pStyle w:val="BodyText"/>
        <w:kinsoku w:val="0"/>
        <w:overflowPunct w:val="0"/>
        <w:spacing w:before="108" w:line="278" w:lineRule="auto"/>
        <w:ind w:left="840" w:right="873"/>
      </w:pPr>
      <w:r>
        <w:t>Dieses Dokument enthält die an den Benutzer gestellten Anforderungen für den Betrieb dieses NETGEAR Produkts unter Beachtung nationaler Vorschriften einschließlich der Regelungen zur Nutzung von Funkfrequenzen und des Betriebs von Funkanlagen. Sollte der Endbenutzer die einschlägigen rechtlichen Vorgaben nicht einhalten, kann dies zu einem rechtswidrigen Betrieb führen, der wiederum dazu führen kann, dass die entsprechende nationale Behörde ein Verfahren gegen den Endbenutzer einleitet.</w:t>
      </w:r>
    </w:p>
    <w:p w14:paraId="57737A7B" w14:textId="77777777" w:rsidR="00DF3509" w:rsidRDefault="00DF3509">
      <w:pPr>
        <w:pStyle w:val="BodyText"/>
        <w:kinsoku w:val="0"/>
        <w:overflowPunct w:val="0"/>
        <w:spacing w:before="7"/>
        <w:rPr>
          <w:sz w:val="16"/>
          <w:szCs w:val="16"/>
        </w:rPr>
      </w:pPr>
    </w:p>
    <w:p w14:paraId="042E9DC0" w14:textId="77777777" w:rsidR="00DF3509" w:rsidRDefault="00DF3509">
      <w:pPr>
        <w:pStyle w:val="BodyText"/>
        <w:kinsoku w:val="0"/>
        <w:overflowPunct w:val="0"/>
        <w:spacing w:before="1" w:line="280" w:lineRule="auto"/>
        <w:ind w:left="840" w:right="873"/>
      </w:pPr>
      <w:r>
        <w:t>Die NETGEAR Firmware für WLAN-Produkte beschränkt den Betrieb auf die Kanäle, die in einer bestimmten Region oder einem bestimmten Land zulässig sind. Aus diesem Grund stehen möglicherweise nicht alle in diesem Dokument beschriebenen Optionen für Ihre Version des Produkts zur Verfügung.</w:t>
      </w:r>
    </w:p>
    <w:p w14:paraId="0B6672CB" w14:textId="77777777" w:rsidR="00DF3509" w:rsidRDefault="00DF3509">
      <w:pPr>
        <w:pStyle w:val="BodyText"/>
        <w:kinsoku w:val="0"/>
        <w:overflowPunct w:val="0"/>
        <w:spacing w:before="10"/>
        <w:rPr>
          <w:sz w:val="16"/>
          <w:szCs w:val="16"/>
        </w:rPr>
      </w:pPr>
    </w:p>
    <w:p w14:paraId="744E9761" w14:textId="77777777" w:rsidR="00DF3509" w:rsidRDefault="00DF3509">
      <w:pPr>
        <w:pStyle w:val="BodyText"/>
        <w:kinsoku w:val="0"/>
        <w:overflowPunct w:val="0"/>
        <w:ind w:left="840"/>
        <w:rPr>
          <w:spacing w:val="-2"/>
        </w:rPr>
      </w:pPr>
      <w:r>
        <w:t>Dieses Dokument gilt sowohl für Geräte der Klasse A als auch der Klasse B:</w:t>
      </w:r>
    </w:p>
    <w:p w14:paraId="061268F1" w14:textId="77777777" w:rsidR="00DF3509" w:rsidRDefault="00DF3509">
      <w:pPr>
        <w:pStyle w:val="BodyText"/>
        <w:kinsoku w:val="0"/>
        <w:overflowPunct w:val="0"/>
        <w:rPr>
          <w:sz w:val="20"/>
          <w:szCs w:val="20"/>
        </w:rPr>
      </w:pPr>
    </w:p>
    <w:p w14:paraId="0B508D0B" w14:textId="77777777" w:rsidR="00DF3509" w:rsidRDefault="00DF3509">
      <w:pPr>
        <w:pStyle w:val="ListParagraph"/>
        <w:numPr>
          <w:ilvl w:val="0"/>
          <w:numId w:val="6"/>
        </w:numPr>
        <w:tabs>
          <w:tab w:val="left" w:pos="1560"/>
        </w:tabs>
        <w:kinsoku w:val="0"/>
        <w:overflowPunct w:val="0"/>
        <w:spacing w:line="271" w:lineRule="auto"/>
        <w:ind w:right="949"/>
        <w:jc w:val="both"/>
        <w:rPr>
          <w:sz w:val="18"/>
          <w:szCs w:val="18"/>
        </w:rPr>
      </w:pPr>
      <w:r>
        <w:rPr>
          <w:sz w:val="18"/>
        </w:rPr>
        <w:t>Geräte der Klasse A sind für den Einsatz in einer gewerblichen oder industriellen Umgebung bestimmt. Sie sind nicht dazu bestimmt, in einem Wohnhaus oder für die private Nutzung eingesetzt zu werden.</w:t>
      </w:r>
    </w:p>
    <w:p w14:paraId="2C3F87E9" w14:textId="77777777" w:rsidR="00DF3509" w:rsidRDefault="00DF3509">
      <w:pPr>
        <w:pStyle w:val="ListParagraph"/>
        <w:numPr>
          <w:ilvl w:val="0"/>
          <w:numId w:val="6"/>
        </w:numPr>
        <w:tabs>
          <w:tab w:val="left" w:pos="1560"/>
        </w:tabs>
        <w:kinsoku w:val="0"/>
        <w:overflowPunct w:val="0"/>
        <w:spacing w:before="4" w:line="273" w:lineRule="auto"/>
        <w:ind w:right="1015"/>
        <w:jc w:val="both"/>
        <w:rPr>
          <w:sz w:val="18"/>
          <w:szCs w:val="18"/>
        </w:rPr>
      </w:pPr>
      <w:r>
        <w:rPr>
          <w:sz w:val="18"/>
        </w:rPr>
        <w:t>Geräte der Klasse B sind für den Einsatz im Wohnbereich bestimmt, können aber auch in gewerblichen und industriellen Umgebungen zum Einsatz kommen. Beispiele für Geräte der Klasse B sind Telefone, Personalcomputer und private Daten-Gateways.</w:t>
      </w:r>
    </w:p>
    <w:p w14:paraId="1C4DAFDE" w14:textId="77777777" w:rsidR="00DF3509" w:rsidRDefault="00DF3509">
      <w:pPr>
        <w:pStyle w:val="ListParagraph"/>
        <w:numPr>
          <w:ilvl w:val="0"/>
          <w:numId w:val="6"/>
        </w:numPr>
        <w:tabs>
          <w:tab w:val="left" w:pos="1559"/>
        </w:tabs>
        <w:kinsoku w:val="0"/>
        <w:overflowPunct w:val="0"/>
        <w:spacing w:before="5" w:line="219" w:lineRule="exact"/>
        <w:ind w:left="1559" w:hanging="359"/>
        <w:jc w:val="both"/>
        <w:rPr>
          <w:spacing w:val="-2"/>
          <w:sz w:val="18"/>
          <w:szCs w:val="18"/>
        </w:rPr>
      </w:pPr>
      <w:r>
        <w:rPr>
          <w:sz w:val="18"/>
        </w:rPr>
        <w:t>Sicherungen dürfen nur von Servicepersonal installiert werden.</w:t>
      </w:r>
    </w:p>
    <w:p w14:paraId="6B60904B" w14:textId="77777777" w:rsidR="00DF3509" w:rsidRDefault="00DF3509">
      <w:pPr>
        <w:pStyle w:val="ListParagraph"/>
        <w:numPr>
          <w:ilvl w:val="0"/>
          <w:numId w:val="6"/>
        </w:numPr>
        <w:tabs>
          <w:tab w:val="left" w:pos="1559"/>
        </w:tabs>
        <w:kinsoku w:val="0"/>
        <w:overflowPunct w:val="0"/>
        <w:spacing w:line="219" w:lineRule="exact"/>
        <w:ind w:left="1559" w:hanging="359"/>
        <w:jc w:val="both"/>
        <w:rPr>
          <w:spacing w:val="-2"/>
          <w:sz w:val="18"/>
          <w:szCs w:val="18"/>
        </w:rPr>
      </w:pPr>
      <w:r>
        <w:rPr>
          <w:sz w:val="18"/>
        </w:rPr>
        <w:t>NETGEAR empfiehlt die Verwendung von Telefonleitungen mit 26 AWG oder höher.</w:t>
      </w:r>
    </w:p>
    <w:p w14:paraId="728C735F" w14:textId="77777777" w:rsidR="00DF3509" w:rsidRDefault="00DF3509">
      <w:pPr>
        <w:pStyle w:val="BodyText"/>
        <w:kinsoku w:val="0"/>
        <w:overflowPunct w:val="0"/>
        <w:rPr>
          <w:sz w:val="22"/>
          <w:szCs w:val="22"/>
        </w:rPr>
      </w:pPr>
    </w:p>
    <w:p w14:paraId="1132F388" w14:textId="77777777" w:rsidR="00DF3509" w:rsidRDefault="00DF3509">
      <w:pPr>
        <w:pStyle w:val="Heading2"/>
        <w:kinsoku w:val="0"/>
        <w:overflowPunct w:val="0"/>
        <w:spacing w:before="183"/>
        <w:rPr>
          <w:spacing w:val="-5"/>
        </w:rPr>
      </w:pPr>
      <w:bookmarkStart w:id="15" w:name="_bookmark7"/>
      <w:bookmarkStart w:id="16" w:name="_Toc147502450"/>
      <w:bookmarkEnd w:id="15"/>
      <w:r>
        <w:t>Für die Verwendung im Außenbereich zertifizierte Geräte</w:t>
      </w:r>
      <w:bookmarkEnd w:id="16"/>
    </w:p>
    <w:p w14:paraId="6AB57129" w14:textId="61D66D4A" w:rsidR="00DF3509" w:rsidRDefault="0060248F">
      <w:pPr>
        <w:pStyle w:val="BodyText"/>
        <w:kinsoku w:val="0"/>
        <w:overflowPunct w:val="0"/>
        <w:spacing w:before="108"/>
        <w:ind w:left="840"/>
        <w:rPr>
          <w:spacing w:val="-2"/>
        </w:rPr>
      </w:pPr>
      <w:r>
        <w:t xml:space="preserve">NETGEAR </w:t>
      </w:r>
      <w:r w:rsidR="00DF3509">
        <w:t>Produkte sind für die Verwendung in Innenräumen vorgesehen, mit der folgenden Ausnahme:</w:t>
      </w:r>
    </w:p>
    <w:p w14:paraId="4DC31A0B" w14:textId="77777777" w:rsidR="00DF3509" w:rsidRDefault="00DF3509">
      <w:pPr>
        <w:pStyle w:val="BodyText"/>
        <w:kinsoku w:val="0"/>
        <w:overflowPunct w:val="0"/>
        <w:ind w:left="840"/>
        <w:rPr>
          <w:spacing w:val="-4"/>
        </w:rPr>
      </w:pPr>
      <w:r>
        <w:t>Die folgenden Produkte sind für die Verwendung im Außenbereich zertifiziert:</w:t>
      </w:r>
    </w:p>
    <w:p w14:paraId="50CB0444" w14:textId="77777777" w:rsidR="00DF3509" w:rsidRDefault="00DF3509">
      <w:pPr>
        <w:pStyle w:val="BodyText"/>
        <w:kinsoku w:val="0"/>
        <w:overflowPunct w:val="0"/>
        <w:spacing w:after="32"/>
        <w:ind w:left="840"/>
        <w:rPr>
          <w:rFonts w:ascii="Cambria" w:hAnsi="Cambria" w:cs="Cambria"/>
          <w:i/>
          <w:iCs/>
          <w:color w:val="365F91"/>
          <w:spacing w:val="-5"/>
        </w:rPr>
      </w:pPr>
      <w:r>
        <w:rPr>
          <w:rFonts w:ascii="Cambria" w:hAnsi="Cambria"/>
          <w:i/>
          <w:color w:val="365F91"/>
        </w:rPr>
        <w:t>Tabelle 1: Für die Verwendung im Außenbereich zertifizierte Produkte</w:t>
      </w:r>
    </w:p>
    <w:tbl>
      <w:tblPr>
        <w:tblW w:w="0" w:type="auto"/>
        <w:tblInd w:w="850" w:type="dxa"/>
        <w:tblLayout w:type="fixed"/>
        <w:tblCellMar>
          <w:left w:w="0" w:type="dxa"/>
          <w:right w:w="0" w:type="dxa"/>
        </w:tblCellMar>
        <w:tblLook w:val="0000" w:firstRow="0" w:lastRow="0" w:firstColumn="0" w:lastColumn="0" w:noHBand="0" w:noVBand="0"/>
      </w:tblPr>
      <w:tblGrid>
        <w:gridCol w:w="2338"/>
        <w:gridCol w:w="2339"/>
        <w:gridCol w:w="2339"/>
        <w:gridCol w:w="2339"/>
      </w:tblGrid>
      <w:tr w:rsidR="006F7E86" w:rsidRPr="001F545D" w14:paraId="7A8F4B2E"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176F909A"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RBS50Y</w:t>
            </w:r>
          </w:p>
        </w:tc>
        <w:tc>
          <w:tcPr>
            <w:tcW w:w="2339" w:type="dxa"/>
            <w:tcBorders>
              <w:top w:val="single" w:sz="4" w:space="0" w:color="000000"/>
              <w:left w:val="single" w:sz="4" w:space="0" w:color="000000"/>
              <w:bottom w:val="single" w:sz="4" w:space="0" w:color="000000"/>
              <w:right w:val="single" w:sz="4" w:space="0" w:color="000000"/>
            </w:tcBorders>
          </w:tcPr>
          <w:p w14:paraId="2E0B2D00"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WAX608Y</w:t>
            </w:r>
          </w:p>
        </w:tc>
        <w:tc>
          <w:tcPr>
            <w:tcW w:w="2339" w:type="dxa"/>
            <w:tcBorders>
              <w:top w:val="single" w:sz="4" w:space="0" w:color="000000"/>
              <w:left w:val="single" w:sz="4" w:space="0" w:color="000000"/>
              <w:bottom w:val="single" w:sz="4" w:space="0" w:color="000000"/>
              <w:right w:val="single" w:sz="4" w:space="0" w:color="000000"/>
            </w:tcBorders>
          </w:tcPr>
          <w:p w14:paraId="7DCA36A8"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sz w:val="18"/>
              </w:rPr>
              <w:t>WAX610Y</w:t>
            </w:r>
          </w:p>
        </w:tc>
        <w:tc>
          <w:tcPr>
            <w:tcW w:w="2339" w:type="dxa"/>
            <w:tcBorders>
              <w:top w:val="single" w:sz="4" w:space="0" w:color="000000"/>
              <w:left w:val="single" w:sz="4" w:space="0" w:color="000000"/>
              <w:bottom w:val="single" w:sz="4" w:space="0" w:color="000000"/>
              <w:right w:val="single" w:sz="4" w:space="0" w:color="000000"/>
            </w:tcBorders>
          </w:tcPr>
          <w:p w14:paraId="519FCD2E"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r w:rsidR="006F7E86" w:rsidRPr="001F545D" w14:paraId="283C6807"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66440C02"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MR1100</w:t>
            </w:r>
          </w:p>
        </w:tc>
        <w:tc>
          <w:tcPr>
            <w:tcW w:w="2339" w:type="dxa"/>
            <w:tcBorders>
              <w:top w:val="single" w:sz="4" w:space="0" w:color="000000"/>
              <w:left w:val="single" w:sz="4" w:space="0" w:color="000000"/>
              <w:bottom w:val="single" w:sz="4" w:space="0" w:color="000000"/>
              <w:right w:val="single" w:sz="4" w:space="0" w:color="000000"/>
            </w:tcBorders>
          </w:tcPr>
          <w:p w14:paraId="5B8DA2EF"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MR2100</w:t>
            </w:r>
          </w:p>
        </w:tc>
        <w:tc>
          <w:tcPr>
            <w:tcW w:w="2339" w:type="dxa"/>
            <w:tcBorders>
              <w:top w:val="single" w:sz="4" w:space="0" w:color="000000"/>
              <w:left w:val="single" w:sz="4" w:space="0" w:color="000000"/>
              <w:bottom w:val="single" w:sz="4" w:space="0" w:color="000000"/>
              <w:right w:val="single" w:sz="4" w:space="0" w:color="000000"/>
            </w:tcBorders>
          </w:tcPr>
          <w:p w14:paraId="63B08E7A"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MR5100</w:t>
            </w:r>
          </w:p>
        </w:tc>
        <w:tc>
          <w:tcPr>
            <w:tcW w:w="2339" w:type="dxa"/>
            <w:tcBorders>
              <w:top w:val="single" w:sz="4" w:space="0" w:color="000000"/>
              <w:left w:val="single" w:sz="4" w:space="0" w:color="000000"/>
              <w:bottom w:val="single" w:sz="4" w:space="0" w:color="000000"/>
              <w:right w:val="single" w:sz="4" w:space="0" w:color="000000"/>
            </w:tcBorders>
          </w:tcPr>
          <w:p w14:paraId="0756CE7E"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MR5200</w:t>
            </w:r>
          </w:p>
        </w:tc>
      </w:tr>
      <w:tr w:rsidR="006F7E86" w:rsidRPr="001F545D" w14:paraId="78610246" w14:textId="77777777">
        <w:trPr>
          <w:trHeight w:val="206"/>
        </w:trPr>
        <w:tc>
          <w:tcPr>
            <w:tcW w:w="2338" w:type="dxa"/>
            <w:tcBorders>
              <w:top w:val="single" w:sz="4" w:space="0" w:color="000000"/>
              <w:left w:val="single" w:sz="4" w:space="0" w:color="000000"/>
              <w:bottom w:val="single" w:sz="4" w:space="0" w:color="000000"/>
              <w:right w:val="single" w:sz="4" w:space="0" w:color="000000"/>
            </w:tcBorders>
          </w:tcPr>
          <w:p w14:paraId="306FAD7C"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MR6110</w:t>
            </w:r>
          </w:p>
        </w:tc>
        <w:tc>
          <w:tcPr>
            <w:tcW w:w="2339" w:type="dxa"/>
            <w:tcBorders>
              <w:top w:val="single" w:sz="4" w:space="0" w:color="000000"/>
              <w:left w:val="single" w:sz="4" w:space="0" w:color="000000"/>
              <w:bottom w:val="single" w:sz="4" w:space="0" w:color="000000"/>
              <w:right w:val="single" w:sz="4" w:space="0" w:color="000000"/>
            </w:tcBorders>
          </w:tcPr>
          <w:p w14:paraId="475F38D3"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MR6150</w:t>
            </w:r>
          </w:p>
        </w:tc>
        <w:tc>
          <w:tcPr>
            <w:tcW w:w="2339" w:type="dxa"/>
            <w:tcBorders>
              <w:top w:val="single" w:sz="4" w:space="0" w:color="000000"/>
              <w:left w:val="single" w:sz="4" w:space="0" w:color="000000"/>
              <w:bottom w:val="single" w:sz="4" w:space="0" w:color="000000"/>
              <w:right w:val="single" w:sz="4" w:space="0" w:color="000000"/>
            </w:tcBorders>
          </w:tcPr>
          <w:p w14:paraId="2B13DB22"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MR6220</w:t>
            </w:r>
          </w:p>
        </w:tc>
        <w:tc>
          <w:tcPr>
            <w:tcW w:w="2339" w:type="dxa"/>
            <w:tcBorders>
              <w:top w:val="single" w:sz="4" w:space="0" w:color="000000"/>
              <w:left w:val="single" w:sz="4" w:space="0" w:color="000000"/>
              <w:bottom w:val="single" w:sz="4" w:space="0" w:color="000000"/>
              <w:right w:val="single" w:sz="4" w:space="0" w:color="000000"/>
            </w:tcBorders>
          </w:tcPr>
          <w:p w14:paraId="33CA7115" w14:textId="77777777" w:rsidR="006F7E86" w:rsidRPr="003608D0" w:rsidRDefault="006F7E86" w:rsidP="003608D0">
            <w:pPr>
              <w:pStyle w:val="TableParagraph"/>
              <w:kinsoku w:val="0"/>
              <w:overflowPunct w:val="0"/>
              <w:spacing w:line="188" w:lineRule="exact"/>
              <w:ind w:left="106"/>
              <w:rPr>
                <w:rFonts w:eastAsia="Times New Roman"/>
                <w:spacing w:val="-2"/>
                <w:sz w:val="18"/>
                <w:szCs w:val="18"/>
              </w:rPr>
            </w:pPr>
            <w:r>
              <w:rPr>
                <w:sz w:val="18"/>
              </w:rPr>
              <w:t>MR6400</w:t>
            </w:r>
          </w:p>
        </w:tc>
      </w:tr>
      <w:tr w:rsidR="006F7E86" w:rsidRPr="001F545D" w14:paraId="1631B53B"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3CA13ADB"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MR6500</w:t>
            </w:r>
          </w:p>
        </w:tc>
        <w:tc>
          <w:tcPr>
            <w:tcW w:w="2339" w:type="dxa"/>
            <w:tcBorders>
              <w:top w:val="single" w:sz="4" w:space="0" w:color="000000"/>
              <w:left w:val="single" w:sz="4" w:space="0" w:color="000000"/>
              <w:bottom w:val="single" w:sz="4" w:space="0" w:color="000000"/>
              <w:right w:val="single" w:sz="4" w:space="0" w:color="000000"/>
            </w:tcBorders>
          </w:tcPr>
          <w:p w14:paraId="105BAE1E"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r>
              <w:rPr>
                <w:sz w:val="18"/>
              </w:rPr>
              <w:t>MR6520</w:t>
            </w:r>
          </w:p>
        </w:tc>
        <w:tc>
          <w:tcPr>
            <w:tcW w:w="2339" w:type="dxa"/>
            <w:tcBorders>
              <w:top w:val="single" w:sz="4" w:space="0" w:color="000000"/>
              <w:left w:val="single" w:sz="4" w:space="0" w:color="000000"/>
              <w:bottom w:val="single" w:sz="4" w:space="0" w:color="000000"/>
              <w:right w:val="single" w:sz="4" w:space="0" w:color="000000"/>
            </w:tcBorders>
          </w:tcPr>
          <w:p w14:paraId="28335E1C" w14:textId="77777777" w:rsidR="006F7E86" w:rsidRPr="001F545D" w:rsidRDefault="006F7E86" w:rsidP="006F7E86">
            <w:pPr>
              <w:pStyle w:val="TableParagraph"/>
              <w:kinsoku w:val="0"/>
              <w:overflowPunct w:val="0"/>
              <w:spacing w:line="188" w:lineRule="exact"/>
              <w:ind w:left="106"/>
              <w:rPr>
                <w:rFonts w:eastAsia="Times New Roman"/>
                <w:spacing w:val="-2"/>
                <w:sz w:val="18"/>
                <w:szCs w:val="18"/>
              </w:rPr>
            </w:pPr>
            <w:r>
              <w:rPr>
                <w:sz w:val="18"/>
              </w:rPr>
              <w:t>MR6550</w:t>
            </w:r>
          </w:p>
        </w:tc>
        <w:tc>
          <w:tcPr>
            <w:tcW w:w="2339" w:type="dxa"/>
            <w:tcBorders>
              <w:top w:val="single" w:sz="4" w:space="0" w:color="000000"/>
              <w:left w:val="single" w:sz="4" w:space="0" w:color="000000"/>
              <w:bottom w:val="single" w:sz="4" w:space="0" w:color="000000"/>
              <w:right w:val="single" w:sz="4" w:space="0" w:color="000000"/>
            </w:tcBorders>
          </w:tcPr>
          <w:p w14:paraId="55AE2E43" w14:textId="77777777" w:rsidR="006F7E86" w:rsidRPr="001F545D" w:rsidRDefault="006F7E86" w:rsidP="003608D0">
            <w:pPr>
              <w:pStyle w:val="TableParagraph"/>
              <w:kinsoku w:val="0"/>
              <w:overflowPunct w:val="0"/>
              <w:spacing w:line="188" w:lineRule="exact"/>
              <w:ind w:left="106"/>
              <w:rPr>
                <w:rFonts w:eastAsia="Times New Roman"/>
                <w:spacing w:val="-2"/>
                <w:sz w:val="18"/>
                <w:szCs w:val="18"/>
              </w:rPr>
            </w:pPr>
          </w:p>
        </w:tc>
      </w:tr>
      <w:tr w:rsidR="006F7E86" w:rsidRPr="001F545D" w14:paraId="67F9D2D0" w14:textId="77777777">
        <w:trPr>
          <w:trHeight w:val="205"/>
        </w:trPr>
        <w:tc>
          <w:tcPr>
            <w:tcW w:w="2338" w:type="dxa"/>
            <w:tcBorders>
              <w:top w:val="single" w:sz="4" w:space="0" w:color="000000"/>
              <w:left w:val="single" w:sz="4" w:space="0" w:color="000000"/>
              <w:bottom w:val="single" w:sz="4" w:space="0" w:color="000000"/>
              <w:right w:val="single" w:sz="4" w:space="0" w:color="000000"/>
            </w:tcBorders>
          </w:tcPr>
          <w:p w14:paraId="0C0259B3"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A6100</w:t>
            </w:r>
          </w:p>
        </w:tc>
        <w:tc>
          <w:tcPr>
            <w:tcW w:w="2339" w:type="dxa"/>
            <w:tcBorders>
              <w:top w:val="single" w:sz="4" w:space="0" w:color="000000"/>
              <w:left w:val="single" w:sz="4" w:space="0" w:color="000000"/>
              <w:bottom w:val="single" w:sz="4" w:space="0" w:color="000000"/>
              <w:right w:val="single" w:sz="4" w:space="0" w:color="000000"/>
            </w:tcBorders>
          </w:tcPr>
          <w:p w14:paraId="5137E385" w14:textId="77777777" w:rsidR="006F7E86" w:rsidRPr="001F545D" w:rsidRDefault="006F7E86" w:rsidP="006F7E86">
            <w:pPr>
              <w:pStyle w:val="TableParagraph"/>
              <w:kinsoku w:val="0"/>
              <w:overflowPunct w:val="0"/>
              <w:spacing w:line="186" w:lineRule="exact"/>
              <w:rPr>
                <w:rFonts w:eastAsia="Times New Roman"/>
                <w:spacing w:val="-2"/>
                <w:sz w:val="18"/>
                <w:szCs w:val="18"/>
              </w:rPr>
            </w:pPr>
            <w:r>
              <w:rPr>
                <w:sz w:val="18"/>
              </w:rPr>
              <w:t>A6150</w:t>
            </w:r>
          </w:p>
        </w:tc>
        <w:tc>
          <w:tcPr>
            <w:tcW w:w="2339" w:type="dxa"/>
            <w:tcBorders>
              <w:top w:val="single" w:sz="4" w:space="0" w:color="000000"/>
              <w:left w:val="single" w:sz="4" w:space="0" w:color="000000"/>
              <w:bottom w:val="single" w:sz="4" w:space="0" w:color="000000"/>
              <w:right w:val="single" w:sz="4" w:space="0" w:color="000000"/>
            </w:tcBorders>
          </w:tcPr>
          <w:p w14:paraId="682047B2" w14:textId="77777777" w:rsidR="006F7E86" w:rsidRPr="001F545D" w:rsidRDefault="006F7E86" w:rsidP="006F7E86">
            <w:pPr>
              <w:pStyle w:val="TableParagraph"/>
              <w:kinsoku w:val="0"/>
              <w:overflowPunct w:val="0"/>
              <w:spacing w:line="186" w:lineRule="exact"/>
              <w:ind w:left="106"/>
              <w:rPr>
                <w:rFonts w:eastAsia="Times New Roman"/>
                <w:spacing w:val="-2"/>
                <w:sz w:val="18"/>
                <w:szCs w:val="18"/>
              </w:rPr>
            </w:pPr>
            <w:r>
              <w:rPr>
                <w:sz w:val="18"/>
              </w:rPr>
              <w:t>A6210</w:t>
            </w:r>
          </w:p>
        </w:tc>
        <w:tc>
          <w:tcPr>
            <w:tcW w:w="2339" w:type="dxa"/>
            <w:tcBorders>
              <w:top w:val="single" w:sz="4" w:space="0" w:color="000000"/>
              <w:left w:val="single" w:sz="4" w:space="0" w:color="000000"/>
              <w:bottom w:val="single" w:sz="4" w:space="0" w:color="000000"/>
              <w:right w:val="single" w:sz="4" w:space="0" w:color="000000"/>
            </w:tcBorders>
          </w:tcPr>
          <w:p w14:paraId="396B6476" w14:textId="77777777" w:rsidR="006F7E86" w:rsidRPr="001F545D" w:rsidRDefault="006F7E86" w:rsidP="006F7E86">
            <w:pPr>
              <w:pStyle w:val="TableParagraph"/>
              <w:kinsoku w:val="0"/>
              <w:overflowPunct w:val="0"/>
              <w:spacing w:line="186" w:lineRule="exact"/>
              <w:ind w:left="105"/>
              <w:rPr>
                <w:rFonts w:eastAsia="Times New Roman"/>
                <w:spacing w:val="-2"/>
                <w:sz w:val="18"/>
                <w:szCs w:val="18"/>
              </w:rPr>
            </w:pPr>
            <w:r>
              <w:rPr>
                <w:sz w:val="18"/>
              </w:rPr>
              <w:t>A7000</w:t>
            </w:r>
          </w:p>
        </w:tc>
      </w:tr>
      <w:tr w:rsidR="006F7E86" w:rsidRPr="001F545D" w14:paraId="2F541ED0" w14:textId="77777777">
        <w:trPr>
          <w:trHeight w:val="208"/>
        </w:trPr>
        <w:tc>
          <w:tcPr>
            <w:tcW w:w="2338" w:type="dxa"/>
            <w:tcBorders>
              <w:top w:val="single" w:sz="4" w:space="0" w:color="000000"/>
              <w:left w:val="single" w:sz="4" w:space="0" w:color="000000"/>
              <w:bottom w:val="single" w:sz="4" w:space="0" w:color="000000"/>
              <w:right w:val="single" w:sz="4" w:space="0" w:color="000000"/>
            </w:tcBorders>
          </w:tcPr>
          <w:p w14:paraId="76196E7E" w14:textId="77777777" w:rsidR="006F7E86" w:rsidRPr="001F545D" w:rsidRDefault="006F7E86" w:rsidP="003608D0">
            <w:pPr>
              <w:pStyle w:val="TableParagraph"/>
              <w:kinsoku w:val="0"/>
              <w:overflowPunct w:val="0"/>
              <w:spacing w:line="188" w:lineRule="exact"/>
              <w:ind w:left="106"/>
              <w:rPr>
                <w:rFonts w:ascii="Times New Roman" w:hAnsi="Times New Roman" w:cs="Times New Roman"/>
                <w:sz w:val="14"/>
                <w:szCs w:val="14"/>
              </w:rPr>
            </w:pPr>
            <w:r>
              <w:rPr>
                <w:sz w:val="18"/>
              </w:rPr>
              <w:t>A8000</w:t>
            </w:r>
          </w:p>
        </w:tc>
        <w:tc>
          <w:tcPr>
            <w:tcW w:w="2339" w:type="dxa"/>
            <w:tcBorders>
              <w:top w:val="single" w:sz="4" w:space="0" w:color="000000"/>
              <w:left w:val="single" w:sz="4" w:space="0" w:color="000000"/>
              <w:bottom w:val="single" w:sz="4" w:space="0" w:color="000000"/>
              <w:right w:val="single" w:sz="4" w:space="0" w:color="000000"/>
            </w:tcBorders>
          </w:tcPr>
          <w:p w14:paraId="48B0DE6B"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4451987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c>
          <w:tcPr>
            <w:tcW w:w="2339" w:type="dxa"/>
            <w:tcBorders>
              <w:top w:val="single" w:sz="4" w:space="0" w:color="000000"/>
              <w:left w:val="single" w:sz="4" w:space="0" w:color="000000"/>
              <w:bottom w:val="single" w:sz="4" w:space="0" w:color="000000"/>
              <w:right w:val="single" w:sz="4" w:space="0" w:color="000000"/>
            </w:tcBorders>
          </w:tcPr>
          <w:p w14:paraId="095224A2" w14:textId="77777777" w:rsidR="006F7E86" w:rsidRPr="001F545D" w:rsidRDefault="006F7E86" w:rsidP="006F7E86">
            <w:pPr>
              <w:pStyle w:val="TableParagraph"/>
              <w:kinsoku w:val="0"/>
              <w:overflowPunct w:val="0"/>
              <w:ind w:left="0"/>
              <w:rPr>
                <w:rFonts w:ascii="Times New Roman" w:hAnsi="Times New Roman" w:cs="Times New Roman"/>
                <w:sz w:val="14"/>
                <w:szCs w:val="14"/>
              </w:rPr>
            </w:pPr>
          </w:p>
        </w:tc>
      </w:tr>
    </w:tbl>
    <w:p w14:paraId="492EE1BC" w14:textId="77777777" w:rsidR="00DF3509" w:rsidRDefault="00DF3509">
      <w:pPr>
        <w:pStyle w:val="BodyText"/>
        <w:kinsoku w:val="0"/>
        <w:overflowPunct w:val="0"/>
        <w:rPr>
          <w:rFonts w:ascii="Cambria" w:hAnsi="Cambria" w:cs="Cambria"/>
          <w:i/>
          <w:iCs/>
          <w:sz w:val="20"/>
          <w:szCs w:val="20"/>
        </w:rPr>
      </w:pPr>
    </w:p>
    <w:p w14:paraId="2696D0C6" w14:textId="77777777" w:rsidR="00DF3509" w:rsidRDefault="00DF3509">
      <w:pPr>
        <w:pStyle w:val="BodyText"/>
        <w:kinsoku w:val="0"/>
        <w:overflowPunct w:val="0"/>
        <w:spacing w:line="276" w:lineRule="auto"/>
        <w:ind w:left="840" w:right="873"/>
      </w:pPr>
      <w:r>
        <w:t xml:space="preserve">Vorsicht bei der </w:t>
      </w:r>
      <w:r>
        <w:rPr>
          <w:b/>
        </w:rPr>
        <w:t>Installation</w:t>
      </w:r>
      <w:r>
        <w:t xml:space="preserve"> dieses Geräts im Außenbereich: Beachten Sie, dass Installationen im Außenbereich besondere Aufmerksamkeit erfordern und nur von entsprechend geschulten und qualifizierten Fachkräften durchgeführt werden dürfen. Privatpersonen ist es nicht gestattet, NETGEAR WLAN-Produkte im Außenbereich zu installieren, wenn für die Verwendung externe Antennen, Stromzufuhr und Erdung installiert werden müssen.</w:t>
      </w:r>
    </w:p>
    <w:p w14:paraId="02D40FDA" w14:textId="77777777" w:rsidR="006F7E86" w:rsidRDefault="00DF3509">
      <w:pPr>
        <w:pStyle w:val="BodyText"/>
        <w:kinsoku w:val="0"/>
        <w:overflowPunct w:val="0"/>
        <w:spacing w:before="1" w:line="276" w:lineRule="auto"/>
        <w:ind w:left="840" w:right="779"/>
      </w:pPr>
      <w:r>
        <w:t xml:space="preserve">Insbesondere müssen die zulässigen Betriebsfrequenzen beachtet werden. Falls dieses Produkt besondere Anforderungen im Hinblick auf die Installation im Außenbereich erfüllen muss, wenden Sie sich bitte an NETGEAR, um zu erfahren, wie Sie einen entsprechenden Installationspartner finden können. </w:t>
      </w:r>
    </w:p>
    <w:p w14:paraId="1C70E275" w14:textId="77777777" w:rsidR="006F7E86" w:rsidRDefault="006F7E86">
      <w:pPr>
        <w:pStyle w:val="BodyText"/>
        <w:kinsoku w:val="0"/>
        <w:overflowPunct w:val="0"/>
        <w:spacing w:before="1" w:line="276" w:lineRule="auto"/>
        <w:ind w:left="840" w:right="779"/>
      </w:pPr>
    </w:p>
    <w:p w14:paraId="31AC6831" w14:textId="2CB9FA01" w:rsidR="00DF3509" w:rsidRDefault="00DF3509">
      <w:pPr>
        <w:pStyle w:val="BodyText"/>
        <w:kinsoku w:val="0"/>
        <w:overflowPunct w:val="0"/>
        <w:spacing w:before="1" w:line="276" w:lineRule="auto"/>
        <w:ind w:left="840" w:right="779"/>
      </w:pPr>
      <w:r>
        <w:t xml:space="preserve">Ausführliche Informationen zu Installationen in Frankreich erhalten Sie bei der nationalen Frequenzbehörde in Frankreich </w:t>
      </w:r>
      <w:r w:rsidR="00FE3A82">
        <w:fldChar w:fldCharType="begin"/>
      </w:r>
      <w:r w:rsidR="00FE3A82">
        <w:instrText>HYPERLINK "http://www.arcep.fr/"</w:instrText>
      </w:r>
      <w:r w:rsidR="00FE3A82">
        <w:fldChar w:fldCharType="separate"/>
      </w:r>
      <w:r>
        <w:t>(http://</w:t>
      </w:r>
      <w:r w:rsidR="00FE3A82">
        <w:fldChar w:fldCharType="end"/>
      </w:r>
      <w:hyperlink r:id="rId10" w:history="1">
        <w:r>
          <w:t>www.arcep.fr/</w:t>
        </w:r>
      </w:hyperlink>
      <w:r>
        <w:t>)</w:t>
      </w:r>
    </w:p>
    <w:p w14:paraId="3E25E76F" w14:textId="77777777" w:rsidR="00C5519F" w:rsidRPr="003608D0" w:rsidRDefault="00DF3509" w:rsidP="003608D0">
      <w:pPr>
        <w:pStyle w:val="BodyText"/>
        <w:kinsoku w:val="0"/>
        <w:overflowPunct w:val="0"/>
        <w:spacing w:before="120" w:line="276" w:lineRule="auto"/>
        <w:ind w:left="839" w:right="777"/>
        <w:rPr>
          <w:spacing w:val="-5"/>
        </w:rPr>
      </w:pPr>
      <w:r>
        <w:t xml:space="preserve">Wird das Gerät in den folgenden Frequenzbereichen betrieben, darf es in einigen Ländern nur in Innenräumen eingesetzt werden: </w:t>
      </w:r>
    </w:p>
    <w:p w14:paraId="4F2C59AD" w14:textId="77777777" w:rsidR="00DF3509" w:rsidRDefault="00DF3509" w:rsidP="003608D0">
      <w:pPr>
        <w:pStyle w:val="BodyText"/>
        <w:kinsoku w:val="0"/>
        <w:overflowPunct w:val="0"/>
        <w:spacing w:line="280" w:lineRule="atLeast"/>
        <w:ind w:left="2160" w:right="1746" w:hanging="720"/>
      </w:pPr>
      <w:r>
        <w:t>5150 bis 5350 MHz</w:t>
      </w:r>
    </w:p>
    <w:p w14:paraId="73791F35" w14:textId="77777777" w:rsidR="00DF3509" w:rsidRPr="00D64177" w:rsidRDefault="00DF3509" w:rsidP="00C5519F">
      <w:pPr>
        <w:pStyle w:val="BodyText"/>
        <w:kinsoku w:val="0"/>
        <w:overflowPunct w:val="0"/>
        <w:spacing w:before="8"/>
        <w:ind w:left="1440"/>
        <w:rPr>
          <w:spacing w:val="-5"/>
        </w:rPr>
      </w:pPr>
      <w:r>
        <w:t>5925 bis 7125 MHz</w:t>
      </w:r>
    </w:p>
    <w:p w14:paraId="08AF1A89" w14:textId="77777777" w:rsidR="00C5519F" w:rsidRPr="00D64177" w:rsidRDefault="00C5519F" w:rsidP="003608D0">
      <w:pPr>
        <w:pStyle w:val="BodyText"/>
        <w:kinsoku w:val="0"/>
        <w:overflowPunct w:val="0"/>
        <w:spacing w:before="120" w:line="276" w:lineRule="auto"/>
        <w:ind w:left="839" w:right="777"/>
        <w:rPr>
          <w:spacing w:val="-5"/>
        </w:rPr>
      </w:pPr>
      <w:r>
        <w:t xml:space="preserve">Weitere Informationen erhalten Sie bei der zuständigen Behörde. </w:t>
      </w:r>
    </w:p>
    <w:p w14:paraId="4099AAFF" w14:textId="77777777" w:rsidR="00DF3509" w:rsidRDefault="00DF3509" w:rsidP="003608D0">
      <w:pPr>
        <w:pStyle w:val="BodyText"/>
        <w:kinsoku w:val="0"/>
        <w:overflowPunct w:val="0"/>
        <w:spacing w:before="120" w:line="278" w:lineRule="auto"/>
        <w:ind w:left="839" w:right="873"/>
      </w:pPr>
      <w:r>
        <w:t>Die FCC- und ISED-Bestimmungen beschränken den Betrieb dieses Geräts auf den Betrieb in Innenräumen im Access Point-Modus bei den Frequenzen 5850 bis 7125 MHz.</w:t>
      </w:r>
    </w:p>
    <w:p w14:paraId="33B5DE94" w14:textId="77777777" w:rsidR="000A6F99" w:rsidRDefault="000A6F99" w:rsidP="003608D0">
      <w:pPr>
        <w:pStyle w:val="BodyText"/>
        <w:kinsoku w:val="0"/>
        <w:overflowPunct w:val="0"/>
        <w:spacing w:before="120" w:line="278" w:lineRule="auto"/>
        <w:ind w:left="839" w:right="873"/>
      </w:pPr>
    </w:p>
    <w:p w14:paraId="289EFBBE" w14:textId="77777777" w:rsidR="000A6F99" w:rsidRPr="00D64177" w:rsidRDefault="000A6F99" w:rsidP="003608D0">
      <w:pPr>
        <w:pStyle w:val="BodyText"/>
        <w:kinsoku w:val="0"/>
        <w:overflowPunct w:val="0"/>
        <w:spacing w:before="120" w:line="278" w:lineRule="auto"/>
        <w:ind w:left="839" w:right="873"/>
      </w:pPr>
    </w:p>
    <w:p w14:paraId="6241DF70" w14:textId="77777777" w:rsidR="00DF3509" w:rsidRPr="00D64177" w:rsidRDefault="00DF3509">
      <w:pPr>
        <w:pStyle w:val="BodyText"/>
        <w:kinsoku w:val="0"/>
        <w:overflowPunct w:val="0"/>
        <w:spacing w:before="2"/>
        <w:rPr>
          <w:sz w:val="17"/>
          <w:szCs w:val="17"/>
        </w:rPr>
      </w:pPr>
    </w:p>
    <w:p w14:paraId="1425AD9F" w14:textId="77777777" w:rsidR="00DF3509" w:rsidRDefault="00DF3509">
      <w:pPr>
        <w:pStyle w:val="Heading2"/>
        <w:kinsoku w:val="0"/>
        <w:overflowPunct w:val="0"/>
        <w:spacing w:before="1"/>
        <w:rPr>
          <w:spacing w:val="-2"/>
        </w:rPr>
      </w:pPr>
      <w:bookmarkStart w:id="17" w:name="_bookmark8"/>
      <w:bookmarkStart w:id="18" w:name="_Toc147502451"/>
      <w:bookmarkEnd w:id="17"/>
      <w:r>
        <w:lastRenderedPageBreak/>
        <w:t>Geräte mit externen Antennen</w:t>
      </w:r>
      <w:bookmarkEnd w:id="18"/>
    </w:p>
    <w:p w14:paraId="04826FC0" w14:textId="77777777" w:rsidR="00DF3509" w:rsidRDefault="00DF3509">
      <w:pPr>
        <w:pStyle w:val="BodyText"/>
        <w:kinsoku w:val="0"/>
        <w:overflowPunct w:val="0"/>
        <w:spacing w:before="102" w:line="278" w:lineRule="auto"/>
        <w:ind w:left="840" w:right="873"/>
      </w:pPr>
      <w:r>
        <w:t>Die Geräte müssen die angegebenen Antennen und Kabel oder solche verwenden, bei denen die Nettoverstärkung (Antenne + Kabel) geringer ist als unten angegeben:</w:t>
      </w:r>
    </w:p>
    <w:p w14:paraId="4AB1C523" w14:textId="77777777" w:rsidR="00DF3509" w:rsidRDefault="00DF3509">
      <w:pPr>
        <w:pStyle w:val="BodyText"/>
        <w:kinsoku w:val="0"/>
        <w:overflowPunct w:val="0"/>
        <w:spacing w:before="79" w:after="33"/>
        <w:ind w:left="840"/>
        <w:rPr>
          <w:rFonts w:ascii="Cambria" w:hAnsi="Cambria" w:cs="Cambria"/>
          <w:i/>
          <w:iCs/>
          <w:color w:val="365F91"/>
          <w:spacing w:val="-4"/>
        </w:rPr>
      </w:pPr>
      <w:r>
        <w:rPr>
          <w:rFonts w:ascii="Cambria" w:hAnsi="Cambria"/>
          <w:i/>
          <w:color w:val="365F91"/>
        </w:rPr>
        <w:t>Tabelle 2: Externe Antennenverstärkung</w:t>
      </w:r>
    </w:p>
    <w:tbl>
      <w:tblPr>
        <w:tblW w:w="0" w:type="auto"/>
        <w:tblInd w:w="850" w:type="dxa"/>
        <w:tblLayout w:type="fixed"/>
        <w:tblCellMar>
          <w:left w:w="0" w:type="dxa"/>
          <w:right w:w="0" w:type="dxa"/>
        </w:tblCellMar>
        <w:tblLook w:val="0000" w:firstRow="0" w:lastRow="0" w:firstColumn="0" w:lastColumn="0" w:noHBand="0" w:noVBand="0"/>
      </w:tblPr>
      <w:tblGrid>
        <w:gridCol w:w="2054"/>
        <w:gridCol w:w="3301"/>
        <w:gridCol w:w="1299"/>
        <w:gridCol w:w="3240"/>
      </w:tblGrid>
      <w:tr w:rsidR="00DF3509" w:rsidRPr="001F545D" w14:paraId="3ED5FCD4" w14:textId="77777777" w:rsidTr="000A6F99">
        <w:trPr>
          <w:trHeight w:val="1033"/>
        </w:trPr>
        <w:tc>
          <w:tcPr>
            <w:tcW w:w="2054" w:type="dxa"/>
            <w:tcBorders>
              <w:top w:val="single" w:sz="4" w:space="0" w:color="000000"/>
              <w:left w:val="single" w:sz="4" w:space="0" w:color="000000"/>
              <w:bottom w:val="single" w:sz="4" w:space="0" w:color="000000"/>
              <w:right w:val="single" w:sz="4" w:space="0" w:color="000000"/>
            </w:tcBorders>
          </w:tcPr>
          <w:p w14:paraId="20E49EC4" w14:textId="77777777" w:rsidR="00DF3509" w:rsidRPr="001F545D" w:rsidRDefault="00DF3509">
            <w:pPr>
              <w:pStyle w:val="TableParagraph"/>
              <w:kinsoku w:val="0"/>
              <w:overflowPunct w:val="0"/>
              <w:spacing w:line="206" w:lineRule="exact"/>
              <w:rPr>
                <w:rFonts w:eastAsia="Times New Roman"/>
                <w:b/>
                <w:bCs/>
                <w:spacing w:val="-2"/>
                <w:sz w:val="18"/>
                <w:szCs w:val="18"/>
              </w:rPr>
            </w:pPr>
            <w:r>
              <w:rPr>
                <w:b/>
                <w:sz w:val="18"/>
              </w:rPr>
              <w:t>Produkt</w:t>
            </w:r>
          </w:p>
        </w:tc>
        <w:tc>
          <w:tcPr>
            <w:tcW w:w="3301" w:type="dxa"/>
            <w:tcBorders>
              <w:top w:val="single" w:sz="4" w:space="0" w:color="000000"/>
              <w:left w:val="single" w:sz="4" w:space="0" w:color="000000"/>
              <w:bottom w:val="single" w:sz="4" w:space="0" w:color="000000"/>
              <w:right w:val="single" w:sz="4" w:space="0" w:color="000000"/>
            </w:tcBorders>
          </w:tcPr>
          <w:p w14:paraId="7DAB90E1" w14:textId="77777777" w:rsidR="00DF3509" w:rsidRPr="001F545D" w:rsidRDefault="00DF3509">
            <w:pPr>
              <w:pStyle w:val="TableParagraph"/>
              <w:kinsoku w:val="0"/>
              <w:overflowPunct w:val="0"/>
              <w:spacing w:line="206" w:lineRule="exact"/>
              <w:ind w:left="105"/>
              <w:rPr>
                <w:rFonts w:eastAsia="Times New Roman"/>
                <w:b/>
                <w:bCs/>
                <w:spacing w:val="-2"/>
                <w:sz w:val="18"/>
                <w:szCs w:val="18"/>
              </w:rPr>
            </w:pPr>
            <w:r>
              <w:rPr>
                <w:b/>
                <w:sz w:val="18"/>
              </w:rPr>
              <w:t>Frequenz</w:t>
            </w:r>
          </w:p>
        </w:tc>
        <w:tc>
          <w:tcPr>
            <w:tcW w:w="1299" w:type="dxa"/>
            <w:tcBorders>
              <w:top w:val="single" w:sz="4" w:space="0" w:color="000000"/>
              <w:left w:val="single" w:sz="4" w:space="0" w:color="000000"/>
              <w:bottom w:val="single" w:sz="4" w:space="0" w:color="000000"/>
              <w:right w:val="single" w:sz="4" w:space="0" w:color="000000"/>
            </w:tcBorders>
          </w:tcPr>
          <w:p w14:paraId="39E1F31C" w14:textId="69757B02" w:rsidR="00DF3509" w:rsidRPr="001F545D" w:rsidRDefault="00DF3509">
            <w:pPr>
              <w:pStyle w:val="TableParagraph"/>
              <w:kinsoku w:val="0"/>
              <w:overflowPunct w:val="0"/>
              <w:ind w:left="108" w:right="124"/>
              <w:rPr>
                <w:rFonts w:eastAsia="Times New Roman"/>
                <w:b/>
                <w:bCs/>
                <w:spacing w:val="-2"/>
                <w:sz w:val="18"/>
                <w:szCs w:val="18"/>
              </w:rPr>
            </w:pPr>
            <w:r>
              <w:rPr>
                <w:b/>
                <w:sz w:val="18"/>
              </w:rPr>
              <w:t>Maximale Nettoverstärkung der</w:t>
            </w:r>
          </w:p>
          <w:p w14:paraId="2C385E40" w14:textId="77777777" w:rsidR="00DF3509" w:rsidRPr="001F545D" w:rsidRDefault="00DF3509">
            <w:pPr>
              <w:pStyle w:val="TableParagraph"/>
              <w:kinsoku w:val="0"/>
              <w:overflowPunct w:val="0"/>
              <w:spacing w:line="206" w:lineRule="exact"/>
              <w:ind w:left="108" w:right="213"/>
              <w:rPr>
                <w:rFonts w:eastAsia="Times New Roman"/>
                <w:b/>
                <w:bCs/>
                <w:spacing w:val="-2"/>
                <w:sz w:val="18"/>
                <w:szCs w:val="18"/>
              </w:rPr>
            </w:pPr>
            <w:r>
              <w:rPr>
                <w:b/>
                <w:sz w:val="18"/>
              </w:rPr>
              <w:t>externen Antenne (dBi)</w:t>
            </w:r>
          </w:p>
        </w:tc>
        <w:tc>
          <w:tcPr>
            <w:tcW w:w="3240" w:type="dxa"/>
            <w:tcBorders>
              <w:top w:val="single" w:sz="4" w:space="0" w:color="000000"/>
              <w:left w:val="single" w:sz="4" w:space="0" w:color="000000"/>
              <w:bottom w:val="single" w:sz="4" w:space="0" w:color="000000"/>
              <w:right w:val="single" w:sz="4" w:space="0" w:color="000000"/>
            </w:tcBorders>
          </w:tcPr>
          <w:p w14:paraId="0984985E" w14:textId="77777777" w:rsidR="00DF3509" w:rsidRPr="001F545D" w:rsidRDefault="00DF3509">
            <w:pPr>
              <w:pStyle w:val="TableParagraph"/>
              <w:kinsoku w:val="0"/>
              <w:overflowPunct w:val="0"/>
              <w:ind w:left="109" w:right="874"/>
              <w:rPr>
                <w:rFonts w:eastAsia="Times New Roman"/>
                <w:b/>
                <w:bCs/>
                <w:spacing w:val="-2"/>
                <w:sz w:val="18"/>
                <w:szCs w:val="18"/>
              </w:rPr>
            </w:pPr>
            <w:r>
              <w:rPr>
                <w:b/>
                <w:sz w:val="18"/>
              </w:rPr>
              <w:t>Empfohlene oder Standard-Antenne(n)</w:t>
            </w:r>
          </w:p>
        </w:tc>
      </w:tr>
      <w:tr w:rsidR="00DF3509" w:rsidRPr="001F545D" w14:paraId="42FB26FC"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32513113" w14:textId="77777777" w:rsidR="00DF3509" w:rsidRPr="001F545D" w:rsidRDefault="00DF3509">
            <w:pPr>
              <w:pStyle w:val="TableParagraph"/>
              <w:kinsoku w:val="0"/>
              <w:overflowPunct w:val="0"/>
              <w:spacing w:before="1"/>
              <w:rPr>
                <w:rFonts w:eastAsia="Times New Roman"/>
                <w:spacing w:val="-2"/>
                <w:sz w:val="18"/>
                <w:szCs w:val="18"/>
              </w:rPr>
            </w:pPr>
            <w:r>
              <w:rPr>
                <w:sz w:val="18"/>
              </w:rPr>
              <w:t>EX6200</w:t>
            </w:r>
          </w:p>
        </w:tc>
        <w:tc>
          <w:tcPr>
            <w:tcW w:w="3301" w:type="dxa"/>
            <w:tcBorders>
              <w:top w:val="single" w:sz="4" w:space="0" w:color="000000"/>
              <w:left w:val="single" w:sz="4" w:space="0" w:color="000000"/>
              <w:bottom w:val="single" w:sz="4" w:space="0" w:color="000000"/>
              <w:right w:val="single" w:sz="4" w:space="0" w:color="000000"/>
            </w:tcBorders>
          </w:tcPr>
          <w:p w14:paraId="6FD47A7E"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456C36C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637D2AB5"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3DC3C1E" w14:textId="77777777" w:rsidR="00DF3509" w:rsidRPr="001F545D" w:rsidRDefault="00DF3509">
            <w:pPr>
              <w:pStyle w:val="TableParagraph"/>
              <w:kinsoku w:val="0"/>
              <w:overflowPunct w:val="0"/>
              <w:spacing w:before="1"/>
              <w:ind w:left="109"/>
              <w:rPr>
                <w:rFonts w:eastAsia="Times New Roman"/>
                <w:spacing w:val="-2"/>
                <w:sz w:val="17"/>
                <w:szCs w:val="17"/>
              </w:rPr>
            </w:pPr>
            <w:r>
              <w:rPr>
                <w:sz w:val="18"/>
              </w:rPr>
              <w:t xml:space="preserve">Masterwave </w:t>
            </w:r>
            <w:r>
              <w:rPr>
                <w:sz w:val="17"/>
              </w:rPr>
              <w:t>98619PRSX005</w:t>
            </w:r>
          </w:p>
        </w:tc>
      </w:tr>
      <w:tr w:rsidR="00DF3509" w:rsidRPr="001F545D" w14:paraId="62D2B356"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38137474"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RS400</w:t>
            </w:r>
          </w:p>
        </w:tc>
        <w:tc>
          <w:tcPr>
            <w:tcW w:w="3301" w:type="dxa"/>
            <w:tcBorders>
              <w:top w:val="single" w:sz="4" w:space="0" w:color="000000"/>
              <w:left w:val="single" w:sz="4" w:space="0" w:color="000000"/>
              <w:bottom w:val="single" w:sz="4" w:space="0" w:color="000000"/>
              <w:right w:val="single" w:sz="4" w:space="0" w:color="000000"/>
            </w:tcBorders>
          </w:tcPr>
          <w:p w14:paraId="5D6756F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081015F"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501E9511"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0499B2C"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98364PRSX004</w:t>
            </w:r>
          </w:p>
        </w:tc>
      </w:tr>
      <w:tr w:rsidR="00DF3509" w:rsidRPr="001F545D" w14:paraId="561E10EB" w14:textId="77777777" w:rsidTr="000A6F99">
        <w:trPr>
          <w:trHeight w:val="412"/>
        </w:trPr>
        <w:tc>
          <w:tcPr>
            <w:tcW w:w="2054" w:type="dxa"/>
            <w:tcBorders>
              <w:top w:val="single" w:sz="4" w:space="0" w:color="000000"/>
              <w:left w:val="single" w:sz="4" w:space="0" w:color="000000"/>
              <w:bottom w:val="single" w:sz="4" w:space="0" w:color="000000"/>
              <w:right w:val="single" w:sz="4" w:space="0" w:color="000000"/>
            </w:tcBorders>
          </w:tcPr>
          <w:p w14:paraId="4836C79A"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R6800</w:t>
            </w:r>
          </w:p>
        </w:tc>
        <w:tc>
          <w:tcPr>
            <w:tcW w:w="3301" w:type="dxa"/>
            <w:tcBorders>
              <w:top w:val="single" w:sz="4" w:space="0" w:color="000000"/>
              <w:left w:val="single" w:sz="4" w:space="0" w:color="000000"/>
              <w:bottom w:val="single" w:sz="4" w:space="0" w:color="000000"/>
              <w:right w:val="single" w:sz="4" w:space="0" w:color="000000"/>
            </w:tcBorders>
          </w:tcPr>
          <w:p w14:paraId="7894453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B30733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3CC1318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A966142"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98364PRSX004</w:t>
            </w:r>
          </w:p>
        </w:tc>
      </w:tr>
      <w:tr w:rsidR="00DF3509" w:rsidRPr="001F545D" w14:paraId="2008C44C"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5A7BEF72" w14:textId="77777777" w:rsidR="00DF3509" w:rsidRPr="001F545D" w:rsidRDefault="00DF3509">
            <w:pPr>
              <w:pStyle w:val="TableParagraph"/>
              <w:kinsoku w:val="0"/>
              <w:overflowPunct w:val="0"/>
              <w:spacing w:before="1"/>
              <w:rPr>
                <w:rFonts w:eastAsia="Times New Roman"/>
                <w:spacing w:val="-2"/>
                <w:sz w:val="18"/>
                <w:szCs w:val="18"/>
              </w:rPr>
            </w:pPr>
            <w:r>
              <w:rPr>
                <w:sz w:val="18"/>
              </w:rPr>
              <w:t>R6900P, R7000P</w:t>
            </w:r>
          </w:p>
        </w:tc>
        <w:tc>
          <w:tcPr>
            <w:tcW w:w="3301" w:type="dxa"/>
            <w:tcBorders>
              <w:top w:val="single" w:sz="4" w:space="0" w:color="000000"/>
              <w:left w:val="single" w:sz="4" w:space="0" w:color="000000"/>
              <w:bottom w:val="single" w:sz="4" w:space="0" w:color="000000"/>
              <w:right w:val="single" w:sz="4" w:space="0" w:color="000000"/>
            </w:tcBorders>
          </w:tcPr>
          <w:p w14:paraId="5F9DCDB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43E9D580"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7CB0582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433BDE5" w14:textId="77777777" w:rsidR="00DF3509" w:rsidRPr="001F545D" w:rsidRDefault="00DF3509">
            <w:pPr>
              <w:pStyle w:val="TableParagraph"/>
              <w:kinsoku w:val="0"/>
              <w:overflowPunct w:val="0"/>
              <w:spacing w:before="1"/>
              <w:ind w:left="109"/>
              <w:rPr>
                <w:rFonts w:eastAsia="Times New Roman"/>
                <w:spacing w:val="-2"/>
                <w:sz w:val="18"/>
                <w:szCs w:val="18"/>
              </w:rPr>
            </w:pPr>
            <w:r>
              <w:rPr>
                <w:sz w:val="18"/>
              </w:rPr>
              <w:t>Masterwave 98364PRSX004</w:t>
            </w:r>
          </w:p>
        </w:tc>
      </w:tr>
      <w:tr w:rsidR="00DF3509" w:rsidRPr="001F545D" w14:paraId="0A189C98"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0B5F63BD"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R6900, R7450</w:t>
            </w:r>
          </w:p>
        </w:tc>
        <w:tc>
          <w:tcPr>
            <w:tcW w:w="3301" w:type="dxa"/>
            <w:tcBorders>
              <w:top w:val="single" w:sz="4" w:space="0" w:color="000000"/>
              <w:left w:val="single" w:sz="4" w:space="0" w:color="000000"/>
              <w:bottom w:val="single" w:sz="4" w:space="0" w:color="000000"/>
              <w:right w:val="single" w:sz="4" w:space="0" w:color="000000"/>
            </w:tcBorders>
          </w:tcPr>
          <w:p w14:paraId="6582121D"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49FDD52D" w14:textId="77777777" w:rsidR="00DF3509" w:rsidRPr="001F545D" w:rsidRDefault="00DF3509">
            <w:pPr>
              <w:pStyle w:val="TableParagraph"/>
              <w:kinsoku w:val="0"/>
              <w:overflowPunct w:val="0"/>
              <w:spacing w:before="2" w:line="187"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29E7F5B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2CB3E0F"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Masterwave 98364PRSX009</w:t>
            </w:r>
          </w:p>
        </w:tc>
      </w:tr>
      <w:tr w:rsidR="00DF3509" w:rsidRPr="001F545D" w14:paraId="177A011E" w14:textId="77777777" w:rsidTr="000A6F99">
        <w:trPr>
          <w:trHeight w:val="412"/>
        </w:trPr>
        <w:tc>
          <w:tcPr>
            <w:tcW w:w="2054" w:type="dxa"/>
            <w:tcBorders>
              <w:top w:val="single" w:sz="4" w:space="0" w:color="000000"/>
              <w:left w:val="single" w:sz="4" w:space="0" w:color="000000"/>
              <w:bottom w:val="single" w:sz="4" w:space="0" w:color="000000"/>
              <w:right w:val="single" w:sz="4" w:space="0" w:color="000000"/>
            </w:tcBorders>
          </w:tcPr>
          <w:p w14:paraId="6D3C3035" w14:textId="77777777" w:rsidR="00DF3509" w:rsidRPr="001F545D" w:rsidRDefault="00DF3509">
            <w:pPr>
              <w:pStyle w:val="TableParagraph"/>
              <w:kinsoku w:val="0"/>
              <w:overflowPunct w:val="0"/>
              <w:spacing w:line="207" w:lineRule="exact"/>
              <w:rPr>
                <w:rFonts w:eastAsia="Times New Roman"/>
                <w:spacing w:val="-2"/>
                <w:sz w:val="18"/>
                <w:szCs w:val="18"/>
              </w:rPr>
            </w:pPr>
            <w:r>
              <w:rPr>
                <w:sz w:val="18"/>
              </w:rPr>
              <w:t>AC2600,</w:t>
            </w:r>
          </w:p>
        </w:tc>
        <w:tc>
          <w:tcPr>
            <w:tcW w:w="3301" w:type="dxa"/>
            <w:tcBorders>
              <w:top w:val="single" w:sz="4" w:space="0" w:color="000000"/>
              <w:left w:val="single" w:sz="4" w:space="0" w:color="000000"/>
              <w:bottom w:val="single" w:sz="4" w:space="0" w:color="000000"/>
              <w:right w:val="single" w:sz="4" w:space="0" w:color="000000"/>
            </w:tcBorders>
          </w:tcPr>
          <w:p w14:paraId="39125BEA"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105CE0D3"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5629B6B3"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1952C5C6" w14:textId="77777777" w:rsidR="00DF3509" w:rsidRPr="001F545D" w:rsidRDefault="00DF3509">
            <w:pPr>
              <w:pStyle w:val="TableParagraph"/>
              <w:kinsoku w:val="0"/>
              <w:overflowPunct w:val="0"/>
              <w:spacing w:line="207" w:lineRule="exact"/>
              <w:ind w:left="109"/>
              <w:rPr>
                <w:rFonts w:eastAsia="Times New Roman"/>
                <w:spacing w:val="-2"/>
                <w:sz w:val="18"/>
                <w:szCs w:val="18"/>
              </w:rPr>
            </w:pPr>
            <w:r>
              <w:rPr>
                <w:sz w:val="18"/>
              </w:rPr>
              <w:t>Masterwave 98364PRSX009</w:t>
            </w:r>
          </w:p>
        </w:tc>
      </w:tr>
      <w:tr w:rsidR="00DF3509" w:rsidRPr="001F545D" w14:paraId="07312497"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3E899A9D" w14:textId="77777777" w:rsidR="00DF3509" w:rsidRPr="001F545D" w:rsidRDefault="00DF3509">
            <w:pPr>
              <w:pStyle w:val="TableParagraph"/>
              <w:kinsoku w:val="0"/>
              <w:overflowPunct w:val="0"/>
              <w:spacing w:before="1"/>
              <w:rPr>
                <w:rFonts w:eastAsia="Times New Roman"/>
                <w:spacing w:val="-4"/>
                <w:sz w:val="18"/>
                <w:szCs w:val="18"/>
              </w:rPr>
            </w:pPr>
            <w:r>
              <w:rPr>
                <w:sz w:val="18"/>
              </w:rPr>
              <w:t>R7200, R7350, R7400</w:t>
            </w:r>
          </w:p>
        </w:tc>
        <w:tc>
          <w:tcPr>
            <w:tcW w:w="3301" w:type="dxa"/>
            <w:tcBorders>
              <w:top w:val="single" w:sz="4" w:space="0" w:color="000000"/>
              <w:left w:val="single" w:sz="4" w:space="0" w:color="000000"/>
              <w:bottom w:val="single" w:sz="4" w:space="0" w:color="000000"/>
              <w:right w:val="single" w:sz="4" w:space="0" w:color="000000"/>
            </w:tcBorders>
          </w:tcPr>
          <w:p w14:paraId="3FFD5426"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74920AD8"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21B706E4"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5902D93" w14:textId="77777777" w:rsidR="00DF3509" w:rsidRPr="001F545D" w:rsidRDefault="00DF3509">
            <w:pPr>
              <w:pStyle w:val="TableParagraph"/>
              <w:kinsoku w:val="0"/>
              <w:overflowPunct w:val="0"/>
              <w:spacing w:before="1"/>
              <w:ind w:left="109"/>
              <w:rPr>
                <w:rFonts w:eastAsia="Times New Roman"/>
                <w:spacing w:val="-2"/>
                <w:sz w:val="18"/>
                <w:szCs w:val="18"/>
              </w:rPr>
            </w:pPr>
            <w:r>
              <w:rPr>
                <w:sz w:val="18"/>
              </w:rPr>
              <w:t>Masterwave 98364PRSX009</w:t>
            </w:r>
          </w:p>
        </w:tc>
      </w:tr>
      <w:tr w:rsidR="00DF3509" w:rsidRPr="001F545D" w14:paraId="18E512D6"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03557393"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D7000</w:t>
            </w:r>
          </w:p>
        </w:tc>
        <w:tc>
          <w:tcPr>
            <w:tcW w:w="3301" w:type="dxa"/>
            <w:tcBorders>
              <w:top w:val="single" w:sz="4" w:space="0" w:color="000000"/>
              <w:left w:val="single" w:sz="4" w:space="0" w:color="000000"/>
              <w:bottom w:val="single" w:sz="4" w:space="0" w:color="000000"/>
              <w:right w:val="single" w:sz="4" w:space="0" w:color="000000"/>
            </w:tcBorders>
          </w:tcPr>
          <w:p w14:paraId="003F832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1F974437"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0920ABA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4566EED4" w14:textId="77777777" w:rsidR="00DF3509" w:rsidRPr="001F545D" w:rsidRDefault="00DF3509">
            <w:pPr>
              <w:pStyle w:val="TableParagraph"/>
              <w:kinsoku w:val="0"/>
              <w:overflowPunct w:val="0"/>
              <w:spacing w:line="206" w:lineRule="exact"/>
              <w:ind w:left="109"/>
              <w:rPr>
                <w:rFonts w:eastAsia="Times New Roman"/>
                <w:color w:val="333333"/>
                <w:spacing w:val="-2"/>
                <w:sz w:val="17"/>
                <w:szCs w:val="17"/>
              </w:rPr>
            </w:pPr>
            <w:r>
              <w:rPr>
                <w:sz w:val="18"/>
              </w:rPr>
              <w:t xml:space="preserve">Masterwave </w:t>
            </w:r>
            <w:r>
              <w:rPr>
                <w:color w:val="333333"/>
                <w:sz w:val="17"/>
              </w:rPr>
              <w:t>98365PRSX000</w:t>
            </w:r>
          </w:p>
        </w:tc>
      </w:tr>
      <w:tr w:rsidR="00DF3509" w:rsidRPr="001F545D" w14:paraId="19BABD8A" w14:textId="77777777" w:rsidTr="000A6F99">
        <w:trPr>
          <w:trHeight w:val="412"/>
        </w:trPr>
        <w:tc>
          <w:tcPr>
            <w:tcW w:w="2054" w:type="dxa"/>
            <w:tcBorders>
              <w:top w:val="single" w:sz="4" w:space="0" w:color="000000"/>
              <w:left w:val="single" w:sz="4" w:space="0" w:color="000000"/>
              <w:bottom w:val="single" w:sz="4" w:space="0" w:color="000000"/>
              <w:right w:val="single" w:sz="4" w:space="0" w:color="000000"/>
            </w:tcBorders>
          </w:tcPr>
          <w:p w14:paraId="27104AB9"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EX7000, DC112A</w:t>
            </w:r>
          </w:p>
        </w:tc>
        <w:tc>
          <w:tcPr>
            <w:tcW w:w="3301" w:type="dxa"/>
            <w:tcBorders>
              <w:top w:val="single" w:sz="4" w:space="0" w:color="000000"/>
              <w:left w:val="single" w:sz="4" w:space="0" w:color="000000"/>
              <w:bottom w:val="single" w:sz="4" w:space="0" w:color="000000"/>
              <w:right w:val="single" w:sz="4" w:space="0" w:color="000000"/>
            </w:tcBorders>
          </w:tcPr>
          <w:p w14:paraId="370F70C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6664667"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7CA7BB86"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sz w:val="18"/>
              </w:rPr>
              <w:t>2dB</w:t>
            </w:r>
          </w:p>
        </w:tc>
        <w:tc>
          <w:tcPr>
            <w:tcW w:w="3240" w:type="dxa"/>
            <w:tcBorders>
              <w:top w:val="single" w:sz="4" w:space="0" w:color="000000"/>
              <w:left w:val="single" w:sz="4" w:space="0" w:color="000000"/>
              <w:bottom w:val="single" w:sz="4" w:space="0" w:color="000000"/>
              <w:right w:val="single" w:sz="4" w:space="0" w:color="000000"/>
            </w:tcBorders>
          </w:tcPr>
          <w:p w14:paraId="49D20947" w14:textId="77777777" w:rsidR="00DF3509" w:rsidRPr="001F545D" w:rsidRDefault="00DF3509">
            <w:pPr>
              <w:pStyle w:val="TableParagraph"/>
              <w:kinsoku w:val="0"/>
              <w:overflowPunct w:val="0"/>
              <w:spacing w:line="194" w:lineRule="exact"/>
              <w:ind w:left="109"/>
              <w:rPr>
                <w:rFonts w:eastAsia="Times New Roman"/>
                <w:color w:val="333333"/>
                <w:spacing w:val="-2"/>
                <w:sz w:val="17"/>
                <w:szCs w:val="17"/>
              </w:rPr>
            </w:pPr>
            <w:r>
              <w:rPr>
                <w:color w:val="333333"/>
                <w:sz w:val="17"/>
              </w:rPr>
              <w:t>Masterwave 98619PRSX006</w:t>
            </w:r>
          </w:p>
        </w:tc>
      </w:tr>
      <w:tr w:rsidR="00DF3509" w:rsidRPr="001F545D" w14:paraId="73926BC6"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2C061B52" w14:textId="77777777" w:rsidR="00DF3509" w:rsidRPr="001F545D" w:rsidRDefault="00DF3509">
            <w:pPr>
              <w:pStyle w:val="TableParagraph"/>
              <w:kinsoku w:val="0"/>
              <w:overflowPunct w:val="0"/>
              <w:spacing w:before="1"/>
              <w:rPr>
                <w:rFonts w:eastAsia="Times New Roman"/>
                <w:spacing w:val="-2"/>
                <w:sz w:val="18"/>
                <w:szCs w:val="18"/>
              </w:rPr>
            </w:pPr>
            <w:r>
              <w:rPr>
                <w:sz w:val="18"/>
              </w:rPr>
              <w:t>D7800, R7800</w:t>
            </w:r>
          </w:p>
        </w:tc>
        <w:tc>
          <w:tcPr>
            <w:tcW w:w="3301" w:type="dxa"/>
            <w:tcBorders>
              <w:top w:val="single" w:sz="4" w:space="0" w:color="000000"/>
              <w:left w:val="single" w:sz="4" w:space="0" w:color="000000"/>
              <w:bottom w:val="single" w:sz="4" w:space="0" w:color="000000"/>
              <w:right w:val="single" w:sz="4" w:space="0" w:color="000000"/>
            </w:tcBorders>
          </w:tcPr>
          <w:p w14:paraId="0152D782"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62224AF9"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58A32DDD"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72362D0" w14:textId="77777777" w:rsidR="00DF3509" w:rsidRPr="001F545D" w:rsidRDefault="00DF3509">
            <w:pPr>
              <w:pStyle w:val="TableParagraph"/>
              <w:kinsoku w:val="0"/>
              <w:overflowPunct w:val="0"/>
              <w:spacing w:before="2" w:line="196" w:lineRule="exact"/>
              <w:ind w:left="109" w:right="874"/>
              <w:rPr>
                <w:rFonts w:eastAsia="Times New Roman"/>
                <w:color w:val="333333"/>
                <w:spacing w:val="-2"/>
                <w:sz w:val="17"/>
                <w:szCs w:val="17"/>
              </w:rPr>
            </w:pPr>
            <w:r>
              <w:rPr>
                <w:sz w:val="18"/>
              </w:rPr>
              <w:t xml:space="preserve">Masterwave </w:t>
            </w:r>
            <w:r>
              <w:rPr>
                <w:color w:val="333333"/>
                <w:sz w:val="17"/>
              </w:rPr>
              <w:t>98365PRSX003 98365PRSX004</w:t>
            </w:r>
          </w:p>
        </w:tc>
      </w:tr>
      <w:tr w:rsidR="00DF3509" w:rsidRPr="001F545D" w14:paraId="3EF5D620"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533D7D32"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C6220</w:t>
            </w:r>
          </w:p>
        </w:tc>
        <w:tc>
          <w:tcPr>
            <w:tcW w:w="3301" w:type="dxa"/>
            <w:tcBorders>
              <w:top w:val="single" w:sz="4" w:space="0" w:color="000000"/>
              <w:left w:val="single" w:sz="4" w:space="0" w:color="000000"/>
              <w:bottom w:val="single" w:sz="4" w:space="0" w:color="000000"/>
              <w:right w:val="single" w:sz="4" w:space="0" w:color="000000"/>
            </w:tcBorders>
          </w:tcPr>
          <w:p w14:paraId="78F8C126"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7A16D4C6"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58EDA770"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03D691A" w14:textId="77777777" w:rsidR="00DF3509" w:rsidRPr="001F545D" w:rsidRDefault="00DF3509">
            <w:pPr>
              <w:pStyle w:val="TableParagraph"/>
              <w:kinsoku w:val="0"/>
              <w:overflowPunct w:val="0"/>
              <w:spacing w:before="3" w:line="196" w:lineRule="exact"/>
              <w:ind w:left="109" w:right="874"/>
              <w:rPr>
                <w:rFonts w:eastAsia="Times New Roman"/>
                <w:color w:val="333333"/>
                <w:spacing w:val="-2"/>
                <w:sz w:val="17"/>
                <w:szCs w:val="17"/>
              </w:rPr>
            </w:pPr>
            <w:r>
              <w:rPr>
                <w:sz w:val="18"/>
              </w:rPr>
              <w:t xml:space="preserve">Masterwave </w:t>
            </w:r>
            <w:r>
              <w:rPr>
                <w:color w:val="333333"/>
                <w:sz w:val="17"/>
              </w:rPr>
              <w:t>98365PRSX003 98365PRSX004</w:t>
            </w:r>
          </w:p>
        </w:tc>
      </w:tr>
      <w:tr w:rsidR="00DF3509" w:rsidRPr="001F545D" w14:paraId="507BC3ED" w14:textId="77777777" w:rsidTr="000A6F99">
        <w:trPr>
          <w:trHeight w:val="597"/>
        </w:trPr>
        <w:tc>
          <w:tcPr>
            <w:tcW w:w="2054" w:type="dxa"/>
            <w:tcBorders>
              <w:top w:val="single" w:sz="4" w:space="0" w:color="000000"/>
              <w:left w:val="single" w:sz="4" w:space="0" w:color="000000"/>
              <w:bottom w:val="single" w:sz="4" w:space="0" w:color="000000"/>
              <w:right w:val="single" w:sz="4" w:space="0" w:color="000000"/>
            </w:tcBorders>
          </w:tcPr>
          <w:p w14:paraId="78244EA1"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XR450, XR500</w:t>
            </w:r>
          </w:p>
        </w:tc>
        <w:tc>
          <w:tcPr>
            <w:tcW w:w="3301" w:type="dxa"/>
            <w:tcBorders>
              <w:top w:val="single" w:sz="4" w:space="0" w:color="000000"/>
              <w:left w:val="single" w:sz="4" w:space="0" w:color="000000"/>
              <w:bottom w:val="single" w:sz="4" w:space="0" w:color="000000"/>
              <w:right w:val="single" w:sz="4" w:space="0" w:color="000000"/>
            </w:tcBorders>
          </w:tcPr>
          <w:p w14:paraId="23E981DB"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502782B4" w14:textId="77777777" w:rsidR="00DF3509" w:rsidRPr="001F545D" w:rsidRDefault="00DF3509">
            <w:pPr>
              <w:pStyle w:val="TableParagraph"/>
              <w:kinsoku w:val="0"/>
              <w:overflowPunct w:val="0"/>
              <w:spacing w:line="207"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16CE0C8F"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9C48344" w14:textId="77777777" w:rsidR="00DF3509" w:rsidRPr="001F545D" w:rsidRDefault="00DF3509">
            <w:pPr>
              <w:pStyle w:val="TableParagraph"/>
              <w:kinsoku w:val="0"/>
              <w:overflowPunct w:val="0"/>
              <w:ind w:left="109" w:right="874"/>
              <w:rPr>
                <w:rFonts w:eastAsia="Times New Roman"/>
                <w:color w:val="333333"/>
                <w:spacing w:val="-2"/>
                <w:sz w:val="17"/>
                <w:szCs w:val="17"/>
              </w:rPr>
            </w:pPr>
            <w:r>
              <w:rPr>
                <w:sz w:val="18"/>
              </w:rPr>
              <w:t xml:space="preserve">Masterwave </w:t>
            </w:r>
            <w:r>
              <w:rPr>
                <w:color w:val="333333"/>
                <w:sz w:val="17"/>
              </w:rPr>
              <w:t>98366PRSX000 98366PRSX001</w:t>
            </w:r>
          </w:p>
          <w:p w14:paraId="02ECC630" w14:textId="77777777" w:rsidR="00DF3509" w:rsidRPr="001F545D" w:rsidRDefault="00DF3509">
            <w:pPr>
              <w:pStyle w:val="TableParagraph"/>
              <w:kinsoku w:val="0"/>
              <w:overflowPunct w:val="0"/>
              <w:spacing w:line="175" w:lineRule="exact"/>
              <w:ind w:left="109"/>
              <w:rPr>
                <w:rFonts w:eastAsia="Times New Roman"/>
                <w:color w:val="333333"/>
                <w:spacing w:val="-2"/>
                <w:sz w:val="17"/>
                <w:szCs w:val="17"/>
              </w:rPr>
            </w:pPr>
            <w:r>
              <w:rPr>
                <w:color w:val="333333"/>
                <w:sz w:val="17"/>
              </w:rPr>
              <w:t>98366PRSX002</w:t>
            </w:r>
          </w:p>
        </w:tc>
      </w:tr>
      <w:tr w:rsidR="00DF3509" w:rsidRPr="001F545D" w14:paraId="7986E88F" w14:textId="77777777" w:rsidTr="000A6F99">
        <w:trPr>
          <w:trHeight w:val="415"/>
        </w:trPr>
        <w:tc>
          <w:tcPr>
            <w:tcW w:w="2054" w:type="dxa"/>
            <w:tcBorders>
              <w:top w:val="single" w:sz="4" w:space="0" w:color="000000"/>
              <w:left w:val="single" w:sz="4" w:space="0" w:color="000000"/>
              <w:bottom w:val="single" w:sz="4" w:space="0" w:color="000000"/>
              <w:right w:val="single" w:sz="4" w:space="0" w:color="000000"/>
            </w:tcBorders>
          </w:tcPr>
          <w:p w14:paraId="3718468C" w14:textId="77777777" w:rsidR="00DF3509" w:rsidRPr="001F545D" w:rsidRDefault="00DF3509">
            <w:pPr>
              <w:pStyle w:val="TableParagraph"/>
              <w:kinsoku w:val="0"/>
              <w:overflowPunct w:val="0"/>
              <w:spacing w:line="206" w:lineRule="exact"/>
              <w:ind w:right="639"/>
              <w:rPr>
                <w:rFonts w:eastAsia="Times New Roman"/>
                <w:spacing w:val="-2"/>
                <w:sz w:val="18"/>
                <w:szCs w:val="18"/>
              </w:rPr>
            </w:pPr>
            <w:r>
              <w:rPr>
                <w:sz w:val="18"/>
              </w:rPr>
              <w:t>RAX42, RAX43, RAX45, RAX48</w:t>
            </w:r>
          </w:p>
        </w:tc>
        <w:tc>
          <w:tcPr>
            <w:tcW w:w="3301" w:type="dxa"/>
            <w:tcBorders>
              <w:top w:val="single" w:sz="4" w:space="0" w:color="000000"/>
              <w:left w:val="single" w:sz="4" w:space="0" w:color="000000"/>
              <w:bottom w:val="single" w:sz="4" w:space="0" w:color="000000"/>
              <w:right w:val="single" w:sz="4" w:space="0" w:color="000000"/>
            </w:tcBorders>
          </w:tcPr>
          <w:p w14:paraId="39574579"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6410F9EA" w14:textId="77777777" w:rsidR="00DF3509" w:rsidRPr="001F545D" w:rsidRDefault="00DF3509">
            <w:pPr>
              <w:pStyle w:val="TableParagraph"/>
              <w:kinsoku w:val="0"/>
              <w:overflowPunct w:val="0"/>
              <w:spacing w:line="189"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7A50605E"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788DF898" w14:textId="77777777" w:rsidR="00DF3509" w:rsidRPr="001F545D" w:rsidRDefault="00DF3509">
            <w:pPr>
              <w:pStyle w:val="TableParagraph"/>
              <w:kinsoku w:val="0"/>
              <w:overflowPunct w:val="0"/>
              <w:spacing w:line="198" w:lineRule="exact"/>
              <w:ind w:left="109" w:right="570"/>
              <w:rPr>
                <w:rFonts w:eastAsia="Times New Roman"/>
                <w:color w:val="333333"/>
                <w:sz w:val="17"/>
                <w:szCs w:val="17"/>
              </w:rPr>
            </w:pPr>
            <w:r>
              <w:rPr>
                <w:sz w:val="18"/>
              </w:rPr>
              <w:t xml:space="preserve">Masterwave </w:t>
            </w:r>
            <w:r>
              <w:rPr>
                <w:color w:val="333333"/>
                <w:sz w:val="17"/>
              </w:rPr>
              <w:t>98369PRSX000, 98369URSX000, 98369PRSX001</w:t>
            </w:r>
          </w:p>
        </w:tc>
      </w:tr>
      <w:tr w:rsidR="00DF3509" w:rsidRPr="001F545D" w14:paraId="398D4710" w14:textId="77777777" w:rsidTr="000A6F99">
        <w:trPr>
          <w:trHeight w:val="412"/>
        </w:trPr>
        <w:tc>
          <w:tcPr>
            <w:tcW w:w="2054" w:type="dxa"/>
            <w:tcBorders>
              <w:top w:val="single" w:sz="4" w:space="0" w:color="000000"/>
              <w:left w:val="single" w:sz="4" w:space="0" w:color="000000"/>
              <w:bottom w:val="single" w:sz="4" w:space="0" w:color="000000"/>
              <w:right w:val="single" w:sz="4" w:space="0" w:color="000000"/>
            </w:tcBorders>
          </w:tcPr>
          <w:p w14:paraId="4794B434"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RAX50, RAX50S</w:t>
            </w:r>
          </w:p>
        </w:tc>
        <w:tc>
          <w:tcPr>
            <w:tcW w:w="3301" w:type="dxa"/>
            <w:tcBorders>
              <w:top w:val="single" w:sz="4" w:space="0" w:color="000000"/>
              <w:left w:val="single" w:sz="4" w:space="0" w:color="000000"/>
              <w:bottom w:val="single" w:sz="4" w:space="0" w:color="000000"/>
              <w:right w:val="single" w:sz="4" w:space="0" w:color="000000"/>
            </w:tcBorders>
          </w:tcPr>
          <w:p w14:paraId="2ED20B47"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2400–2500 MHz</w:t>
            </w:r>
          </w:p>
          <w:p w14:paraId="4B077B35"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790E86FA"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3D5D2626" w14:textId="77777777" w:rsidR="00DF3509" w:rsidRPr="001F545D" w:rsidRDefault="00DF3509">
            <w:pPr>
              <w:pStyle w:val="TableParagraph"/>
              <w:kinsoku w:val="0"/>
              <w:overflowPunct w:val="0"/>
              <w:spacing w:line="196" w:lineRule="exact"/>
              <w:ind w:left="109" w:right="570"/>
              <w:rPr>
                <w:rFonts w:eastAsia="Times New Roman"/>
                <w:color w:val="333333"/>
                <w:sz w:val="17"/>
                <w:szCs w:val="17"/>
              </w:rPr>
            </w:pPr>
            <w:r>
              <w:rPr>
                <w:sz w:val="18"/>
              </w:rPr>
              <w:t xml:space="preserve">Masterwave </w:t>
            </w:r>
            <w:r>
              <w:rPr>
                <w:color w:val="333333"/>
                <w:sz w:val="17"/>
              </w:rPr>
              <w:t>98369PRSX000, 98369URSX000, 98369PRSX001</w:t>
            </w:r>
          </w:p>
        </w:tc>
      </w:tr>
      <w:tr w:rsidR="00DF3509" w:rsidRPr="001F545D" w14:paraId="1168B7DB" w14:textId="77777777" w:rsidTr="000A6F99">
        <w:trPr>
          <w:trHeight w:val="208"/>
        </w:trPr>
        <w:tc>
          <w:tcPr>
            <w:tcW w:w="2054" w:type="dxa"/>
            <w:tcBorders>
              <w:top w:val="single" w:sz="4" w:space="0" w:color="000000"/>
              <w:left w:val="single" w:sz="4" w:space="0" w:color="000000"/>
              <w:bottom w:val="single" w:sz="4" w:space="0" w:color="000000"/>
              <w:right w:val="single" w:sz="4" w:space="0" w:color="000000"/>
            </w:tcBorders>
          </w:tcPr>
          <w:p w14:paraId="7BEC00AF"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301" w:type="dxa"/>
            <w:tcBorders>
              <w:top w:val="single" w:sz="4" w:space="0" w:color="000000"/>
              <w:left w:val="single" w:sz="4" w:space="0" w:color="000000"/>
              <w:bottom w:val="single" w:sz="4" w:space="0" w:color="000000"/>
              <w:right w:val="single" w:sz="4" w:space="0" w:color="000000"/>
            </w:tcBorders>
          </w:tcPr>
          <w:p w14:paraId="27E32B8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1299" w:type="dxa"/>
            <w:tcBorders>
              <w:top w:val="single" w:sz="4" w:space="0" w:color="000000"/>
              <w:left w:val="single" w:sz="4" w:space="0" w:color="000000"/>
              <w:bottom w:val="single" w:sz="4" w:space="0" w:color="000000"/>
              <w:right w:val="single" w:sz="4" w:space="0" w:color="000000"/>
            </w:tcBorders>
          </w:tcPr>
          <w:p w14:paraId="510A319C"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single" w:sz="4" w:space="0" w:color="000000"/>
              <w:left w:val="single" w:sz="4" w:space="0" w:color="000000"/>
              <w:bottom w:val="single" w:sz="4" w:space="0" w:color="000000"/>
              <w:right w:val="single" w:sz="4" w:space="0" w:color="000000"/>
            </w:tcBorders>
          </w:tcPr>
          <w:p w14:paraId="0F1E1DC5"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A367724" w14:textId="77777777" w:rsidTr="000A6F99">
        <w:trPr>
          <w:trHeight w:val="412"/>
        </w:trPr>
        <w:tc>
          <w:tcPr>
            <w:tcW w:w="2054" w:type="dxa"/>
            <w:tcBorders>
              <w:top w:val="single" w:sz="4" w:space="0" w:color="000000"/>
              <w:left w:val="single" w:sz="4" w:space="0" w:color="000000"/>
              <w:bottom w:val="single" w:sz="4" w:space="0" w:color="000000"/>
              <w:right w:val="single" w:sz="4" w:space="0" w:color="000000"/>
            </w:tcBorders>
          </w:tcPr>
          <w:p w14:paraId="79620341"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MR1100, MR2100</w:t>
            </w:r>
          </w:p>
        </w:tc>
        <w:tc>
          <w:tcPr>
            <w:tcW w:w="3301" w:type="dxa"/>
            <w:tcBorders>
              <w:top w:val="single" w:sz="4" w:space="0" w:color="000000"/>
              <w:left w:val="single" w:sz="4" w:space="0" w:color="000000"/>
              <w:bottom w:val="single" w:sz="4" w:space="0" w:color="000000"/>
              <w:right w:val="single" w:sz="4" w:space="0" w:color="000000"/>
            </w:tcBorders>
          </w:tcPr>
          <w:p w14:paraId="4023C561" w14:textId="28916BBE" w:rsidR="00DF3509" w:rsidRPr="001F545D" w:rsidRDefault="0048150F">
            <w:pPr>
              <w:pStyle w:val="TableParagraph"/>
              <w:kinsoku w:val="0"/>
              <w:overflowPunct w:val="0"/>
              <w:spacing w:line="206" w:lineRule="exact"/>
              <w:ind w:left="105"/>
              <w:rPr>
                <w:rFonts w:eastAsia="Times New Roman"/>
                <w:spacing w:val="-4"/>
                <w:sz w:val="18"/>
                <w:szCs w:val="18"/>
              </w:rPr>
            </w:pPr>
            <w:r>
              <w:rPr>
                <w:sz w:val="18"/>
              </w:rPr>
              <w:t>2,4</w:t>
            </w:r>
            <w:r w:rsidR="00DF3509">
              <w:rPr>
                <w:sz w:val="18"/>
              </w:rPr>
              <w:t xml:space="preserve"> und 5 GHz</w:t>
            </w:r>
          </w:p>
          <w:p w14:paraId="3758025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sz w:val="18"/>
              </w:rPr>
              <w:t>WCDMA- und LTE-Frequenzbereiche</w:t>
            </w:r>
          </w:p>
        </w:tc>
        <w:tc>
          <w:tcPr>
            <w:tcW w:w="1299" w:type="dxa"/>
            <w:tcBorders>
              <w:top w:val="single" w:sz="4" w:space="0" w:color="000000"/>
              <w:left w:val="single" w:sz="4" w:space="0" w:color="000000"/>
              <w:bottom w:val="single" w:sz="4" w:space="0" w:color="000000"/>
              <w:right w:val="single" w:sz="4" w:space="0" w:color="000000"/>
            </w:tcBorders>
          </w:tcPr>
          <w:p w14:paraId="465D9C5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sz w:val="18"/>
              </w:rPr>
              <w:t>Intern</w:t>
            </w:r>
          </w:p>
        </w:tc>
        <w:tc>
          <w:tcPr>
            <w:tcW w:w="3240" w:type="dxa"/>
            <w:tcBorders>
              <w:top w:val="single" w:sz="4" w:space="0" w:color="000000"/>
              <w:left w:val="single" w:sz="4" w:space="0" w:color="000000"/>
              <w:bottom w:val="single" w:sz="4" w:space="0" w:color="000000"/>
              <w:right w:val="single" w:sz="4" w:space="0" w:color="000000"/>
            </w:tcBorders>
          </w:tcPr>
          <w:p w14:paraId="10448BCE"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Intern</w:t>
            </w:r>
          </w:p>
          <w:p w14:paraId="30B42685" w14:textId="6DDF207A" w:rsidR="00DF3509" w:rsidRPr="001F545D" w:rsidRDefault="00DF3509">
            <w:pPr>
              <w:pStyle w:val="TableParagraph"/>
              <w:kinsoku w:val="0"/>
              <w:overflowPunct w:val="0"/>
              <w:spacing w:line="187" w:lineRule="exact"/>
              <w:ind w:left="109"/>
              <w:rPr>
                <w:rFonts w:eastAsia="Times New Roman"/>
                <w:spacing w:val="-2"/>
                <w:sz w:val="18"/>
                <w:szCs w:val="18"/>
              </w:rPr>
            </w:pPr>
            <w:r>
              <w:rPr>
                <w:sz w:val="18"/>
              </w:rPr>
              <w:t xml:space="preserve">Intern oder </w:t>
            </w:r>
            <w:r w:rsidR="003C41BB">
              <w:rPr>
                <w:sz w:val="18"/>
              </w:rPr>
              <w:t xml:space="preserve">NETGEAR </w:t>
            </w:r>
            <w:r>
              <w:rPr>
                <w:sz w:val="18"/>
              </w:rPr>
              <w:t>6000451</w:t>
            </w:r>
          </w:p>
        </w:tc>
      </w:tr>
      <w:tr w:rsidR="00DF3509" w:rsidRPr="001F545D" w14:paraId="0FAD9A6B"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668543BE" w14:textId="77777777" w:rsidR="00DF3509" w:rsidRPr="001F545D" w:rsidRDefault="00DF3509">
            <w:pPr>
              <w:pStyle w:val="TableParagraph"/>
              <w:kinsoku w:val="0"/>
              <w:overflowPunct w:val="0"/>
              <w:spacing w:before="1"/>
              <w:rPr>
                <w:rFonts w:eastAsia="Times New Roman"/>
                <w:spacing w:val="-2"/>
                <w:sz w:val="18"/>
                <w:szCs w:val="18"/>
              </w:rPr>
            </w:pPr>
            <w:r>
              <w:rPr>
                <w:sz w:val="18"/>
              </w:rPr>
              <w:t>XR1000</w:t>
            </w:r>
          </w:p>
        </w:tc>
        <w:tc>
          <w:tcPr>
            <w:tcW w:w="3301" w:type="dxa"/>
            <w:tcBorders>
              <w:top w:val="single" w:sz="4" w:space="0" w:color="000000"/>
              <w:left w:val="single" w:sz="4" w:space="0" w:color="000000"/>
              <w:bottom w:val="single" w:sz="4" w:space="0" w:color="000000"/>
              <w:right w:val="single" w:sz="4" w:space="0" w:color="000000"/>
            </w:tcBorders>
          </w:tcPr>
          <w:p w14:paraId="2184BB8C"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7C1BB66F" w14:textId="77777777" w:rsidR="00DF3509" w:rsidRPr="001F545D" w:rsidRDefault="00DF3509">
            <w:pPr>
              <w:pStyle w:val="TableParagraph"/>
              <w:kinsoku w:val="0"/>
              <w:overflowPunct w:val="0"/>
              <w:spacing w:line="187" w:lineRule="exact"/>
              <w:ind w:left="105"/>
              <w:rPr>
                <w:rFonts w:eastAsia="Times New Roman"/>
                <w:spacing w:val="-5"/>
                <w:sz w:val="18"/>
                <w:szCs w:val="18"/>
              </w:rPr>
            </w:pPr>
            <w:r>
              <w:rPr>
                <w:sz w:val="18"/>
              </w:rPr>
              <w:t>5100–5850 MHz</w:t>
            </w:r>
          </w:p>
        </w:tc>
        <w:tc>
          <w:tcPr>
            <w:tcW w:w="1299" w:type="dxa"/>
            <w:tcBorders>
              <w:top w:val="single" w:sz="4" w:space="0" w:color="000000"/>
              <w:left w:val="single" w:sz="4" w:space="0" w:color="000000"/>
              <w:bottom w:val="single" w:sz="4" w:space="0" w:color="000000"/>
              <w:right w:val="single" w:sz="4" w:space="0" w:color="000000"/>
            </w:tcBorders>
          </w:tcPr>
          <w:p w14:paraId="4E32B297"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09FA24D9" w14:textId="77777777" w:rsidR="00DF3509" w:rsidRPr="001F545D" w:rsidRDefault="00DF3509">
            <w:pPr>
              <w:pStyle w:val="TableParagraph"/>
              <w:kinsoku w:val="0"/>
              <w:overflowPunct w:val="0"/>
              <w:spacing w:before="1" w:line="207" w:lineRule="exact"/>
              <w:ind w:left="109"/>
              <w:rPr>
                <w:rFonts w:eastAsia="Times New Roman"/>
                <w:spacing w:val="-2"/>
                <w:sz w:val="18"/>
                <w:szCs w:val="18"/>
              </w:rPr>
            </w:pPr>
            <w:r>
              <w:rPr>
                <w:sz w:val="18"/>
              </w:rPr>
              <w:t>NETGEAR 400-10088-01, 400-10090-</w:t>
            </w:r>
          </w:p>
          <w:p w14:paraId="5C645213" w14:textId="77777777" w:rsidR="00DF3509" w:rsidRPr="001F545D" w:rsidRDefault="00DF3509">
            <w:pPr>
              <w:pStyle w:val="TableParagraph"/>
              <w:kinsoku w:val="0"/>
              <w:overflowPunct w:val="0"/>
              <w:spacing w:line="187" w:lineRule="exact"/>
              <w:ind w:left="109"/>
              <w:rPr>
                <w:rFonts w:eastAsia="Times New Roman"/>
                <w:spacing w:val="-5"/>
                <w:sz w:val="18"/>
                <w:szCs w:val="18"/>
              </w:rPr>
            </w:pPr>
            <w:r>
              <w:rPr>
                <w:sz w:val="18"/>
              </w:rPr>
              <w:t>01, 400-10094-01</w:t>
            </w:r>
          </w:p>
        </w:tc>
      </w:tr>
      <w:tr w:rsidR="00DF3509" w:rsidRPr="001F545D" w14:paraId="4DE777DB" w14:textId="77777777" w:rsidTr="000A6F99">
        <w:trPr>
          <w:trHeight w:val="208"/>
        </w:trPr>
        <w:tc>
          <w:tcPr>
            <w:tcW w:w="2054" w:type="dxa"/>
            <w:tcBorders>
              <w:top w:val="single" w:sz="4" w:space="0" w:color="000000"/>
              <w:left w:val="single" w:sz="4" w:space="0" w:color="000000"/>
              <w:bottom w:val="none" w:sz="6" w:space="0" w:color="auto"/>
              <w:right w:val="single" w:sz="4" w:space="0" w:color="000000"/>
            </w:tcBorders>
          </w:tcPr>
          <w:p w14:paraId="1209A37C"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MR5100/MR5200</w:t>
            </w:r>
          </w:p>
        </w:tc>
        <w:tc>
          <w:tcPr>
            <w:tcW w:w="3301" w:type="dxa"/>
            <w:tcBorders>
              <w:top w:val="single" w:sz="4" w:space="0" w:color="000000"/>
              <w:left w:val="single" w:sz="4" w:space="0" w:color="000000"/>
              <w:bottom w:val="none" w:sz="6" w:space="0" w:color="auto"/>
              <w:right w:val="single" w:sz="4" w:space="0" w:color="000000"/>
            </w:tcBorders>
          </w:tcPr>
          <w:p w14:paraId="16D190C2" w14:textId="23EDDAF6" w:rsidR="00DF3509" w:rsidRPr="001F545D" w:rsidRDefault="0048150F">
            <w:pPr>
              <w:pStyle w:val="TableParagraph"/>
              <w:kinsoku w:val="0"/>
              <w:overflowPunct w:val="0"/>
              <w:spacing w:line="189" w:lineRule="exact"/>
              <w:ind w:left="105"/>
              <w:rPr>
                <w:rFonts w:eastAsia="Times New Roman"/>
                <w:spacing w:val="-4"/>
                <w:sz w:val="18"/>
                <w:szCs w:val="18"/>
              </w:rPr>
            </w:pPr>
            <w:r>
              <w:rPr>
                <w:sz w:val="18"/>
              </w:rPr>
              <w:t>2,4</w:t>
            </w:r>
            <w:r w:rsidR="00DF3509">
              <w:rPr>
                <w:sz w:val="18"/>
              </w:rPr>
              <w:t xml:space="preserve"> und 5 GHz</w:t>
            </w:r>
          </w:p>
        </w:tc>
        <w:tc>
          <w:tcPr>
            <w:tcW w:w="1299" w:type="dxa"/>
            <w:tcBorders>
              <w:top w:val="single" w:sz="4" w:space="0" w:color="000000"/>
              <w:left w:val="single" w:sz="4" w:space="0" w:color="000000"/>
              <w:bottom w:val="none" w:sz="6" w:space="0" w:color="auto"/>
              <w:right w:val="single" w:sz="4" w:space="0" w:color="000000"/>
            </w:tcBorders>
          </w:tcPr>
          <w:p w14:paraId="00AB2B9C"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sz w:val="18"/>
              </w:rPr>
              <w:t>Intern.</w:t>
            </w:r>
          </w:p>
        </w:tc>
        <w:tc>
          <w:tcPr>
            <w:tcW w:w="3240" w:type="dxa"/>
            <w:tcBorders>
              <w:top w:val="single" w:sz="4" w:space="0" w:color="000000"/>
              <w:left w:val="single" w:sz="4" w:space="0" w:color="000000"/>
              <w:bottom w:val="none" w:sz="6" w:space="0" w:color="auto"/>
              <w:right w:val="single" w:sz="4" w:space="0" w:color="000000"/>
            </w:tcBorders>
          </w:tcPr>
          <w:p w14:paraId="41B4BDF0"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49234A7" w14:textId="77777777" w:rsidTr="000A6F99">
        <w:trPr>
          <w:trHeight w:val="207"/>
        </w:trPr>
        <w:tc>
          <w:tcPr>
            <w:tcW w:w="2054" w:type="dxa"/>
            <w:tcBorders>
              <w:top w:val="none" w:sz="6" w:space="0" w:color="auto"/>
              <w:left w:val="single" w:sz="4" w:space="0" w:color="000000"/>
              <w:bottom w:val="none" w:sz="6" w:space="0" w:color="auto"/>
              <w:right w:val="single" w:sz="4" w:space="0" w:color="000000"/>
            </w:tcBorders>
          </w:tcPr>
          <w:p w14:paraId="43EDDF6E"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301" w:type="dxa"/>
            <w:tcBorders>
              <w:top w:val="none" w:sz="6" w:space="0" w:color="auto"/>
              <w:left w:val="single" w:sz="4" w:space="0" w:color="000000"/>
              <w:bottom w:val="none" w:sz="6" w:space="0" w:color="auto"/>
              <w:right w:val="single" w:sz="4" w:space="0" w:color="000000"/>
            </w:tcBorders>
          </w:tcPr>
          <w:p w14:paraId="17A154C2" w14:textId="77777777" w:rsidR="00DF3509" w:rsidRPr="001F545D" w:rsidRDefault="00DF3509">
            <w:pPr>
              <w:pStyle w:val="TableParagraph"/>
              <w:kinsoku w:val="0"/>
              <w:overflowPunct w:val="0"/>
              <w:spacing w:line="188" w:lineRule="exact"/>
              <w:ind w:left="105"/>
              <w:rPr>
                <w:rFonts w:eastAsia="Times New Roman"/>
                <w:spacing w:val="-2"/>
                <w:sz w:val="18"/>
                <w:szCs w:val="18"/>
              </w:rPr>
            </w:pPr>
            <w:r>
              <w:rPr>
                <w:sz w:val="18"/>
              </w:rPr>
              <w:t>WCDMA-, LTE- und 5G-Frequenzbereiche:</w:t>
            </w:r>
          </w:p>
        </w:tc>
        <w:tc>
          <w:tcPr>
            <w:tcW w:w="1299" w:type="dxa"/>
            <w:tcBorders>
              <w:top w:val="none" w:sz="6" w:space="0" w:color="auto"/>
              <w:left w:val="single" w:sz="4" w:space="0" w:color="000000"/>
              <w:bottom w:val="none" w:sz="6" w:space="0" w:color="auto"/>
              <w:right w:val="single" w:sz="4" w:space="0" w:color="000000"/>
            </w:tcBorders>
          </w:tcPr>
          <w:p w14:paraId="233D492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012B48BD" w14:textId="77777777" w:rsidR="00DF3509" w:rsidRPr="001F545D" w:rsidRDefault="00DF3509">
            <w:pPr>
              <w:pStyle w:val="TableParagraph"/>
              <w:kinsoku w:val="0"/>
              <w:overflowPunct w:val="0"/>
              <w:spacing w:line="188" w:lineRule="exact"/>
              <w:ind w:left="109"/>
              <w:rPr>
                <w:rFonts w:eastAsia="Times New Roman"/>
                <w:spacing w:val="-2"/>
                <w:sz w:val="18"/>
                <w:szCs w:val="18"/>
              </w:rPr>
            </w:pPr>
            <w:r>
              <w:rPr>
                <w:sz w:val="18"/>
              </w:rPr>
              <w:t>Intern</w:t>
            </w:r>
          </w:p>
        </w:tc>
      </w:tr>
      <w:tr w:rsidR="00DF3509" w:rsidRPr="001F545D" w14:paraId="7B51ABB1" w14:textId="77777777" w:rsidTr="000A6F99">
        <w:trPr>
          <w:trHeight w:val="207"/>
        </w:trPr>
        <w:tc>
          <w:tcPr>
            <w:tcW w:w="2054" w:type="dxa"/>
            <w:tcBorders>
              <w:top w:val="none" w:sz="6" w:space="0" w:color="auto"/>
              <w:left w:val="single" w:sz="4" w:space="0" w:color="000000"/>
              <w:bottom w:val="none" w:sz="6" w:space="0" w:color="auto"/>
              <w:right w:val="single" w:sz="4" w:space="0" w:color="000000"/>
            </w:tcBorders>
          </w:tcPr>
          <w:p w14:paraId="27FADB23"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301" w:type="dxa"/>
            <w:tcBorders>
              <w:top w:val="none" w:sz="6" w:space="0" w:color="auto"/>
              <w:left w:val="single" w:sz="4" w:space="0" w:color="000000"/>
              <w:bottom w:val="none" w:sz="6" w:space="0" w:color="auto"/>
              <w:right w:val="single" w:sz="4" w:space="0" w:color="000000"/>
            </w:tcBorders>
          </w:tcPr>
          <w:p w14:paraId="5DB5A574"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sz w:val="18"/>
              </w:rPr>
              <w:t>B2, B4, B25, B66</w:t>
            </w:r>
          </w:p>
        </w:tc>
        <w:tc>
          <w:tcPr>
            <w:tcW w:w="1299" w:type="dxa"/>
            <w:tcBorders>
              <w:top w:val="none" w:sz="6" w:space="0" w:color="auto"/>
              <w:left w:val="single" w:sz="4" w:space="0" w:color="000000"/>
              <w:bottom w:val="none" w:sz="6" w:space="0" w:color="auto"/>
              <w:right w:val="single" w:sz="4" w:space="0" w:color="000000"/>
            </w:tcBorders>
          </w:tcPr>
          <w:p w14:paraId="1C9947E2" w14:textId="77777777" w:rsidR="00DF3509" w:rsidRPr="001F545D" w:rsidRDefault="00DF3509">
            <w:pPr>
              <w:pStyle w:val="TableParagraph"/>
              <w:kinsoku w:val="0"/>
              <w:overflowPunct w:val="0"/>
              <w:spacing w:line="188" w:lineRule="exact"/>
              <w:ind w:left="108"/>
              <w:rPr>
                <w:rFonts w:eastAsia="Times New Roman"/>
                <w:spacing w:val="-4"/>
                <w:sz w:val="18"/>
                <w:szCs w:val="18"/>
              </w:rPr>
            </w:pPr>
            <w:r>
              <w:rPr>
                <w:sz w:val="18"/>
              </w:rPr>
              <w:t>-,48, 0,25</w:t>
            </w:r>
          </w:p>
        </w:tc>
        <w:tc>
          <w:tcPr>
            <w:tcW w:w="3240" w:type="dxa"/>
            <w:tcBorders>
              <w:top w:val="none" w:sz="6" w:space="0" w:color="auto"/>
              <w:left w:val="single" w:sz="4" w:space="0" w:color="000000"/>
              <w:bottom w:val="none" w:sz="6" w:space="0" w:color="auto"/>
              <w:right w:val="single" w:sz="4" w:space="0" w:color="000000"/>
            </w:tcBorders>
          </w:tcPr>
          <w:p w14:paraId="3F675C6E"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E2A2297" w14:textId="77777777" w:rsidTr="000A6F99">
        <w:trPr>
          <w:trHeight w:val="206"/>
        </w:trPr>
        <w:tc>
          <w:tcPr>
            <w:tcW w:w="2054" w:type="dxa"/>
            <w:tcBorders>
              <w:top w:val="none" w:sz="6" w:space="0" w:color="auto"/>
              <w:left w:val="single" w:sz="4" w:space="0" w:color="000000"/>
              <w:bottom w:val="none" w:sz="6" w:space="0" w:color="auto"/>
              <w:right w:val="single" w:sz="4" w:space="0" w:color="000000"/>
            </w:tcBorders>
          </w:tcPr>
          <w:p w14:paraId="0734AD4D"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301" w:type="dxa"/>
            <w:tcBorders>
              <w:top w:val="none" w:sz="6" w:space="0" w:color="auto"/>
              <w:left w:val="single" w:sz="4" w:space="0" w:color="000000"/>
              <w:bottom w:val="none" w:sz="6" w:space="0" w:color="auto"/>
              <w:right w:val="single" w:sz="4" w:space="0" w:color="000000"/>
            </w:tcBorders>
          </w:tcPr>
          <w:p w14:paraId="0AE90A2A" w14:textId="77777777" w:rsidR="00DF3509" w:rsidRPr="001F545D" w:rsidRDefault="00DF3509">
            <w:pPr>
              <w:pStyle w:val="TableParagraph"/>
              <w:kinsoku w:val="0"/>
              <w:overflowPunct w:val="0"/>
              <w:spacing w:line="186" w:lineRule="exact"/>
              <w:ind w:left="105"/>
              <w:rPr>
                <w:rFonts w:eastAsia="Times New Roman"/>
                <w:spacing w:val="-5"/>
                <w:sz w:val="18"/>
                <w:szCs w:val="18"/>
              </w:rPr>
            </w:pPr>
            <w:r>
              <w:rPr>
                <w:sz w:val="18"/>
              </w:rPr>
              <w:t>B5, B12, B13, B17, B71</w:t>
            </w:r>
          </w:p>
        </w:tc>
        <w:tc>
          <w:tcPr>
            <w:tcW w:w="1299" w:type="dxa"/>
            <w:tcBorders>
              <w:top w:val="none" w:sz="6" w:space="0" w:color="auto"/>
              <w:left w:val="single" w:sz="4" w:space="0" w:color="000000"/>
              <w:bottom w:val="none" w:sz="6" w:space="0" w:color="auto"/>
              <w:right w:val="single" w:sz="4" w:space="0" w:color="000000"/>
            </w:tcBorders>
          </w:tcPr>
          <w:p w14:paraId="2937A0A9" w14:textId="77777777" w:rsidR="00DF3509" w:rsidRPr="001F545D" w:rsidRDefault="00DF3509">
            <w:pPr>
              <w:pStyle w:val="TableParagraph"/>
              <w:kinsoku w:val="0"/>
              <w:overflowPunct w:val="0"/>
              <w:spacing w:line="186" w:lineRule="exact"/>
              <w:ind w:left="108"/>
              <w:rPr>
                <w:rFonts w:eastAsia="Times New Roman"/>
                <w:spacing w:val="-4"/>
                <w:sz w:val="18"/>
                <w:szCs w:val="18"/>
              </w:rPr>
            </w:pPr>
            <w:r>
              <w:rPr>
                <w:sz w:val="18"/>
              </w:rPr>
              <w:t>0,54, 0,48</w:t>
            </w:r>
          </w:p>
        </w:tc>
        <w:tc>
          <w:tcPr>
            <w:tcW w:w="3240" w:type="dxa"/>
            <w:tcBorders>
              <w:top w:val="none" w:sz="6" w:space="0" w:color="auto"/>
              <w:left w:val="single" w:sz="4" w:space="0" w:color="000000"/>
              <w:bottom w:val="none" w:sz="6" w:space="0" w:color="auto"/>
              <w:right w:val="single" w:sz="4" w:space="0" w:color="000000"/>
            </w:tcBorders>
          </w:tcPr>
          <w:p w14:paraId="561B3E19"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1857041C" w14:textId="77777777" w:rsidTr="000A6F99">
        <w:trPr>
          <w:trHeight w:val="203"/>
        </w:trPr>
        <w:tc>
          <w:tcPr>
            <w:tcW w:w="2054" w:type="dxa"/>
            <w:tcBorders>
              <w:top w:val="none" w:sz="6" w:space="0" w:color="auto"/>
              <w:left w:val="single" w:sz="4" w:space="0" w:color="000000"/>
              <w:bottom w:val="single" w:sz="4" w:space="0" w:color="000000"/>
              <w:right w:val="single" w:sz="4" w:space="0" w:color="000000"/>
            </w:tcBorders>
          </w:tcPr>
          <w:p w14:paraId="617DEF1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301" w:type="dxa"/>
            <w:tcBorders>
              <w:top w:val="none" w:sz="6" w:space="0" w:color="auto"/>
              <w:left w:val="single" w:sz="4" w:space="0" w:color="000000"/>
              <w:bottom w:val="single" w:sz="4" w:space="0" w:color="000000"/>
              <w:right w:val="single" w:sz="4" w:space="0" w:color="000000"/>
            </w:tcBorders>
          </w:tcPr>
          <w:p w14:paraId="374954E4" w14:textId="77777777" w:rsidR="00DF3509" w:rsidRPr="001F545D" w:rsidRDefault="00DF3509">
            <w:pPr>
              <w:pStyle w:val="TableParagraph"/>
              <w:kinsoku w:val="0"/>
              <w:overflowPunct w:val="0"/>
              <w:spacing w:line="184" w:lineRule="exact"/>
              <w:ind w:left="105"/>
              <w:rPr>
                <w:rFonts w:eastAsia="Times New Roman"/>
                <w:spacing w:val="-5"/>
                <w:sz w:val="18"/>
                <w:szCs w:val="18"/>
              </w:rPr>
            </w:pPr>
            <w:r>
              <w:rPr>
                <w:sz w:val="18"/>
              </w:rPr>
              <w:t>B7, B30, B38, B41</w:t>
            </w:r>
          </w:p>
        </w:tc>
        <w:tc>
          <w:tcPr>
            <w:tcW w:w="1299" w:type="dxa"/>
            <w:tcBorders>
              <w:top w:val="none" w:sz="6" w:space="0" w:color="auto"/>
              <w:left w:val="single" w:sz="4" w:space="0" w:color="000000"/>
              <w:bottom w:val="single" w:sz="4" w:space="0" w:color="000000"/>
              <w:right w:val="single" w:sz="4" w:space="0" w:color="000000"/>
            </w:tcBorders>
          </w:tcPr>
          <w:p w14:paraId="134A7005"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sz w:val="18"/>
              </w:rPr>
              <w:t>0,24, 0,28</w:t>
            </w:r>
          </w:p>
        </w:tc>
        <w:tc>
          <w:tcPr>
            <w:tcW w:w="3240" w:type="dxa"/>
            <w:tcBorders>
              <w:top w:val="none" w:sz="6" w:space="0" w:color="auto"/>
              <w:left w:val="single" w:sz="4" w:space="0" w:color="000000"/>
              <w:bottom w:val="single" w:sz="4" w:space="0" w:color="000000"/>
              <w:right w:val="single" w:sz="4" w:space="0" w:color="000000"/>
            </w:tcBorders>
          </w:tcPr>
          <w:p w14:paraId="29B8245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077A46F5" w14:textId="77777777" w:rsidTr="000A6F99">
        <w:trPr>
          <w:trHeight w:val="621"/>
        </w:trPr>
        <w:tc>
          <w:tcPr>
            <w:tcW w:w="2054" w:type="dxa"/>
            <w:tcBorders>
              <w:top w:val="single" w:sz="4" w:space="0" w:color="000000"/>
              <w:left w:val="single" w:sz="4" w:space="0" w:color="000000"/>
              <w:bottom w:val="single" w:sz="4" w:space="0" w:color="000000"/>
              <w:right w:val="single" w:sz="4" w:space="0" w:color="000000"/>
            </w:tcBorders>
          </w:tcPr>
          <w:p w14:paraId="5D456C3A" w14:textId="77777777" w:rsidR="00DF3509" w:rsidRPr="001F545D" w:rsidRDefault="00DF3509">
            <w:pPr>
              <w:pStyle w:val="TableParagraph"/>
              <w:kinsoku w:val="0"/>
              <w:overflowPunct w:val="0"/>
              <w:spacing w:before="1"/>
              <w:rPr>
                <w:rFonts w:eastAsia="Times New Roman"/>
                <w:spacing w:val="-4"/>
                <w:sz w:val="18"/>
                <w:szCs w:val="18"/>
              </w:rPr>
            </w:pPr>
            <w:r>
              <w:rPr>
                <w:sz w:val="18"/>
              </w:rPr>
              <w:t>LAX20</w:t>
            </w:r>
          </w:p>
        </w:tc>
        <w:tc>
          <w:tcPr>
            <w:tcW w:w="3301" w:type="dxa"/>
            <w:tcBorders>
              <w:top w:val="single" w:sz="4" w:space="0" w:color="000000"/>
              <w:left w:val="single" w:sz="4" w:space="0" w:color="000000"/>
              <w:bottom w:val="single" w:sz="4" w:space="0" w:color="000000"/>
              <w:right w:val="single" w:sz="4" w:space="0" w:color="000000"/>
            </w:tcBorders>
          </w:tcPr>
          <w:p w14:paraId="4B55E6E7" w14:textId="77777777" w:rsidR="00DF3509" w:rsidRPr="001F545D" w:rsidRDefault="00DF3509">
            <w:pPr>
              <w:pStyle w:val="TableParagraph"/>
              <w:kinsoku w:val="0"/>
              <w:overflowPunct w:val="0"/>
              <w:spacing w:before="1" w:line="207" w:lineRule="exact"/>
              <w:ind w:left="105"/>
              <w:rPr>
                <w:rFonts w:eastAsia="Times New Roman"/>
                <w:spacing w:val="-5"/>
                <w:sz w:val="18"/>
                <w:szCs w:val="18"/>
              </w:rPr>
            </w:pPr>
            <w:r>
              <w:rPr>
                <w:sz w:val="18"/>
              </w:rPr>
              <w:t>2400–2500 MHz</w:t>
            </w:r>
          </w:p>
          <w:p w14:paraId="39881318" w14:textId="77777777" w:rsidR="00DF3509" w:rsidRPr="001F545D" w:rsidRDefault="00DF3509">
            <w:pPr>
              <w:pStyle w:val="TableParagraph"/>
              <w:kinsoku w:val="0"/>
              <w:overflowPunct w:val="0"/>
              <w:spacing w:line="206" w:lineRule="exact"/>
              <w:ind w:left="105"/>
              <w:rPr>
                <w:rFonts w:eastAsia="Times New Roman"/>
                <w:spacing w:val="-5"/>
                <w:sz w:val="18"/>
                <w:szCs w:val="18"/>
              </w:rPr>
            </w:pPr>
            <w:r>
              <w:rPr>
                <w:sz w:val="18"/>
              </w:rPr>
              <w:t>5100–5850 MHz</w:t>
            </w:r>
          </w:p>
          <w:p w14:paraId="34515E21" w14:textId="77777777" w:rsidR="00DF3509" w:rsidRPr="001F545D" w:rsidRDefault="00DF3509">
            <w:pPr>
              <w:pStyle w:val="TableParagraph"/>
              <w:kinsoku w:val="0"/>
              <w:overflowPunct w:val="0"/>
              <w:spacing w:line="187" w:lineRule="exact"/>
              <w:ind w:left="105"/>
              <w:rPr>
                <w:rFonts w:eastAsia="Times New Roman"/>
                <w:spacing w:val="-4"/>
                <w:sz w:val="18"/>
                <w:szCs w:val="18"/>
              </w:rPr>
            </w:pPr>
            <w:r>
              <w:rPr>
                <w:sz w:val="18"/>
              </w:rPr>
              <w:t>WCDMA- und LTE-Frequenzbereiche</w:t>
            </w:r>
          </w:p>
        </w:tc>
        <w:tc>
          <w:tcPr>
            <w:tcW w:w="1299" w:type="dxa"/>
            <w:tcBorders>
              <w:top w:val="single" w:sz="4" w:space="0" w:color="000000"/>
              <w:left w:val="single" w:sz="4" w:space="0" w:color="000000"/>
              <w:bottom w:val="single" w:sz="4" w:space="0" w:color="000000"/>
              <w:right w:val="single" w:sz="4" w:space="0" w:color="000000"/>
            </w:tcBorders>
          </w:tcPr>
          <w:p w14:paraId="3094ECBC" w14:textId="77777777" w:rsidR="00DF3509" w:rsidRPr="001F545D" w:rsidRDefault="00DF3509">
            <w:pPr>
              <w:pStyle w:val="TableParagraph"/>
              <w:kinsoku w:val="0"/>
              <w:overflowPunct w:val="0"/>
              <w:ind w:left="0"/>
              <w:rPr>
                <w:rFonts w:ascii="Times New Roman" w:hAnsi="Times New Roman" w:cs="Times New Roman"/>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5C4AAC7B" w14:textId="001627F7" w:rsidR="00DF3509" w:rsidRPr="001F545D" w:rsidRDefault="003C41BB">
            <w:pPr>
              <w:pStyle w:val="TableParagraph"/>
              <w:kinsoku w:val="0"/>
              <w:overflowPunct w:val="0"/>
              <w:spacing w:before="1" w:line="207" w:lineRule="exact"/>
              <w:ind w:left="109"/>
              <w:rPr>
                <w:rFonts w:eastAsia="Times New Roman"/>
                <w:spacing w:val="-5"/>
                <w:sz w:val="18"/>
                <w:szCs w:val="18"/>
              </w:rPr>
            </w:pPr>
            <w:r>
              <w:rPr>
                <w:sz w:val="18"/>
              </w:rPr>
              <w:t xml:space="preserve">NETGEAR </w:t>
            </w:r>
            <w:r w:rsidR="00DF3509">
              <w:rPr>
                <w:sz w:val="18"/>
              </w:rPr>
              <w:t>400-10092-01</w:t>
            </w:r>
          </w:p>
          <w:p w14:paraId="37C7CFC3" w14:textId="77777777" w:rsidR="00DF3509" w:rsidRPr="001F545D" w:rsidRDefault="00DF3509">
            <w:pPr>
              <w:pStyle w:val="TableParagraph"/>
              <w:kinsoku w:val="0"/>
              <w:overflowPunct w:val="0"/>
              <w:spacing w:line="206" w:lineRule="exact"/>
              <w:ind w:left="109" w:right="1302"/>
              <w:rPr>
                <w:rFonts w:eastAsia="Times New Roman"/>
                <w:spacing w:val="-2"/>
                <w:sz w:val="18"/>
                <w:szCs w:val="18"/>
              </w:rPr>
            </w:pPr>
            <w:r>
              <w:rPr>
                <w:sz w:val="18"/>
              </w:rPr>
              <w:t>NETGEAR 400-10092-01 Intern</w:t>
            </w:r>
          </w:p>
        </w:tc>
      </w:tr>
      <w:tr w:rsidR="00DF3509" w:rsidRPr="001F545D" w14:paraId="4A558448" w14:textId="77777777" w:rsidTr="000A6F99">
        <w:trPr>
          <w:trHeight w:val="205"/>
        </w:trPr>
        <w:tc>
          <w:tcPr>
            <w:tcW w:w="2054" w:type="dxa"/>
            <w:tcBorders>
              <w:top w:val="single" w:sz="4" w:space="0" w:color="000000"/>
              <w:left w:val="single" w:sz="4" w:space="0" w:color="000000"/>
              <w:bottom w:val="none" w:sz="6" w:space="0" w:color="auto"/>
              <w:right w:val="single" w:sz="4" w:space="0" w:color="000000"/>
            </w:tcBorders>
          </w:tcPr>
          <w:p w14:paraId="7900D3AE" w14:textId="77777777" w:rsidR="00DF3509" w:rsidRPr="001F545D" w:rsidRDefault="00DF3509">
            <w:pPr>
              <w:pStyle w:val="TableParagraph"/>
              <w:kinsoku w:val="0"/>
              <w:overflowPunct w:val="0"/>
              <w:spacing w:line="185" w:lineRule="exact"/>
              <w:rPr>
                <w:rFonts w:eastAsia="Times New Roman"/>
                <w:spacing w:val="-2"/>
                <w:sz w:val="18"/>
                <w:szCs w:val="18"/>
              </w:rPr>
            </w:pPr>
            <w:r>
              <w:rPr>
                <w:sz w:val="18"/>
              </w:rPr>
              <w:t>LM1200</w:t>
            </w:r>
          </w:p>
        </w:tc>
        <w:tc>
          <w:tcPr>
            <w:tcW w:w="3301" w:type="dxa"/>
            <w:tcBorders>
              <w:top w:val="single" w:sz="4" w:space="0" w:color="000000"/>
              <w:left w:val="single" w:sz="4" w:space="0" w:color="000000"/>
              <w:bottom w:val="none" w:sz="6" w:space="0" w:color="auto"/>
              <w:right w:val="single" w:sz="4" w:space="0" w:color="000000"/>
            </w:tcBorders>
          </w:tcPr>
          <w:p w14:paraId="2FC5C0A2" w14:textId="77777777" w:rsidR="00DF3509" w:rsidRPr="001F545D" w:rsidRDefault="00DF3509">
            <w:pPr>
              <w:pStyle w:val="TableParagraph"/>
              <w:kinsoku w:val="0"/>
              <w:overflowPunct w:val="0"/>
              <w:spacing w:line="185" w:lineRule="exact"/>
              <w:ind w:left="105"/>
              <w:rPr>
                <w:rFonts w:eastAsia="Times New Roman"/>
                <w:spacing w:val="-5"/>
                <w:sz w:val="18"/>
                <w:szCs w:val="18"/>
              </w:rPr>
            </w:pPr>
            <w:r>
              <w:rPr>
                <w:sz w:val="18"/>
              </w:rPr>
              <w:t>600 MHz</w:t>
            </w:r>
          </w:p>
        </w:tc>
        <w:tc>
          <w:tcPr>
            <w:tcW w:w="1299" w:type="dxa"/>
            <w:tcBorders>
              <w:top w:val="single" w:sz="4" w:space="0" w:color="000000"/>
              <w:left w:val="single" w:sz="4" w:space="0" w:color="000000"/>
              <w:bottom w:val="none" w:sz="6" w:space="0" w:color="auto"/>
              <w:right w:val="single" w:sz="4" w:space="0" w:color="000000"/>
            </w:tcBorders>
          </w:tcPr>
          <w:p w14:paraId="507BDB98" w14:textId="77777777" w:rsidR="00DF3509" w:rsidRPr="001F545D" w:rsidRDefault="00DF3509">
            <w:pPr>
              <w:pStyle w:val="TableParagraph"/>
              <w:kinsoku w:val="0"/>
              <w:overflowPunct w:val="0"/>
              <w:spacing w:line="185" w:lineRule="exact"/>
              <w:ind w:left="108"/>
              <w:rPr>
                <w:rFonts w:eastAsia="Times New Roman"/>
                <w:spacing w:val="-4"/>
                <w:sz w:val="18"/>
                <w:szCs w:val="18"/>
              </w:rPr>
            </w:pPr>
            <w:r>
              <w:rPr>
                <w:sz w:val="18"/>
              </w:rPr>
              <w:t>8,55</w:t>
            </w:r>
          </w:p>
        </w:tc>
        <w:tc>
          <w:tcPr>
            <w:tcW w:w="3240" w:type="dxa"/>
            <w:vMerge w:val="restart"/>
            <w:tcBorders>
              <w:top w:val="single" w:sz="4" w:space="0" w:color="000000"/>
              <w:left w:val="single" w:sz="4" w:space="0" w:color="000000"/>
              <w:bottom w:val="single" w:sz="4" w:space="0" w:color="000000"/>
              <w:right w:val="single" w:sz="4" w:space="0" w:color="000000"/>
            </w:tcBorders>
          </w:tcPr>
          <w:p w14:paraId="3AA440C4" w14:textId="77777777" w:rsidR="00DF3509" w:rsidRPr="001F545D" w:rsidRDefault="00DF3509">
            <w:pPr>
              <w:pStyle w:val="TableParagraph"/>
              <w:kinsoku w:val="0"/>
              <w:overflowPunct w:val="0"/>
              <w:ind w:left="0"/>
              <w:rPr>
                <w:rFonts w:ascii="Times New Roman" w:hAnsi="Times New Roman" w:cs="Times New Roman"/>
                <w:sz w:val="16"/>
                <w:szCs w:val="16"/>
              </w:rPr>
            </w:pPr>
          </w:p>
        </w:tc>
      </w:tr>
      <w:tr w:rsidR="00DF3509" w:rsidRPr="001F545D" w14:paraId="6FCC0BE5" w14:textId="77777777" w:rsidTr="000A6F99">
        <w:trPr>
          <w:trHeight w:val="197"/>
        </w:trPr>
        <w:tc>
          <w:tcPr>
            <w:tcW w:w="2054" w:type="dxa"/>
            <w:tcBorders>
              <w:top w:val="none" w:sz="6" w:space="0" w:color="auto"/>
              <w:left w:val="single" w:sz="4" w:space="0" w:color="000000"/>
              <w:bottom w:val="none" w:sz="6" w:space="0" w:color="auto"/>
              <w:right w:val="single" w:sz="4" w:space="0" w:color="000000"/>
            </w:tcBorders>
          </w:tcPr>
          <w:p w14:paraId="4DC09945"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301" w:type="dxa"/>
            <w:tcBorders>
              <w:top w:val="none" w:sz="6" w:space="0" w:color="auto"/>
              <w:left w:val="single" w:sz="4" w:space="0" w:color="000000"/>
              <w:bottom w:val="none" w:sz="6" w:space="0" w:color="auto"/>
              <w:right w:val="single" w:sz="4" w:space="0" w:color="000000"/>
            </w:tcBorders>
          </w:tcPr>
          <w:p w14:paraId="70C4C11B" w14:textId="77777777" w:rsidR="00DF3509" w:rsidRPr="001F545D" w:rsidRDefault="00DF3509">
            <w:pPr>
              <w:pStyle w:val="TableParagraph"/>
              <w:kinsoku w:val="0"/>
              <w:overflowPunct w:val="0"/>
              <w:spacing w:line="178" w:lineRule="exact"/>
              <w:ind w:left="105"/>
              <w:rPr>
                <w:rFonts w:eastAsia="Times New Roman"/>
                <w:spacing w:val="-5"/>
                <w:sz w:val="18"/>
                <w:szCs w:val="18"/>
              </w:rPr>
            </w:pPr>
            <w:r>
              <w:rPr>
                <w:sz w:val="18"/>
              </w:rPr>
              <w:t>700 MHz</w:t>
            </w:r>
          </w:p>
        </w:tc>
        <w:tc>
          <w:tcPr>
            <w:tcW w:w="1299" w:type="dxa"/>
            <w:tcBorders>
              <w:top w:val="none" w:sz="6" w:space="0" w:color="auto"/>
              <w:left w:val="single" w:sz="4" w:space="0" w:color="000000"/>
              <w:bottom w:val="none" w:sz="6" w:space="0" w:color="auto"/>
              <w:right w:val="single" w:sz="4" w:space="0" w:color="000000"/>
            </w:tcBorders>
          </w:tcPr>
          <w:p w14:paraId="47312F3B" w14:textId="77777777" w:rsidR="00DF3509" w:rsidRPr="001F545D" w:rsidRDefault="00DF3509">
            <w:pPr>
              <w:pStyle w:val="TableParagraph"/>
              <w:kinsoku w:val="0"/>
              <w:overflowPunct w:val="0"/>
              <w:spacing w:line="178" w:lineRule="exact"/>
              <w:ind w:left="108"/>
              <w:rPr>
                <w:rFonts w:eastAsia="Times New Roman"/>
                <w:spacing w:val="-4"/>
                <w:sz w:val="18"/>
                <w:szCs w:val="18"/>
              </w:rPr>
            </w:pPr>
            <w:r>
              <w:rPr>
                <w:sz w:val="18"/>
              </w:rPr>
              <w:t>8,73</w:t>
            </w:r>
          </w:p>
        </w:tc>
        <w:tc>
          <w:tcPr>
            <w:tcW w:w="3240" w:type="dxa"/>
            <w:vMerge/>
            <w:tcBorders>
              <w:top w:val="nil"/>
              <w:left w:val="single" w:sz="4" w:space="0" w:color="000000"/>
              <w:bottom w:val="single" w:sz="4" w:space="0" w:color="000000"/>
              <w:right w:val="single" w:sz="4" w:space="0" w:color="000000"/>
            </w:tcBorders>
          </w:tcPr>
          <w:p w14:paraId="44EDBF2D"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C1DD114" w14:textId="77777777" w:rsidTr="000A6F99">
        <w:trPr>
          <w:trHeight w:val="196"/>
        </w:trPr>
        <w:tc>
          <w:tcPr>
            <w:tcW w:w="2054" w:type="dxa"/>
            <w:tcBorders>
              <w:top w:val="none" w:sz="6" w:space="0" w:color="auto"/>
              <w:left w:val="single" w:sz="4" w:space="0" w:color="000000"/>
              <w:bottom w:val="none" w:sz="6" w:space="0" w:color="auto"/>
              <w:right w:val="single" w:sz="4" w:space="0" w:color="000000"/>
            </w:tcBorders>
          </w:tcPr>
          <w:p w14:paraId="01F13546"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301" w:type="dxa"/>
            <w:tcBorders>
              <w:top w:val="none" w:sz="6" w:space="0" w:color="auto"/>
              <w:left w:val="single" w:sz="4" w:space="0" w:color="000000"/>
              <w:bottom w:val="none" w:sz="6" w:space="0" w:color="auto"/>
              <w:right w:val="single" w:sz="4" w:space="0" w:color="000000"/>
            </w:tcBorders>
          </w:tcPr>
          <w:p w14:paraId="1D957342"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sz w:val="18"/>
              </w:rPr>
              <w:t>800 MHz</w:t>
            </w:r>
          </w:p>
        </w:tc>
        <w:tc>
          <w:tcPr>
            <w:tcW w:w="1299" w:type="dxa"/>
            <w:tcBorders>
              <w:top w:val="none" w:sz="6" w:space="0" w:color="auto"/>
              <w:left w:val="single" w:sz="4" w:space="0" w:color="000000"/>
              <w:bottom w:val="none" w:sz="6" w:space="0" w:color="auto"/>
              <w:right w:val="single" w:sz="4" w:space="0" w:color="000000"/>
            </w:tcBorders>
          </w:tcPr>
          <w:p w14:paraId="097360A2" w14:textId="77777777" w:rsidR="00DF3509" w:rsidRPr="001F545D" w:rsidRDefault="00DF3509">
            <w:pPr>
              <w:pStyle w:val="TableParagraph"/>
              <w:kinsoku w:val="0"/>
              <w:overflowPunct w:val="0"/>
              <w:spacing w:line="176" w:lineRule="exact"/>
              <w:ind w:left="108"/>
              <w:rPr>
                <w:rFonts w:eastAsia="Times New Roman"/>
                <w:spacing w:val="-4"/>
                <w:sz w:val="18"/>
                <w:szCs w:val="18"/>
              </w:rPr>
            </w:pPr>
            <w:r>
              <w:rPr>
                <w:sz w:val="18"/>
              </w:rPr>
              <w:t>9,42</w:t>
            </w:r>
          </w:p>
        </w:tc>
        <w:tc>
          <w:tcPr>
            <w:tcW w:w="3240" w:type="dxa"/>
            <w:vMerge/>
            <w:tcBorders>
              <w:top w:val="nil"/>
              <w:left w:val="single" w:sz="4" w:space="0" w:color="000000"/>
              <w:bottom w:val="single" w:sz="4" w:space="0" w:color="000000"/>
              <w:right w:val="single" w:sz="4" w:space="0" w:color="000000"/>
            </w:tcBorders>
          </w:tcPr>
          <w:p w14:paraId="2A4ECD11"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2335BF1D" w14:textId="77777777" w:rsidTr="000A6F99">
        <w:trPr>
          <w:trHeight w:val="196"/>
        </w:trPr>
        <w:tc>
          <w:tcPr>
            <w:tcW w:w="2054" w:type="dxa"/>
            <w:tcBorders>
              <w:top w:val="none" w:sz="6" w:space="0" w:color="auto"/>
              <w:left w:val="single" w:sz="4" w:space="0" w:color="000000"/>
              <w:bottom w:val="none" w:sz="6" w:space="0" w:color="auto"/>
              <w:right w:val="single" w:sz="4" w:space="0" w:color="000000"/>
            </w:tcBorders>
          </w:tcPr>
          <w:p w14:paraId="0EEAC62F" w14:textId="77777777" w:rsidR="00DF3509" w:rsidRPr="001F545D" w:rsidRDefault="00DF3509">
            <w:pPr>
              <w:pStyle w:val="TableParagraph"/>
              <w:kinsoku w:val="0"/>
              <w:overflowPunct w:val="0"/>
              <w:ind w:left="0"/>
              <w:rPr>
                <w:rFonts w:ascii="Times New Roman" w:hAnsi="Times New Roman" w:cs="Times New Roman"/>
                <w:sz w:val="12"/>
                <w:szCs w:val="12"/>
              </w:rPr>
            </w:pPr>
          </w:p>
        </w:tc>
        <w:tc>
          <w:tcPr>
            <w:tcW w:w="3301" w:type="dxa"/>
            <w:tcBorders>
              <w:top w:val="none" w:sz="6" w:space="0" w:color="auto"/>
              <w:left w:val="single" w:sz="4" w:space="0" w:color="000000"/>
              <w:bottom w:val="none" w:sz="6" w:space="0" w:color="auto"/>
              <w:right w:val="single" w:sz="4" w:space="0" w:color="000000"/>
            </w:tcBorders>
          </w:tcPr>
          <w:p w14:paraId="5FC1AB59" w14:textId="77777777" w:rsidR="00DF3509" w:rsidRPr="001F545D" w:rsidRDefault="00DF3509">
            <w:pPr>
              <w:pStyle w:val="TableParagraph"/>
              <w:kinsoku w:val="0"/>
              <w:overflowPunct w:val="0"/>
              <w:spacing w:line="176" w:lineRule="exact"/>
              <w:ind w:left="105"/>
              <w:rPr>
                <w:rFonts w:eastAsia="Times New Roman"/>
                <w:spacing w:val="-5"/>
                <w:sz w:val="18"/>
                <w:szCs w:val="18"/>
              </w:rPr>
            </w:pPr>
            <w:r>
              <w:rPr>
                <w:sz w:val="18"/>
              </w:rPr>
              <w:t>1700 MHz</w:t>
            </w:r>
          </w:p>
        </w:tc>
        <w:tc>
          <w:tcPr>
            <w:tcW w:w="1299" w:type="dxa"/>
            <w:tcBorders>
              <w:top w:val="none" w:sz="6" w:space="0" w:color="auto"/>
              <w:left w:val="single" w:sz="4" w:space="0" w:color="000000"/>
              <w:bottom w:val="none" w:sz="6" w:space="0" w:color="auto"/>
              <w:right w:val="single" w:sz="4" w:space="0" w:color="000000"/>
            </w:tcBorders>
          </w:tcPr>
          <w:p w14:paraId="23D770F7" w14:textId="77777777" w:rsidR="00DF3509" w:rsidRPr="001F545D" w:rsidRDefault="00DF3509">
            <w:pPr>
              <w:pStyle w:val="TableParagraph"/>
              <w:kinsoku w:val="0"/>
              <w:overflowPunct w:val="0"/>
              <w:spacing w:line="176" w:lineRule="exact"/>
              <w:ind w:left="108"/>
              <w:rPr>
                <w:rFonts w:eastAsia="Times New Roman"/>
                <w:w w:val="99"/>
                <w:sz w:val="18"/>
                <w:szCs w:val="18"/>
              </w:rPr>
            </w:pPr>
            <w:r>
              <w:rPr>
                <w:sz w:val="18"/>
              </w:rPr>
              <w:t>5</w:t>
            </w:r>
          </w:p>
        </w:tc>
        <w:tc>
          <w:tcPr>
            <w:tcW w:w="3240" w:type="dxa"/>
            <w:vMerge/>
            <w:tcBorders>
              <w:top w:val="nil"/>
              <w:left w:val="single" w:sz="4" w:space="0" w:color="000000"/>
              <w:bottom w:val="single" w:sz="4" w:space="0" w:color="000000"/>
              <w:right w:val="single" w:sz="4" w:space="0" w:color="000000"/>
            </w:tcBorders>
          </w:tcPr>
          <w:p w14:paraId="1B158255"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1AA5E456" w14:textId="77777777" w:rsidTr="000A6F99">
        <w:trPr>
          <w:trHeight w:val="201"/>
        </w:trPr>
        <w:tc>
          <w:tcPr>
            <w:tcW w:w="2054" w:type="dxa"/>
            <w:tcBorders>
              <w:top w:val="none" w:sz="6" w:space="0" w:color="auto"/>
              <w:left w:val="single" w:sz="4" w:space="0" w:color="000000"/>
              <w:bottom w:val="single" w:sz="4" w:space="0" w:color="000000"/>
              <w:right w:val="single" w:sz="4" w:space="0" w:color="000000"/>
            </w:tcBorders>
          </w:tcPr>
          <w:p w14:paraId="5FF172E8"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301" w:type="dxa"/>
            <w:tcBorders>
              <w:top w:val="none" w:sz="6" w:space="0" w:color="auto"/>
              <w:left w:val="single" w:sz="4" w:space="0" w:color="000000"/>
              <w:bottom w:val="single" w:sz="4" w:space="0" w:color="000000"/>
              <w:right w:val="single" w:sz="4" w:space="0" w:color="000000"/>
            </w:tcBorders>
          </w:tcPr>
          <w:p w14:paraId="4CD21109" w14:textId="77777777" w:rsidR="00DF3509" w:rsidRPr="001F545D" w:rsidRDefault="00DF3509">
            <w:pPr>
              <w:pStyle w:val="TableParagraph"/>
              <w:kinsoku w:val="0"/>
              <w:overflowPunct w:val="0"/>
              <w:spacing w:line="181" w:lineRule="exact"/>
              <w:ind w:left="105"/>
              <w:rPr>
                <w:rFonts w:eastAsia="Times New Roman"/>
                <w:spacing w:val="-5"/>
                <w:sz w:val="18"/>
                <w:szCs w:val="18"/>
              </w:rPr>
            </w:pPr>
            <w:r>
              <w:rPr>
                <w:sz w:val="18"/>
              </w:rPr>
              <w:t>1800 MHz</w:t>
            </w:r>
          </w:p>
        </w:tc>
        <w:tc>
          <w:tcPr>
            <w:tcW w:w="1299" w:type="dxa"/>
            <w:tcBorders>
              <w:top w:val="none" w:sz="6" w:space="0" w:color="auto"/>
              <w:left w:val="single" w:sz="4" w:space="0" w:color="000000"/>
              <w:bottom w:val="single" w:sz="4" w:space="0" w:color="000000"/>
              <w:right w:val="single" w:sz="4" w:space="0" w:color="000000"/>
            </w:tcBorders>
          </w:tcPr>
          <w:p w14:paraId="31E46F8C" w14:textId="77777777" w:rsidR="00DF3509" w:rsidRPr="001F545D" w:rsidRDefault="00DF3509">
            <w:pPr>
              <w:pStyle w:val="TableParagraph"/>
              <w:kinsoku w:val="0"/>
              <w:overflowPunct w:val="0"/>
              <w:spacing w:line="181" w:lineRule="exact"/>
              <w:ind w:left="108"/>
              <w:rPr>
                <w:rFonts w:eastAsia="Times New Roman"/>
                <w:w w:val="99"/>
                <w:sz w:val="18"/>
                <w:szCs w:val="18"/>
              </w:rPr>
            </w:pPr>
            <w:r>
              <w:rPr>
                <w:sz w:val="18"/>
              </w:rPr>
              <w:t>8</w:t>
            </w:r>
          </w:p>
        </w:tc>
        <w:tc>
          <w:tcPr>
            <w:tcW w:w="3240" w:type="dxa"/>
            <w:vMerge/>
            <w:tcBorders>
              <w:top w:val="nil"/>
              <w:left w:val="single" w:sz="4" w:space="0" w:color="000000"/>
              <w:bottom w:val="single" w:sz="4" w:space="0" w:color="000000"/>
              <w:right w:val="single" w:sz="4" w:space="0" w:color="000000"/>
            </w:tcBorders>
          </w:tcPr>
          <w:p w14:paraId="23980934" w14:textId="77777777" w:rsidR="00DF3509" w:rsidRPr="001F545D" w:rsidRDefault="00DF3509">
            <w:pPr>
              <w:pStyle w:val="BodyText"/>
              <w:kinsoku w:val="0"/>
              <w:overflowPunct w:val="0"/>
              <w:spacing w:before="79" w:after="33"/>
              <w:ind w:left="840"/>
              <w:rPr>
                <w:rFonts w:ascii="Cambria" w:hAnsi="Cambria" w:cs="Cambria"/>
                <w:i/>
                <w:iCs/>
                <w:color w:val="365F91"/>
                <w:spacing w:val="-4"/>
                <w:sz w:val="2"/>
                <w:szCs w:val="2"/>
              </w:rPr>
            </w:pPr>
          </w:p>
        </w:tc>
      </w:tr>
      <w:tr w:rsidR="00DF3509" w:rsidRPr="001F545D" w14:paraId="5BF1D9EF" w14:textId="77777777" w:rsidTr="000A6F99">
        <w:trPr>
          <w:trHeight w:val="208"/>
        </w:trPr>
        <w:tc>
          <w:tcPr>
            <w:tcW w:w="2054" w:type="dxa"/>
            <w:tcBorders>
              <w:top w:val="single" w:sz="4" w:space="0" w:color="000000"/>
              <w:left w:val="single" w:sz="4" w:space="0" w:color="000000"/>
              <w:bottom w:val="none" w:sz="6" w:space="0" w:color="auto"/>
              <w:right w:val="single" w:sz="4" w:space="0" w:color="000000"/>
            </w:tcBorders>
          </w:tcPr>
          <w:p w14:paraId="693585EA"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NBR750</w:t>
            </w:r>
          </w:p>
        </w:tc>
        <w:tc>
          <w:tcPr>
            <w:tcW w:w="3301" w:type="dxa"/>
            <w:tcBorders>
              <w:top w:val="single" w:sz="4" w:space="0" w:color="000000"/>
              <w:left w:val="single" w:sz="4" w:space="0" w:color="000000"/>
              <w:bottom w:val="none" w:sz="6" w:space="0" w:color="auto"/>
              <w:right w:val="single" w:sz="4" w:space="0" w:color="000000"/>
            </w:tcBorders>
          </w:tcPr>
          <w:p w14:paraId="455F5792" w14:textId="01C676AD" w:rsidR="00DF3509" w:rsidRPr="001F545D" w:rsidRDefault="00513475">
            <w:pPr>
              <w:pStyle w:val="TableParagraph"/>
              <w:kinsoku w:val="0"/>
              <w:overflowPunct w:val="0"/>
              <w:spacing w:line="189" w:lineRule="exact"/>
              <w:ind w:left="105"/>
              <w:rPr>
                <w:rFonts w:eastAsia="Times New Roman"/>
                <w:spacing w:val="-4"/>
                <w:sz w:val="18"/>
                <w:szCs w:val="18"/>
              </w:rPr>
            </w:pPr>
            <w:r>
              <w:rPr>
                <w:sz w:val="18"/>
              </w:rPr>
              <w:t>2,4</w:t>
            </w:r>
            <w:r w:rsidR="00DF3509">
              <w:rPr>
                <w:sz w:val="18"/>
              </w:rPr>
              <w:t xml:space="preserve"> und 5 GHz</w:t>
            </w:r>
          </w:p>
        </w:tc>
        <w:tc>
          <w:tcPr>
            <w:tcW w:w="1299" w:type="dxa"/>
            <w:tcBorders>
              <w:top w:val="single" w:sz="4" w:space="0" w:color="000000"/>
              <w:left w:val="single" w:sz="4" w:space="0" w:color="000000"/>
              <w:bottom w:val="none" w:sz="6" w:space="0" w:color="auto"/>
              <w:right w:val="single" w:sz="4" w:space="0" w:color="000000"/>
            </w:tcBorders>
          </w:tcPr>
          <w:p w14:paraId="75AF55A6" w14:textId="77777777" w:rsidR="00DF3509" w:rsidRPr="001F545D" w:rsidRDefault="00DF3509">
            <w:pPr>
              <w:pStyle w:val="TableParagraph"/>
              <w:kinsoku w:val="0"/>
              <w:overflowPunct w:val="0"/>
              <w:spacing w:line="189" w:lineRule="exact"/>
              <w:ind w:left="108"/>
              <w:rPr>
                <w:rFonts w:eastAsia="Times New Roman"/>
                <w:spacing w:val="-2"/>
                <w:sz w:val="18"/>
                <w:szCs w:val="18"/>
              </w:rPr>
            </w:pPr>
            <w:r>
              <w:rPr>
                <w:sz w:val="18"/>
              </w:rPr>
              <w:t>Intern</w:t>
            </w:r>
          </w:p>
        </w:tc>
        <w:tc>
          <w:tcPr>
            <w:tcW w:w="3240" w:type="dxa"/>
            <w:tcBorders>
              <w:top w:val="single" w:sz="4" w:space="0" w:color="000000"/>
              <w:left w:val="single" w:sz="4" w:space="0" w:color="000000"/>
              <w:bottom w:val="none" w:sz="6" w:space="0" w:color="auto"/>
              <w:right w:val="single" w:sz="4" w:space="0" w:color="000000"/>
            </w:tcBorders>
          </w:tcPr>
          <w:p w14:paraId="6275CACC"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D89E3FF" w14:textId="77777777" w:rsidTr="000A6F99">
        <w:trPr>
          <w:trHeight w:val="206"/>
        </w:trPr>
        <w:tc>
          <w:tcPr>
            <w:tcW w:w="2054" w:type="dxa"/>
            <w:tcBorders>
              <w:top w:val="none" w:sz="6" w:space="0" w:color="auto"/>
              <w:left w:val="single" w:sz="4" w:space="0" w:color="000000"/>
              <w:bottom w:val="none" w:sz="6" w:space="0" w:color="auto"/>
              <w:right w:val="single" w:sz="4" w:space="0" w:color="000000"/>
            </w:tcBorders>
          </w:tcPr>
          <w:p w14:paraId="6842A04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301" w:type="dxa"/>
            <w:tcBorders>
              <w:top w:val="none" w:sz="6" w:space="0" w:color="auto"/>
              <w:left w:val="single" w:sz="4" w:space="0" w:color="000000"/>
              <w:bottom w:val="none" w:sz="6" w:space="0" w:color="auto"/>
              <w:right w:val="single" w:sz="4" w:space="0" w:color="000000"/>
            </w:tcBorders>
          </w:tcPr>
          <w:p w14:paraId="5F0AD62C" w14:textId="77777777" w:rsidR="00DF3509" w:rsidRPr="001F545D" w:rsidRDefault="00DF3509">
            <w:pPr>
              <w:pStyle w:val="TableParagraph"/>
              <w:kinsoku w:val="0"/>
              <w:overflowPunct w:val="0"/>
              <w:spacing w:line="186" w:lineRule="exact"/>
              <w:ind w:left="105"/>
              <w:rPr>
                <w:rFonts w:eastAsia="Times New Roman"/>
                <w:spacing w:val="-2"/>
                <w:sz w:val="18"/>
                <w:szCs w:val="18"/>
              </w:rPr>
            </w:pPr>
            <w:r>
              <w:rPr>
                <w:sz w:val="18"/>
              </w:rPr>
              <w:t>WCDMA-, LTE- und 5G-Frequenzbereiche:</w:t>
            </w:r>
          </w:p>
        </w:tc>
        <w:tc>
          <w:tcPr>
            <w:tcW w:w="1299" w:type="dxa"/>
            <w:tcBorders>
              <w:top w:val="none" w:sz="6" w:space="0" w:color="auto"/>
              <w:left w:val="single" w:sz="4" w:space="0" w:color="000000"/>
              <w:bottom w:val="none" w:sz="6" w:space="0" w:color="auto"/>
              <w:right w:val="single" w:sz="4" w:space="0" w:color="000000"/>
            </w:tcBorders>
          </w:tcPr>
          <w:p w14:paraId="3DC739CA"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240" w:type="dxa"/>
            <w:tcBorders>
              <w:top w:val="none" w:sz="6" w:space="0" w:color="auto"/>
              <w:left w:val="single" w:sz="4" w:space="0" w:color="000000"/>
              <w:bottom w:val="none" w:sz="6" w:space="0" w:color="auto"/>
              <w:right w:val="single" w:sz="4" w:space="0" w:color="000000"/>
            </w:tcBorders>
          </w:tcPr>
          <w:p w14:paraId="1F00D220" w14:textId="77777777" w:rsidR="00DF3509" w:rsidRPr="001F545D" w:rsidRDefault="00DF3509">
            <w:pPr>
              <w:pStyle w:val="TableParagraph"/>
              <w:kinsoku w:val="0"/>
              <w:overflowPunct w:val="0"/>
              <w:spacing w:line="186" w:lineRule="exact"/>
              <w:ind w:left="109"/>
              <w:rPr>
                <w:rFonts w:eastAsia="Times New Roman"/>
                <w:spacing w:val="-2"/>
                <w:sz w:val="18"/>
                <w:szCs w:val="18"/>
              </w:rPr>
            </w:pPr>
            <w:r>
              <w:rPr>
                <w:sz w:val="18"/>
              </w:rPr>
              <w:t>Intern</w:t>
            </w:r>
          </w:p>
        </w:tc>
      </w:tr>
      <w:tr w:rsidR="00DF3509" w:rsidRPr="001F545D" w14:paraId="19FA5DB1" w14:textId="77777777" w:rsidTr="000A6F99">
        <w:trPr>
          <w:trHeight w:val="207"/>
        </w:trPr>
        <w:tc>
          <w:tcPr>
            <w:tcW w:w="2054" w:type="dxa"/>
            <w:tcBorders>
              <w:top w:val="none" w:sz="6" w:space="0" w:color="auto"/>
              <w:left w:val="single" w:sz="4" w:space="0" w:color="000000"/>
              <w:bottom w:val="none" w:sz="6" w:space="0" w:color="auto"/>
              <w:right w:val="single" w:sz="4" w:space="0" w:color="000000"/>
            </w:tcBorders>
          </w:tcPr>
          <w:p w14:paraId="2DFCADB1"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301" w:type="dxa"/>
            <w:tcBorders>
              <w:top w:val="none" w:sz="6" w:space="0" w:color="auto"/>
              <w:left w:val="single" w:sz="4" w:space="0" w:color="000000"/>
              <w:bottom w:val="none" w:sz="6" w:space="0" w:color="auto"/>
              <w:right w:val="single" w:sz="4" w:space="0" w:color="000000"/>
            </w:tcBorders>
          </w:tcPr>
          <w:p w14:paraId="51A0231C" w14:textId="77777777" w:rsidR="00DF3509" w:rsidRPr="001F545D" w:rsidRDefault="00DF3509">
            <w:pPr>
              <w:pStyle w:val="TableParagraph"/>
              <w:kinsoku w:val="0"/>
              <w:overflowPunct w:val="0"/>
              <w:spacing w:line="188" w:lineRule="exact"/>
              <w:ind w:left="105"/>
              <w:rPr>
                <w:rFonts w:eastAsia="Times New Roman"/>
                <w:spacing w:val="-5"/>
                <w:sz w:val="18"/>
                <w:szCs w:val="18"/>
              </w:rPr>
            </w:pPr>
            <w:r>
              <w:rPr>
                <w:sz w:val="18"/>
              </w:rPr>
              <w:t>663–849</w:t>
            </w:r>
          </w:p>
        </w:tc>
        <w:tc>
          <w:tcPr>
            <w:tcW w:w="1299" w:type="dxa"/>
            <w:tcBorders>
              <w:top w:val="none" w:sz="6" w:space="0" w:color="auto"/>
              <w:left w:val="single" w:sz="4" w:space="0" w:color="000000"/>
              <w:bottom w:val="none" w:sz="6" w:space="0" w:color="auto"/>
              <w:right w:val="single" w:sz="4" w:space="0" w:color="000000"/>
            </w:tcBorders>
          </w:tcPr>
          <w:p w14:paraId="076FD1C7"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sz w:val="18"/>
              </w:rPr>
              <w:t>-2,8</w:t>
            </w:r>
          </w:p>
        </w:tc>
        <w:tc>
          <w:tcPr>
            <w:tcW w:w="3240" w:type="dxa"/>
            <w:tcBorders>
              <w:top w:val="none" w:sz="6" w:space="0" w:color="auto"/>
              <w:left w:val="single" w:sz="4" w:space="0" w:color="000000"/>
              <w:bottom w:val="none" w:sz="6" w:space="0" w:color="auto"/>
              <w:right w:val="single" w:sz="4" w:space="0" w:color="000000"/>
            </w:tcBorders>
          </w:tcPr>
          <w:p w14:paraId="67CF6248"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32DC0B60" w14:textId="77777777" w:rsidTr="000A6F99">
        <w:trPr>
          <w:trHeight w:val="207"/>
        </w:trPr>
        <w:tc>
          <w:tcPr>
            <w:tcW w:w="2054" w:type="dxa"/>
            <w:tcBorders>
              <w:top w:val="none" w:sz="6" w:space="0" w:color="auto"/>
              <w:left w:val="single" w:sz="4" w:space="0" w:color="000000"/>
              <w:bottom w:val="none" w:sz="6" w:space="0" w:color="auto"/>
              <w:right w:val="single" w:sz="4" w:space="0" w:color="000000"/>
            </w:tcBorders>
          </w:tcPr>
          <w:p w14:paraId="34E91A9B"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301" w:type="dxa"/>
            <w:tcBorders>
              <w:top w:val="none" w:sz="6" w:space="0" w:color="auto"/>
              <w:left w:val="single" w:sz="4" w:space="0" w:color="000000"/>
              <w:bottom w:val="none" w:sz="6" w:space="0" w:color="auto"/>
              <w:right w:val="single" w:sz="4" w:space="0" w:color="000000"/>
            </w:tcBorders>
          </w:tcPr>
          <w:p w14:paraId="6DAE74D6" w14:textId="77777777" w:rsidR="00DF3509" w:rsidRPr="001F545D" w:rsidRDefault="00DF3509">
            <w:pPr>
              <w:pStyle w:val="TableParagraph"/>
              <w:kinsoku w:val="0"/>
              <w:overflowPunct w:val="0"/>
              <w:spacing w:line="188" w:lineRule="exact"/>
              <w:ind w:left="105"/>
              <w:rPr>
                <w:rFonts w:eastAsia="Times New Roman"/>
                <w:spacing w:val="-4"/>
                <w:sz w:val="18"/>
                <w:szCs w:val="18"/>
              </w:rPr>
            </w:pPr>
            <w:r>
              <w:rPr>
                <w:sz w:val="18"/>
              </w:rPr>
              <w:t>1710–1915</w:t>
            </w:r>
          </w:p>
        </w:tc>
        <w:tc>
          <w:tcPr>
            <w:tcW w:w="1299" w:type="dxa"/>
            <w:tcBorders>
              <w:top w:val="none" w:sz="6" w:space="0" w:color="auto"/>
              <w:left w:val="single" w:sz="4" w:space="0" w:color="000000"/>
              <w:bottom w:val="none" w:sz="6" w:space="0" w:color="auto"/>
              <w:right w:val="single" w:sz="4" w:space="0" w:color="000000"/>
            </w:tcBorders>
          </w:tcPr>
          <w:p w14:paraId="58C52F5A" w14:textId="77777777" w:rsidR="00DF3509" w:rsidRPr="001F545D" w:rsidRDefault="00DF3509">
            <w:pPr>
              <w:pStyle w:val="TableParagraph"/>
              <w:kinsoku w:val="0"/>
              <w:overflowPunct w:val="0"/>
              <w:spacing w:line="188" w:lineRule="exact"/>
              <w:ind w:left="108"/>
              <w:rPr>
                <w:rFonts w:eastAsia="Times New Roman"/>
                <w:spacing w:val="-5"/>
                <w:sz w:val="18"/>
                <w:szCs w:val="18"/>
              </w:rPr>
            </w:pPr>
            <w:r>
              <w:rPr>
                <w:sz w:val="18"/>
              </w:rPr>
              <w:t>-4,0</w:t>
            </w:r>
          </w:p>
        </w:tc>
        <w:tc>
          <w:tcPr>
            <w:tcW w:w="3240" w:type="dxa"/>
            <w:tcBorders>
              <w:top w:val="none" w:sz="6" w:space="0" w:color="auto"/>
              <w:left w:val="single" w:sz="4" w:space="0" w:color="000000"/>
              <w:bottom w:val="none" w:sz="6" w:space="0" w:color="auto"/>
              <w:right w:val="single" w:sz="4" w:space="0" w:color="000000"/>
            </w:tcBorders>
          </w:tcPr>
          <w:p w14:paraId="1FB6620B"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6674972D" w14:textId="77777777" w:rsidTr="000A6F99">
        <w:trPr>
          <w:trHeight w:val="203"/>
        </w:trPr>
        <w:tc>
          <w:tcPr>
            <w:tcW w:w="2054" w:type="dxa"/>
            <w:tcBorders>
              <w:top w:val="none" w:sz="6" w:space="0" w:color="auto"/>
              <w:left w:val="single" w:sz="4" w:space="0" w:color="000000"/>
              <w:bottom w:val="single" w:sz="4" w:space="0" w:color="000000"/>
              <w:right w:val="single" w:sz="4" w:space="0" w:color="000000"/>
            </w:tcBorders>
          </w:tcPr>
          <w:p w14:paraId="3EAD3160" w14:textId="77777777" w:rsidR="00DF3509" w:rsidRPr="001F545D" w:rsidRDefault="00DF3509">
            <w:pPr>
              <w:pStyle w:val="TableParagraph"/>
              <w:kinsoku w:val="0"/>
              <w:overflowPunct w:val="0"/>
              <w:ind w:left="0"/>
              <w:rPr>
                <w:rFonts w:ascii="Times New Roman" w:hAnsi="Times New Roman" w:cs="Times New Roman"/>
                <w:sz w:val="14"/>
                <w:szCs w:val="14"/>
              </w:rPr>
            </w:pPr>
          </w:p>
        </w:tc>
        <w:tc>
          <w:tcPr>
            <w:tcW w:w="3301" w:type="dxa"/>
            <w:tcBorders>
              <w:top w:val="none" w:sz="6" w:space="0" w:color="auto"/>
              <w:left w:val="single" w:sz="4" w:space="0" w:color="000000"/>
              <w:bottom w:val="single" w:sz="4" w:space="0" w:color="000000"/>
              <w:right w:val="single" w:sz="4" w:space="0" w:color="000000"/>
            </w:tcBorders>
          </w:tcPr>
          <w:p w14:paraId="154BFF01" w14:textId="77777777" w:rsidR="00DF3509" w:rsidRPr="001F545D" w:rsidRDefault="00DF3509">
            <w:pPr>
              <w:pStyle w:val="TableParagraph"/>
              <w:kinsoku w:val="0"/>
              <w:overflowPunct w:val="0"/>
              <w:spacing w:line="184" w:lineRule="exact"/>
              <w:ind w:left="105"/>
              <w:rPr>
                <w:rFonts w:eastAsia="Times New Roman"/>
                <w:spacing w:val="-4"/>
                <w:sz w:val="18"/>
                <w:szCs w:val="18"/>
              </w:rPr>
            </w:pPr>
            <w:r>
              <w:rPr>
                <w:sz w:val="18"/>
              </w:rPr>
              <w:t>2305–3700</w:t>
            </w:r>
          </w:p>
        </w:tc>
        <w:tc>
          <w:tcPr>
            <w:tcW w:w="1299" w:type="dxa"/>
            <w:tcBorders>
              <w:top w:val="none" w:sz="6" w:space="0" w:color="auto"/>
              <w:left w:val="single" w:sz="4" w:space="0" w:color="000000"/>
              <w:bottom w:val="single" w:sz="4" w:space="0" w:color="000000"/>
              <w:right w:val="single" w:sz="4" w:space="0" w:color="000000"/>
            </w:tcBorders>
          </w:tcPr>
          <w:p w14:paraId="1F8275A6" w14:textId="77777777" w:rsidR="00DF3509" w:rsidRPr="001F545D" w:rsidRDefault="00DF3509">
            <w:pPr>
              <w:pStyle w:val="TableParagraph"/>
              <w:kinsoku w:val="0"/>
              <w:overflowPunct w:val="0"/>
              <w:spacing w:line="184" w:lineRule="exact"/>
              <w:ind w:left="108"/>
              <w:rPr>
                <w:rFonts w:eastAsia="Times New Roman"/>
                <w:spacing w:val="-4"/>
                <w:sz w:val="18"/>
                <w:szCs w:val="18"/>
              </w:rPr>
            </w:pPr>
            <w:r>
              <w:rPr>
                <w:sz w:val="18"/>
              </w:rPr>
              <w:t>-4,53</w:t>
            </w:r>
          </w:p>
        </w:tc>
        <w:tc>
          <w:tcPr>
            <w:tcW w:w="3240" w:type="dxa"/>
            <w:tcBorders>
              <w:top w:val="none" w:sz="6" w:space="0" w:color="auto"/>
              <w:left w:val="single" w:sz="4" w:space="0" w:color="000000"/>
              <w:bottom w:val="single" w:sz="4" w:space="0" w:color="000000"/>
              <w:right w:val="single" w:sz="4" w:space="0" w:color="000000"/>
            </w:tcBorders>
          </w:tcPr>
          <w:p w14:paraId="6AE82231" w14:textId="77777777" w:rsidR="00DF3509" w:rsidRPr="001F545D" w:rsidRDefault="00DF3509">
            <w:pPr>
              <w:pStyle w:val="TableParagraph"/>
              <w:kinsoku w:val="0"/>
              <w:overflowPunct w:val="0"/>
              <w:ind w:left="0"/>
              <w:rPr>
                <w:rFonts w:ascii="Times New Roman" w:hAnsi="Times New Roman" w:cs="Times New Roman"/>
                <w:sz w:val="14"/>
                <w:szCs w:val="14"/>
              </w:rPr>
            </w:pPr>
          </w:p>
        </w:tc>
      </w:tr>
      <w:tr w:rsidR="00DF3509" w:rsidRPr="001F545D" w14:paraId="711A042B"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21D89069"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LBR20</w:t>
            </w:r>
          </w:p>
        </w:tc>
        <w:tc>
          <w:tcPr>
            <w:tcW w:w="3301" w:type="dxa"/>
            <w:tcBorders>
              <w:top w:val="single" w:sz="4" w:space="0" w:color="000000"/>
              <w:left w:val="single" w:sz="4" w:space="0" w:color="000000"/>
              <w:bottom w:val="single" w:sz="4" w:space="0" w:color="000000"/>
              <w:right w:val="single" w:sz="4" w:space="0" w:color="000000"/>
            </w:tcBorders>
          </w:tcPr>
          <w:p w14:paraId="0C28D7AD" w14:textId="0B6A3F62" w:rsidR="00DF3509" w:rsidRPr="001F545D" w:rsidRDefault="000C50D3">
            <w:pPr>
              <w:pStyle w:val="TableParagraph"/>
              <w:kinsoku w:val="0"/>
              <w:overflowPunct w:val="0"/>
              <w:spacing w:line="206" w:lineRule="exact"/>
              <w:ind w:left="105"/>
              <w:rPr>
                <w:rFonts w:eastAsia="Times New Roman"/>
                <w:spacing w:val="-4"/>
                <w:sz w:val="18"/>
                <w:szCs w:val="18"/>
              </w:rPr>
            </w:pPr>
            <w:r>
              <w:rPr>
                <w:sz w:val="18"/>
              </w:rPr>
              <w:t>2,4</w:t>
            </w:r>
            <w:r w:rsidR="00DF3509">
              <w:rPr>
                <w:sz w:val="18"/>
              </w:rPr>
              <w:t xml:space="preserve"> und 5 GHz</w:t>
            </w:r>
          </w:p>
          <w:p w14:paraId="15E6BEEC" w14:textId="77777777" w:rsidR="00DF3509" w:rsidRPr="001F545D" w:rsidRDefault="00DF3509">
            <w:pPr>
              <w:pStyle w:val="TableParagraph"/>
              <w:kinsoku w:val="0"/>
              <w:overflowPunct w:val="0"/>
              <w:spacing w:line="189" w:lineRule="exact"/>
              <w:ind w:left="105"/>
              <w:rPr>
                <w:rFonts w:eastAsia="Times New Roman"/>
                <w:spacing w:val="-4"/>
                <w:sz w:val="18"/>
                <w:szCs w:val="18"/>
              </w:rPr>
            </w:pPr>
            <w:r>
              <w:rPr>
                <w:sz w:val="18"/>
              </w:rPr>
              <w:t>WCDMA- und LTE-Frequenzbereiche</w:t>
            </w:r>
          </w:p>
        </w:tc>
        <w:tc>
          <w:tcPr>
            <w:tcW w:w="1299" w:type="dxa"/>
            <w:tcBorders>
              <w:top w:val="single" w:sz="4" w:space="0" w:color="000000"/>
              <w:left w:val="single" w:sz="4" w:space="0" w:color="000000"/>
              <w:bottom w:val="single" w:sz="4" w:space="0" w:color="000000"/>
              <w:right w:val="single" w:sz="4" w:space="0" w:color="000000"/>
            </w:tcBorders>
          </w:tcPr>
          <w:p w14:paraId="50372A9E" w14:textId="77777777" w:rsidR="00DF3509" w:rsidRPr="001F545D" w:rsidRDefault="00DF3509">
            <w:pPr>
              <w:pStyle w:val="TableParagraph"/>
              <w:kinsoku w:val="0"/>
              <w:overflowPunct w:val="0"/>
              <w:spacing w:line="206" w:lineRule="exact"/>
              <w:ind w:left="108"/>
              <w:rPr>
                <w:rFonts w:eastAsia="Times New Roman"/>
                <w:spacing w:val="-2"/>
                <w:sz w:val="18"/>
                <w:szCs w:val="18"/>
              </w:rPr>
            </w:pPr>
            <w:r>
              <w:rPr>
                <w:sz w:val="18"/>
              </w:rPr>
              <w:t>Intern</w:t>
            </w:r>
          </w:p>
        </w:tc>
        <w:tc>
          <w:tcPr>
            <w:tcW w:w="3240" w:type="dxa"/>
            <w:tcBorders>
              <w:top w:val="single" w:sz="4" w:space="0" w:color="000000"/>
              <w:left w:val="single" w:sz="4" w:space="0" w:color="000000"/>
              <w:bottom w:val="single" w:sz="4" w:space="0" w:color="000000"/>
              <w:right w:val="single" w:sz="4" w:space="0" w:color="000000"/>
            </w:tcBorders>
          </w:tcPr>
          <w:p w14:paraId="6F6AC2CB" w14:textId="77777777" w:rsidR="00DF3509" w:rsidRPr="001F545D" w:rsidRDefault="00DF3509">
            <w:pPr>
              <w:pStyle w:val="TableParagraph"/>
              <w:kinsoku w:val="0"/>
              <w:overflowPunct w:val="0"/>
              <w:spacing w:line="206" w:lineRule="exact"/>
              <w:ind w:left="109"/>
              <w:rPr>
                <w:rFonts w:eastAsia="Times New Roman"/>
                <w:spacing w:val="-2"/>
                <w:sz w:val="18"/>
                <w:szCs w:val="18"/>
              </w:rPr>
            </w:pPr>
            <w:r>
              <w:rPr>
                <w:sz w:val="18"/>
              </w:rPr>
              <w:t>Intern</w:t>
            </w:r>
          </w:p>
          <w:p w14:paraId="6DBFC5F4" w14:textId="060E59CA" w:rsidR="00DF3509" w:rsidRPr="001F545D" w:rsidRDefault="00DF3509">
            <w:pPr>
              <w:pStyle w:val="TableParagraph"/>
              <w:kinsoku w:val="0"/>
              <w:overflowPunct w:val="0"/>
              <w:spacing w:line="189" w:lineRule="exact"/>
              <w:ind w:left="109"/>
              <w:rPr>
                <w:rFonts w:eastAsia="Times New Roman"/>
                <w:spacing w:val="-2"/>
                <w:sz w:val="18"/>
                <w:szCs w:val="18"/>
              </w:rPr>
            </w:pPr>
            <w:r>
              <w:rPr>
                <w:sz w:val="18"/>
              </w:rPr>
              <w:t xml:space="preserve">Intern oder </w:t>
            </w:r>
            <w:r w:rsidR="004A0474">
              <w:rPr>
                <w:sz w:val="18"/>
              </w:rPr>
              <w:t>N</w:t>
            </w:r>
            <w:r w:rsidR="000652D7">
              <w:rPr>
                <w:sz w:val="18"/>
              </w:rPr>
              <w:t>ETGEAR</w:t>
            </w:r>
            <w:r w:rsidR="004A0474">
              <w:rPr>
                <w:sz w:val="18"/>
              </w:rPr>
              <w:t xml:space="preserve"> </w:t>
            </w:r>
            <w:r>
              <w:rPr>
                <w:sz w:val="18"/>
              </w:rPr>
              <w:t>6000451</w:t>
            </w:r>
          </w:p>
        </w:tc>
      </w:tr>
      <w:tr w:rsidR="00BC1AC3" w:rsidRPr="001F545D" w14:paraId="3864E00A"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0E1EE06F" w14:textId="77777777" w:rsidR="00BC1AC3" w:rsidRPr="001F545D" w:rsidRDefault="00BC1AC3">
            <w:pPr>
              <w:pStyle w:val="TableParagraph"/>
              <w:kinsoku w:val="0"/>
              <w:overflowPunct w:val="0"/>
              <w:spacing w:line="206" w:lineRule="exact"/>
              <w:rPr>
                <w:rFonts w:eastAsia="Times New Roman"/>
                <w:spacing w:val="-2"/>
                <w:sz w:val="18"/>
                <w:szCs w:val="18"/>
              </w:rPr>
            </w:pPr>
            <w:r>
              <w:rPr>
                <w:sz w:val="18"/>
              </w:rPr>
              <w:t>MR6500/MR6110</w:t>
            </w:r>
          </w:p>
        </w:tc>
        <w:tc>
          <w:tcPr>
            <w:tcW w:w="3301" w:type="dxa"/>
            <w:tcBorders>
              <w:top w:val="single" w:sz="4" w:space="0" w:color="000000"/>
              <w:left w:val="single" w:sz="4" w:space="0" w:color="000000"/>
              <w:bottom w:val="single" w:sz="4" w:space="0" w:color="000000"/>
              <w:right w:val="single" w:sz="4" w:space="0" w:color="000000"/>
            </w:tcBorders>
          </w:tcPr>
          <w:p w14:paraId="5194AAB6" w14:textId="77777777" w:rsidR="00BE289B" w:rsidRDefault="00BE289B" w:rsidP="00BE289B">
            <w:pPr>
              <w:pStyle w:val="BodyText"/>
            </w:pPr>
            <w:r>
              <w:t xml:space="preserve"> 2,4 GHz, 5 GHz, 6 GHz</w:t>
            </w:r>
          </w:p>
          <w:p w14:paraId="4F65DE49" w14:textId="77777777" w:rsidR="00BE289B" w:rsidRDefault="00BE289B" w:rsidP="00BE289B">
            <w:pPr>
              <w:pStyle w:val="BodyText"/>
            </w:pPr>
            <w:r>
              <w:t xml:space="preserve"> LTE- und 5GNR-Frequenzbereiche:</w:t>
            </w:r>
          </w:p>
          <w:p w14:paraId="120D6C04" w14:textId="77777777" w:rsidR="00BE289B" w:rsidRDefault="00BE289B" w:rsidP="00BE289B">
            <w:pPr>
              <w:pStyle w:val="BodyText"/>
            </w:pPr>
            <w:r>
              <w:t>B2, B4, B5, B7, B12, B14, B29, B66, n2, n5, n12, n14, n66</w:t>
            </w:r>
          </w:p>
          <w:p w14:paraId="27F59299" w14:textId="77777777" w:rsidR="00BE289B" w:rsidRDefault="00BE289B" w:rsidP="00BE289B">
            <w:pPr>
              <w:pStyle w:val="BodyText"/>
            </w:pPr>
            <w:r>
              <w:t>B30, n30</w:t>
            </w:r>
          </w:p>
          <w:p w14:paraId="1305B374" w14:textId="77777777" w:rsidR="00BE289B" w:rsidRDefault="00BE289B" w:rsidP="00BE289B">
            <w:pPr>
              <w:pStyle w:val="BodyText"/>
            </w:pPr>
            <w:r>
              <w:t>B48</w:t>
            </w:r>
          </w:p>
          <w:p w14:paraId="5CC221A3" w14:textId="77777777" w:rsidR="00BE289B" w:rsidRPr="001F545D" w:rsidRDefault="00BE289B" w:rsidP="003608D0">
            <w:pPr>
              <w:pStyle w:val="BodyText"/>
            </w:pPr>
            <w:r>
              <w:t>n77</w:t>
            </w:r>
          </w:p>
        </w:tc>
        <w:tc>
          <w:tcPr>
            <w:tcW w:w="1299" w:type="dxa"/>
            <w:tcBorders>
              <w:top w:val="single" w:sz="4" w:space="0" w:color="000000"/>
              <w:left w:val="single" w:sz="4" w:space="0" w:color="000000"/>
              <w:bottom w:val="single" w:sz="4" w:space="0" w:color="000000"/>
              <w:right w:val="single" w:sz="4" w:space="0" w:color="000000"/>
            </w:tcBorders>
          </w:tcPr>
          <w:p w14:paraId="1E914268" w14:textId="77777777" w:rsidR="00BC1AC3" w:rsidRDefault="00BE289B">
            <w:pPr>
              <w:pStyle w:val="TableParagraph"/>
              <w:kinsoku w:val="0"/>
              <w:overflowPunct w:val="0"/>
              <w:spacing w:line="206" w:lineRule="exact"/>
              <w:ind w:left="108"/>
              <w:rPr>
                <w:rFonts w:eastAsia="Times New Roman"/>
                <w:spacing w:val="-2"/>
                <w:sz w:val="18"/>
                <w:szCs w:val="18"/>
              </w:rPr>
            </w:pPr>
            <w:r>
              <w:rPr>
                <w:sz w:val="18"/>
              </w:rPr>
              <w:t>Intern</w:t>
            </w:r>
          </w:p>
          <w:p w14:paraId="45AD619A" w14:textId="77777777" w:rsidR="00BE289B" w:rsidRDefault="00BE289B">
            <w:pPr>
              <w:pStyle w:val="TableParagraph"/>
              <w:kinsoku w:val="0"/>
              <w:overflowPunct w:val="0"/>
              <w:spacing w:line="206" w:lineRule="exact"/>
              <w:ind w:left="108"/>
              <w:rPr>
                <w:rFonts w:eastAsia="Times New Roman"/>
                <w:spacing w:val="-2"/>
                <w:sz w:val="18"/>
                <w:szCs w:val="18"/>
              </w:rPr>
            </w:pPr>
          </w:p>
          <w:p w14:paraId="27863846"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4,0</w:t>
            </w:r>
          </w:p>
          <w:p w14:paraId="63299B69" w14:textId="77777777" w:rsidR="00BE289B" w:rsidRDefault="00BE289B">
            <w:pPr>
              <w:pStyle w:val="TableParagraph"/>
              <w:kinsoku w:val="0"/>
              <w:overflowPunct w:val="0"/>
              <w:spacing w:line="206" w:lineRule="exact"/>
              <w:ind w:left="108"/>
              <w:rPr>
                <w:rFonts w:eastAsia="Times New Roman"/>
                <w:spacing w:val="-2"/>
                <w:sz w:val="18"/>
                <w:szCs w:val="18"/>
              </w:rPr>
            </w:pPr>
          </w:p>
          <w:p w14:paraId="4E3BFE02"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1,05</w:t>
            </w:r>
          </w:p>
          <w:p w14:paraId="6E8C7E05" w14:textId="77777777" w:rsidR="00BE289B" w:rsidRDefault="00BE289B">
            <w:pPr>
              <w:pStyle w:val="TableParagraph"/>
              <w:kinsoku w:val="0"/>
              <w:overflowPunct w:val="0"/>
              <w:spacing w:line="206" w:lineRule="exact"/>
              <w:ind w:left="108"/>
              <w:rPr>
                <w:rFonts w:eastAsia="Times New Roman"/>
                <w:spacing w:val="-2"/>
                <w:sz w:val="18"/>
                <w:szCs w:val="18"/>
              </w:rPr>
            </w:pPr>
            <w:r>
              <w:rPr>
                <w:sz w:val="18"/>
              </w:rPr>
              <w:t>0,17</w:t>
            </w:r>
          </w:p>
          <w:p w14:paraId="1ECB8A38" w14:textId="77777777" w:rsidR="00BE289B" w:rsidRPr="001F545D" w:rsidRDefault="00BE289B">
            <w:pPr>
              <w:pStyle w:val="TableParagraph"/>
              <w:kinsoku w:val="0"/>
              <w:overflowPunct w:val="0"/>
              <w:spacing w:line="206" w:lineRule="exact"/>
              <w:ind w:left="108"/>
              <w:rPr>
                <w:rFonts w:eastAsia="Times New Roman"/>
                <w:spacing w:val="-2"/>
                <w:sz w:val="18"/>
                <w:szCs w:val="18"/>
              </w:rPr>
            </w:pPr>
            <w:r>
              <w:rPr>
                <w:sz w:val="18"/>
              </w:rPr>
              <w:t>6</w:t>
            </w:r>
          </w:p>
        </w:tc>
        <w:tc>
          <w:tcPr>
            <w:tcW w:w="3240" w:type="dxa"/>
            <w:tcBorders>
              <w:top w:val="single" w:sz="4" w:space="0" w:color="000000"/>
              <w:left w:val="single" w:sz="4" w:space="0" w:color="000000"/>
              <w:bottom w:val="single" w:sz="4" w:space="0" w:color="000000"/>
              <w:right w:val="single" w:sz="4" w:space="0" w:color="000000"/>
            </w:tcBorders>
          </w:tcPr>
          <w:p w14:paraId="01823853" w14:textId="77777777" w:rsidR="00BC1AC3" w:rsidRDefault="00BE289B">
            <w:pPr>
              <w:pStyle w:val="TableParagraph"/>
              <w:kinsoku w:val="0"/>
              <w:overflowPunct w:val="0"/>
              <w:spacing w:line="206" w:lineRule="exact"/>
              <w:ind w:left="109"/>
              <w:rPr>
                <w:rFonts w:eastAsia="Times New Roman"/>
                <w:spacing w:val="-2"/>
                <w:sz w:val="18"/>
                <w:szCs w:val="18"/>
              </w:rPr>
            </w:pPr>
            <w:r>
              <w:rPr>
                <w:sz w:val="18"/>
              </w:rPr>
              <w:t>Intern</w:t>
            </w:r>
          </w:p>
          <w:p w14:paraId="7BB7818B" w14:textId="77777777" w:rsidR="00BE289B" w:rsidRDefault="00BE289B">
            <w:pPr>
              <w:pStyle w:val="TableParagraph"/>
              <w:kinsoku w:val="0"/>
              <w:overflowPunct w:val="0"/>
              <w:spacing w:line="206" w:lineRule="exact"/>
              <w:ind w:left="109"/>
              <w:rPr>
                <w:rFonts w:eastAsia="Times New Roman"/>
                <w:spacing w:val="-2"/>
                <w:sz w:val="18"/>
                <w:szCs w:val="18"/>
              </w:rPr>
            </w:pPr>
          </w:p>
          <w:p w14:paraId="49F1B6F2"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w:t>
            </w:r>
          </w:p>
          <w:p w14:paraId="59043442" w14:textId="77777777" w:rsidR="00BE289B" w:rsidRDefault="00BE289B">
            <w:pPr>
              <w:pStyle w:val="TableParagraph"/>
              <w:kinsoku w:val="0"/>
              <w:overflowPunct w:val="0"/>
              <w:spacing w:line="206" w:lineRule="exact"/>
              <w:ind w:left="109"/>
              <w:rPr>
                <w:rFonts w:eastAsia="Times New Roman"/>
                <w:spacing w:val="-2"/>
                <w:sz w:val="18"/>
                <w:szCs w:val="18"/>
              </w:rPr>
            </w:pPr>
          </w:p>
          <w:p w14:paraId="1155B9B9"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w:t>
            </w:r>
          </w:p>
          <w:p w14:paraId="20C29758"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w:t>
            </w:r>
          </w:p>
          <w:p w14:paraId="6434DA17" w14:textId="77777777" w:rsidR="00BE289B" w:rsidRDefault="00BE289B">
            <w:pPr>
              <w:pStyle w:val="TableParagraph"/>
              <w:kinsoku w:val="0"/>
              <w:overflowPunct w:val="0"/>
              <w:spacing w:line="206" w:lineRule="exact"/>
              <w:ind w:left="109"/>
              <w:rPr>
                <w:rFonts w:eastAsia="Times New Roman"/>
                <w:spacing w:val="-2"/>
                <w:sz w:val="18"/>
                <w:szCs w:val="18"/>
              </w:rPr>
            </w:pPr>
            <w:r>
              <w:rPr>
                <w:sz w:val="18"/>
              </w:rPr>
              <w:t>Intern</w:t>
            </w:r>
          </w:p>
          <w:p w14:paraId="5A9F9D5D" w14:textId="77777777" w:rsidR="00BE289B" w:rsidRPr="001F545D" w:rsidRDefault="00BE289B">
            <w:pPr>
              <w:pStyle w:val="TableParagraph"/>
              <w:kinsoku w:val="0"/>
              <w:overflowPunct w:val="0"/>
              <w:spacing w:line="206" w:lineRule="exact"/>
              <w:ind w:left="109"/>
              <w:rPr>
                <w:rFonts w:eastAsia="Times New Roman"/>
                <w:spacing w:val="-2"/>
                <w:sz w:val="18"/>
                <w:szCs w:val="18"/>
              </w:rPr>
            </w:pPr>
          </w:p>
        </w:tc>
      </w:tr>
      <w:tr w:rsidR="00630974" w:rsidRPr="001F545D" w14:paraId="44EB627B"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10F39EA7" w14:textId="77777777" w:rsidR="00630974" w:rsidRDefault="00630974">
            <w:pPr>
              <w:pStyle w:val="TableParagraph"/>
              <w:kinsoku w:val="0"/>
              <w:overflowPunct w:val="0"/>
              <w:spacing w:line="206" w:lineRule="exact"/>
              <w:rPr>
                <w:rFonts w:eastAsia="Times New Roman"/>
                <w:spacing w:val="-2"/>
                <w:sz w:val="18"/>
                <w:szCs w:val="18"/>
              </w:rPr>
            </w:pPr>
            <w:r>
              <w:rPr>
                <w:sz w:val="18"/>
              </w:rPr>
              <w:t>MR6150/MR6550</w:t>
            </w:r>
          </w:p>
        </w:tc>
        <w:tc>
          <w:tcPr>
            <w:tcW w:w="3301" w:type="dxa"/>
            <w:tcBorders>
              <w:top w:val="single" w:sz="4" w:space="0" w:color="000000"/>
              <w:left w:val="single" w:sz="4" w:space="0" w:color="000000"/>
              <w:bottom w:val="single" w:sz="4" w:space="0" w:color="000000"/>
              <w:right w:val="single" w:sz="4" w:space="0" w:color="000000"/>
            </w:tcBorders>
          </w:tcPr>
          <w:p w14:paraId="6D1A16ED" w14:textId="77777777" w:rsidR="00630974" w:rsidRDefault="00630974" w:rsidP="00630974">
            <w:pPr>
              <w:pStyle w:val="BodyText"/>
            </w:pPr>
            <w:r>
              <w:t>2,4 GHz, 5 GHz, 6 GHz</w:t>
            </w:r>
          </w:p>
          <w:p w14:paraId="1CEE6D06" w14:textId="77777777" w:rsidR="00630974" w:rsidRDefault="00630974" w:rsidP="00630974">
            <w:pPr>
              <w:pStyle w:val="BodyText"/>
            </w:pPr>
            <w:r>
              <w:t xml:space="preserve"> LTE- und 5GNR-Frequenzbereiche:</w:t>
            </w:r>
          </w:p>
          <w:p w14:paraId="01D93A74" w14:textId="77777777" w:rsidR="00630974" w:rsidRDefault="00630974" w:rsidP="00630974">
            <w:pPr>
              <w:pStyle w:val="BodyText"/>
            </w:pPr>
            <w:r>
              <w:t>B2, B4, B5, B7, B12, B13, B14, B25, B26, B41, B66, B71, n2, n5, n7, n12, n14, n25, n38, n41, n66, n71, n77, n78</w:t>
            </w:r>
          </w:p>
          <w:p w14:paraId="05A41B42" w14:textId="77777777" w:rsidR="00630974" w:rsidRDefault="00630974" w:rsidP="00630974">
            <w:pPr>
              <w:pStyle w:val="BodyText"/>
            </w:pPr>
            <w:r>
              <w:t>B30, n30</w:t>
            </w:r>
          </w:p>
          <w:p w14:paraId="03B65F6A" w14:textId="77777777" w:rsidR="00630974" w:rsidRDefault="00630974" w:rsidP="00630974">
            <w:pPr>
              <w:pStyle w:val="BodyText"/>
            </w:pPr>
            <w:r>
              <w:t>B48, n48, (n77, n78 für ISED)</w:t>
            </w:r>
          </w:p>
          <w:p w14:paraId="067724F7" w14:textId="77777777" w:rsidR="00630974" w:rsidRDefault="00630974" w:rsidP="00630974">
            <w:pPr>
              <w:pStyle w:val="BodyText"/>
            </w:pPr>
            <w:r>
              <w:t>B42</w:t>
            </w:r>
          </w:p>
        </w:tc>
        <w:tc>
          <w:tcPr>
            <w:tcW w:w="1299" w:type="dxa"/>
            <w:tcBorders>
              <w:top w:val="single" w:sz="4" w:space="0" w:color="000000"/>
              <w:left w:val="single" w:sz="4" w:space="0" w:color="000000"/>
              <w:bottom w:val="single" w:sz="4" w:space="0" w:color="000000"/>
              <w:right w:val="single" w:sz="4" w:space="0" w:color="000000"/>
            </w:tcBorders>
          </w:tcPr>
          <w:p w14:paraId="23D1DC8B"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Intern</w:t>
            </w:r>
          </w:p>
          <w:p w14:paraId="45069801" w14:textId="77777777" w:rsidR="00630974" w:rsidRDefault="00630974">
            <w:pPr>
              <w:pStyle w:val="TableParagraph"/>
              <w:kinsoku w:val="0"/>
              <w:overflowPunct w:val="0"/>
              <w:spacing w:line="206" w:lineRule="exact"/>
              <w:ind w:left="108"/>
              <w:rPr>
                <w:rFonts w:eastAsia="Times New Roman"/>
                <w:spacing w:val="-2"/>
                <w:sz w:val="18"/>
                <w:szCs w:val="18"/>
              </w:rPr>
            </w:pPr>
          </w:p>
          <w:p w14:paraId="29022EF3" w14:textId="77777777" w:rsidR="00630974" w:rsidRDefault="00630974">
            <w:pPr>
              <w:pStyle w:val="TableParagraph"/>
              <w:kinsoku w:val="0"/>
              <w:overflowPunct w:val="0"/>
              <w:spacing w:line="206" w:lineRule="exact"/>
              <w:ind w:left="108"/>
              <w:rPr>
                <w:rFonts w:eastAsia="Times New Roman"/>
                <w:spacing w:val="-2"/>
                <w:sz w:val="18"/>
                <w:szCs w:val="18"/>
              </w:rPr>
            </w:pPr>
          </w:p>
          <w:p w14:paraId="53CFF47F" w14:textId="77777777" w:rsidR="00630974" w:rsidRDefault="00630974">
            <w:pPr>
              <w:pStyle w:val="TableParagraph"/>
              <w:kinsoku w:val="0"/>
              <w:overflowPunct w:val="0"/>
              <w:spacing w:line="206" w:lineRule="exact"/>
              <w:ind w:left="108"/>
              <w:rPr>
                <w:rFonts w:eastAsia="Times New Roman"/>
                <w:spacing w:val="-2"/>
                <w:sz w:val="18"/>
                <w:szCs w:val="18"/>
              </w:rPr>
            </w:pPr>
          </w:p>
          <w:p w14:paraId="6BE38C44"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4,0</w:t>
            </w:r>
          </w:p>
          <w:p w14:paraId="13890EA2"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1,05</w:t>
            </w:r>
          </w:p>
          <w:p w14:paraId="0C030F22"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0,17</w:t>
            </w:r>
          </w:p>
          <w:p w14:paraId="6C683A41" w14:textId="77777777" w:rsidR="00630974" w:rsidRDefault="00630974">
            <w:pPr>
              <w:pStyle w:val="TableParagraph"/>
              <w:kinsoku w:val="0"/>
              <w:overflowPunct w:val="0"/>
              <w:spacing w:line="206" w:lineRule="exact"/>
              <w:ind w:left="108"/>
              <w:rPr>
                <w:rFonts w:eastAsia="Times New Roman"/>
                <w:spacing w:val="-2"/>
                <w:sz w:val="18"/>
                <w:szCs w:val="18"/>
              </w:rPr>
            </w:pPr>
            <w:r>
              <w:rPr>
                <w:sz w:val="18"/>
              </w:rPr>
              <w:t>-0,23</w:t>
            </w:r>
          </w:p>
        </w:tc>
        <w:tc>
          <w:tcPr>
            <w:tcW w:w="3240" w:type="dxa"/>
            <w:tcBorders>
              <w:top w:val="single" w:sz="4" w:space="0" w:color="000000"/>
              <w:left w:val="single" w:sz="4" w:space="0" w:color="000000"/>
              <w:bottom w:val="single" w:sz="4" w:space="0" w:color="000000"/>
              <w:right w:val="single" w:sz="4" w:space="0" w:color="000000"/>
            </w:tcBorders>
          </w:tcPr>
          <w:p w14:paraId="758FC493"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w:t>
            </w:r>
          </w:p>
          <w:p w14:paraId="27752A13" w14:textId="77777777" w:rsidR="00630974" w:rsidRDefault="00630974">
            <w:pPr>
              <w:pStyle w:val="TableParagraph"/>
              <w:kinsoku w:val="0"/>
              <w:overflowPunct w:val="0"/>
              <w:spacing w:line="206" w:lineRule="exact"/>
              <w:ind w:left="109"/>
              <w:rPr>
                <w:rFonts w:eastAsia="Times New Roman"/>
                <w:spacing w:val="-2"/>
                <w:sz w:val="18"/>
                <w:szCs w:val="18"/>
              </w:rPr>
            </w:pPr>
          </w:p>
          <w:p w14:paraId="54DBD951" w14:textId="77777777" w:rsidR="00630974" w:rsidRDefault="00630974">
            <w:pPr>
              <w:pStyle w:val="TableParagraph"/>
              <w:kinsoku w:val="0"/>
              <w:overflowPunct w:val="0"/>
              <w:spacing w:line="206" w:lineRule="exact"/>
              <w:ind w:left="109"/>
              <w:rPr>
                <w:rFonts w:eastAsia="Times New Roman"/>
                <w:spacing w:val="-2"/>
                <w:sz w:val="18"/>
                <w:szCs w:val="18"/>
              </w:rPr>
            </w:pPr>
          </w:p>
          <w:p w14:paraId="112CDE08" w14:textId="77777777" w:rsidR="00630974" w:rsidRDefault="00630974">
            <w:pPr>
              <w:pStyle w:val="TableParagraph"/>
              <w:kinsoku w:val="0"/>
              <w:overflowPunct w:val="0"/>
              <w:spacing w:line="206" w:lineRule="exact"/>
              <w:ind w:left="109"/>
              <w:rPr>
                <w:rFonts w:eastAsia="Times New Roman"/>
                <w:spacing w:val="-2"/>
                <w:sz w:val="18"/>
                <w:szCs w:val="18"/>
              </w:rPr>
            </w:pPr>
          </w:p>
          <w:p w14:paraId="014E9813"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w:t>
            </w:r>
          </w:p>
          <w:p w14:paraId="3F2CC919"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w:t>
            </w:r>
          </w:p>
          <w:p w14:paraId="342BA6C4"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w:t>
            </w:r>
          </w:p>
          <w:p w14:paraId="09A9749D" w14:textId="77777777" w:rsidR="00630974" w:rsidRDefault="00630974">
            <w:pPr>
              <w:pStyle w:val="TableParagraph"/>
              <w:kinsoku w:val="0"/>
              <w:overflowPunct w:val="0"/>
              <w:spacing w:line="206" w:lineRule="exact"/>
              <w:ind w:left="109"/>
              <w:rPr>
                <w:rFonts w:eastAsia="Times New Roman"/>
                <w:spacing w:val="-2"/>
                <w:sz w:val="18"/>
                <w:szCs w:val="18"/>
              </w:rPr>
            </w:pPr>
            <w:r>
              <w:rPr>
                <w:sz w:val="18"/>
              </w:rPr>
              <w:t>Intern</w:t>
            </w:r>
          </w:p>
        </w:tc>
      </w:tr>
      <w:tr w:rsidR="00633DFA" w:rsidRPr="001F545D" w14:paraId="50C47983" w14:textId="77777777" w:rsidTr="000A6F99">
        <w:trPr>
          <w:trHeight w:val="414"/>
        </w:trPr>
        <w:tc>
          <w:tcPr>
            <w:tcW w:w="2054" w:type="dxa"/>
            <w:tcBorders>
              <w:top w:val="single" w:sz="4" w:space="0" w:color="000000"/>
              <w:left w:val="single" w:sz="4" w:space="0" w:color="000000"/>
              <w:bottom w:val="single" w:sz="4" w:space="0" w:color="000000"/>
              <w:right w:val="single" w:sz="4" w:space="0" w:color="000000"/>
            </w:tcBorders>
          </w:tcPr>
          <w:p w14:paraId="152DF269" w14:textId="77777777" w:rsidR="00633DFA" w:rsidRDefault="00633DFA">
            <w:pPr>
              <w:pStyle w:val="TableParagraph"/>
              <w:kinsoku w:val="0"/>
              <w:overflowPunct w:val="0"/>
              <w:spacing w:line="206" w:lineRule="exact"/>
              <w:rPr>
                <w:rFonts w:eastAsia="Times New Roman"/>
                <w:spacing w:val="-2"/>
                <w:sz w:val="18"/>
                <w:szCs w:val="18"/>
              </w:rPr>
            </w:pPr>
            <w:r>
              <w:rPr>
                <w:sz w:val="18"/>
              </w:rPr>
              <w:t>MR6400</w:t>
            </w:r>
          </w:p>
        </w:tc>
        <w:tc>
          <w:tcPr>
            <w:tcW w:w="3301" w:type="dxa"/>
            <w:tcBorders>
              <w:top w:val="single" w:sz="4" w:space="0" w:color="000000"/>
              <w:left w:val="single" w:sz="4" w:space="0" w:color="000000"/>
              <w:bottom w:val="single" w:sz="4" w:space="0" w:color="000000"/>
              <w:right w:val="single" w:sz="4" w:space="0" w:color="000000"/>
            </w:tcBorders>
          </w:tcPr>
          <w:p w14:paraId="1EB964F0" w14:textId="77777777" w:rsidR="00633DFA" w:rsidRDefault="00633DFA" w:rsidP="00633DFA">
            <w:pPr>
              <w:pStyle w:val="BodyText"/>
            </w:pPr>
            <w:r>
              <w:t>2,4 GHz, 5 GHz, 6 GHz</w:t>
            </w:r>
          </w:p>
          <w:p w14:paraId="496206E8" w14:textId="77777777" w:rsidR="00633DFA" w:rsidRDefault="00633DFA" w:rsidP="00633DFA">
            <w:pPr>
              <w:pStyle w:val="BodyText"/>
            </w:pPr>
            <w:r>
              <w:t xml:space="preserve"> LTE- und 5GNR-Frequenzbereiche:</w:t>
            </w:r>
          </w:p>
          <w:p w14:paraId="50AFC334" w14:textId="77777777" w:rsidR="00633DFA" w:rsidRDefault="00633DFA" w:rsidP="00633DFA">
            <w:pPr>
              <w:pStyle w:val="BodyText"/>
            </w:pPr>
            <w:r>
              <w:t>B2, B4, B5, B7, B12, B13, B14, B25, B26, B41, B66, B71, n2, n5, n12, n14, n25, n41, n66, n71</w:t>
            </w:r>
          </w:p>
          <w:p w14:paraId="01E08254" w14:textId="77777777" w:rsidR="00633DFA" w:rsidRDefault="00633DFA" w:rsidP="00633DFA">
            <w:pPr>
              <w:pStyle w:val="BodyText"/>
            </w:pPr>
            <w:r>
              <w:t>B30, n30</w:t>
            </w:r>
          </w:p>
          <w:p w14:paraId="1CF47B3A" w14:textId="77777777" w:rsidR="00633DFA" w:rsidRDefault="00633DFA" w:rsidP="00633DFA">
            <w:pPr>
              <w:pStyle w:val="BodyText"/>
            </w:pPr>
            <w:r>
              <w:t>B48, n48</w:t>
            </w:r>
          </w:p>
          <w:p w14:paraId="6A282814" w14:textId="77777777" w:rsidR="00633DFA" w:rsidRDefault="00633DFA" w:rsidP="00633DFA">
            <w:pPr>
              <w:pStyle w:val="BodyText"/>
            </w:pPr>
            <w:r>
              <w:t>B42</w:t>
            </w:r>
          </w:p>
          <w:p w14:paraId="2196671A" w14:textId="77777777" w:rsidR="00DA1546" w:rsidRDefault="00DA1546" w:rsidP="00633DFA">
            <w:pPr>
              <w:pStyle w:val="BodyText"/>
            </w:pPr>
            <w:r>
              <w:t>n77</w:t>
            </w:r>
          </w:p>
        </w:tc>
        <w:tc>
          <w:tcPr>
            <w:tcW w:w="1299" w:type="dxa"/>
            <w:tcBorders>
              <w:top w:val="single" w:sz="4" w:space="0" w:color="000000"/>
              <w:left w:val="single" w:sz="4" w:space="0" w:color="000000"/>
              <w:bottom w:val="single" w:sz="4" w:space="0" w:color="000000"/>
              <w:right w:val="single" w:sz="4" w:space="0" w:color="000000"/>
            </w:tcBorders>
          </w:tcPr>
          <w:p w14:paraId="21FE1023"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Intern</w:t>
            </w:r>
          </w:p>
          <w:p w14:paraId="2ABDD154" w14:textId="77777777" w:rsidR="00633DFA" w:rsidRDefault="00633DFA">
            <w:pPr>
              <w:pStyle w:val="TableParagraph"/>
              <w:kinsoku w:val="0"/>
              <w:overflowPunct w:val="0"/>
              <w:spacing w:line="206" w:lineRule="exact"/>
              <w:ind w:left="108"/>
              <w:rPr>
                <w:rFonts w:eastAsia="Times New Roman"/>
                <w:spacing w:val="-2"/>
                <w:sz w:val="18"/>
                <w:szCs w:val="18"/>
              </w:rPr>
            </w:pPr>
          </w:p>
          <w:p w14:paraId="4F144959" w14:textId="77777777" w:rsidR="00633DFA" w:rsidRDefault="00633DFA">
            <w:pPr>
              <w:pStyle w:val="TableParagraph"/>
              <w:kinsoku w:val="0"/>
              <w:overflowPunct w:val="0"/>
              <w:spacing w:line="206" w:lineRule="exact"/>
              <w:ind w:left="108"/>
              <w:rPr>
                <w:rFonts w:eastAsia="Times New Roman"/>
                <w:spacing w:val="-2"/>
                <w:sz w:val="18"/>
                <w:szCs w:val="18"/>
              </w:rPr>
            </w:pPr>
          </w:p>
          <w:p w14:paraId="584EC042" w14:textId="77777777" w:rsidR="00633DFA" w:rsidRDefault="00633DFA">
            <w:pPr>
              <w:pStyle w:val="TableParagraph"/>
              <w:kinsoku w:val="0"/>
              <w:overflowPunct w:val="0"/>
              <w:spacing w:line="206" w:lineRule="exact"/>
              <w:ind w:left="108"/>
              <w:rPr>
                <w:rFonts w:eastAsia="Times New Roman"/>
                <w:spacing w:val="-2"/>
                <w:sz w:val="18"/>
                <w:szCs w:val="18"/>
              </w:rPr>
            </w:pPr>
          </w:p>
          <w:p w14:paraId="60329784"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4,0</w:t>
            </w:r>
          </w:p>
          <w:p w14:paraId="0FEB803E"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1,05</w:t>
            </w:r>
          </w:p>
          <w:p w14:paraId="58A38378"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0,17</w:t>
            </w:r>
          </w:p>
          <w:p w14:paraId="13F76E3C" w14:textId="77777777" w:rsidR="00633DFA" w:rsidRDefault="00633DFA">
            <w:pPr>
              <w:pStyle w:val="TableParagraph"/>
              <w:kinsoku w:val="0"/>
              <w:overflowPunct w:val="0"/>
              <w:spacing w:line="206" w:lineRule="exact"/>
              <w:ind w:left="108"/>
              <w:rPr>
                <w:rFonts w:eastAsia="Times New Roman"/>
                <w:spacing w:val="-2"/>
                <w:sz w:val="18"/>
                <w:szCs w:val="18"/>
              </w:rPr>
            </w:pPr>
            <w:r>
              <w:rPr>
                <w:sz w:val="18"/>
              </w:rPr>
              <w:t>-0,23</w:t>
            </w:r>
          </w:p>
          <w:p w14:paraId="164CACE5" w14:textId="77777777" w:rsidR="00DA1546" w:rsidRDefault="00DA1546">
            <w:pPr>
              <w:pStyle w:val="TableParagraph"/>
              <w:kinsoku w:val="0"/>
              <w:overflowPunct w:val="0"/>
              <w:spacing w:line="206" w:lineRule="exact"/>
              <w:ind w:left="108"/>
              <w:rPr>
                <w:rFonts w:eastAsia="Times New Roman"/>
                <w:spacing w:val="-2"/>
                <w:sz w:val="18"/>
                <w:szCs w:val="18"/>
              </w:rPr>
            </w:pPr>
            <w:r>
              <w:rPr>
                <w:sz w:val="18"/>
              </w:rPr>
              <w:t>6</w:t>
            </w:r>
          </w:p>
        </w:tc>
        <w:tc>
          <w:tcPr>
            <w:tcW w:w="3240" w:type="dxa"/>
            <w:tcBorders>
              <w:top w:val="single" w:sz="4" w:space="0" w:color="000000"/>
              <w:left w:val="single" w:sz="4" w:space="0" w:color="000000"/>
              <w:bottom w:val="single" w:sz="4" w:space="0" w:color="000000"/>
              <w:right w:val="single" w:sz="4" w:space="0" w:color="000000"/>
            </w:tcBorders>
          </w:tcPr>
          <w:p w14:paraId="16919068"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w:t>
            </w:r>
          </w:p>
          <w:p w14:paraId="695D96A2" w14:textId="77777777" w:rsidR="00633DFA" w:rsidRDefault="00633DFA">
            <w:pPr>
              <w:pStyle w:val="TableParagraph"/>
              <w:kinsoku w:val="0"/>
              <w:overflowPunct w:val="0"/>
              <w:spacing w:line="206" w:lineRule="exact"/>
              <w:ind w:left="109"/>
              <w:rPr>
                <w:rFonts w:eastAsia="Times New Roman"/>
                <w:spacing w:val="-2"/>
                <w:sz w:val="18"/>
                <w:szCs w:val="18"/>
              </w:rPr>
            </w:pPr>
          </w:p>
          <w:p w14:paraId="4668AF2D" w14:textId="77777777" w:rsidR="00633DFA" w:rsidRDefault="00633DFA">
            <w:pPr>
              <w:pStyle w:val="TableParagraph"/>
              <w:kinsoku w:val="0"/>
              <w:overflowPunct w:val="0"/>
              <w:spacing w:line="206" w:lineRule="exact"/>
              <w:ind w:left="109"/>
              <w:rPr>
                <w:rFonts w:eastAsia="Times New Roman"/>
                <w:spacing w:val="-2"/>
                <w:sz w:val="18"/>
                <w:szCs w:val="18"/>
              </w:rPr>
            </w:pPr>
          </w:p>
          <w:p w14:paraId="39152186" w14:textId="77777777" w:rsidR="00633DFA" w:rsidRDefault="00633DFA">
            <w:pPr>
              <w:pStyle w:val="TableParagraph"/>
              <w:kinsoku w:val="0"/>
              <w:overflowPunct w:val="0"/>
              <w:spacing w:line="206" w:lineRule="exact"/>
              <w:ind w:left="109"/>
              <w:rPr>
                <w:rFonts w:eastAsia="Times New Roman"/>
                <w:spacing w:val="-2"/>
                <w:sz w:val="18"/>
                <w:szCs w:val="18"/>
              </w:rPr>
            </w:pPr>
          </w:p>
          <w:p w14:paraId="7AB3D2CA"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w:t>
            </w:r>
          </w:p>
          <w:p w14:paraId="5FAA89AA"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w:t>
            </w:r>
          </w:p>
          <w:p w14:paraId="2C702962"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w:t>
            </w:r>
          </w:p>
          <w:p w14:paraId="65F05A48" w14:textId="77777777" w:rsidR="00633DFA" w:rsidRDefault="00633DFA">
            <w:pPr>
              <w:pStyle w:val="TableParagraph"/>
              <w:kinsoku w:val="0"/>
              <w:overflowPunct w:val="0"/>
              <w:spacing w:line="206" w:lineRule="exact"/>
              <w:ind w:left="109"/>
              <w:rPr>
                <w:rFonts w:eastAsia="Times New Roman"/>
                <w:spacing w:val="-2"/>
                <w:sz w:val="18"/>
                <w:szCs w:val="18"/>
              </w:rPr>
            </w:pPr>
            <w:r>
              <w:rPr>
                <w:sz w:val="18"/>
              </w:rPr>
              <w:t>Intern</w:t>
            </w:r>
          </w:p>
        </w:tc>
      </w:tr>
    </w:tbl>
    <w:p w14:paraId="1C766C03" w14:textId="77777777" w:rsidR="00DF3509" w:rsidRDefault="00DF3509">
      <w:pPr>
        <w:rPr>
          <w:rFonts w:ascii="Cambria" w:hAnsi="Cambria" w:cs="Cambria"/>
          <w:i/>
          <w:iCs/>
          <w:color w:val="365F91"/>
          <w:spacing w:val="-4"/>
          <w:sz w:val="18"/>
          <w:szCs w:val="18"/>
        </w:rPr>
        <w:sectPr w:rsidR="00DF3509">
          <w:pgSz w:w="12240" w:h="15840"/>
          <w:pgMar w:top="1360" w:right="680" w:bottom="1140" w:left="600" w:header="0" w:footer="950" w:gutter="0"/>
          <w:cols w:space="720"/>
          <w:noEndnote/>
        </w:sectPr>
      </w:pPr>
    </w:p>
    <w:p w14:paraId="061A6544" w14:textId="77777777" w:rsidR="00DF3509" w:rsidRDefault="00DF3509">
      <w:pPr>
        <w:pStyle w:val="Heading1"/>
        <w:kinsoku w:val="0"/>
        <w:overflowPunct w:val="0"/>
        <w:spacing w:before="79"/>
        <w:rPr>
          <w:spacing w:val="-5"/>
        </w:rPr>
      </w:pPr>
      <w:bookmarkStart w:id="19" w:name="_bookmark9"/>
      <w:bookmarkStart w:id="20" w:name="_Toc147502452"/>
      <w:bookmarkEnd w:id="19"/>
      <w:r>
        <w:lastRenderedPageBreak/>
        <w:t>Rechtsvorschriften für den Betrieb in Europa (GB, UK und EU)</w:t>
      </w:r>
      <w:bookmarkEnd w:id="20"/>
    </w:p>
    <w:p w14:paraId="3DABA1B1" w14:textId="77777777" w:rsidR="00DF3509" w:rsidRDefault="00DF3509">
      <w:pPr>
        <w:pStyle w:val="BodyText"/>
        <w:kinsoku w:val="0"/>
        <w:overflowPunct w:val="0"/>
        <w:spacing w:before="110"/>
        <w:ind w:left="840"/>
        <w:rPr>
          <w:spacing w:val="-2"/>
        </w:rPr>
      </w:pPr>
      <w:r>
        <w:t>Dieser Abschnitt gilt für Produkte, die das CE-Zeichen und/oder das UKCA-Zeichen tragen:</w:t>
      </w:r>
    </w:p>
    <w:p w14:paraId="7C66E1C8" w14:textId="1B2F235A" w:rsidR="00DF3509" w:rsidRDefault="0052779B">
      <w:pPr>
        <w:pStyle w:val="BodyText"/>
        <w:kinsoku w:val="0"/>
        <w:overflowPunct w:val="0"/>
        <w:spacing w:before="3"/>
        <w:rPr>
          <w:sz w:val="15"/>
          <w:szCs w:val="15"/>
        </w:rPr>
      </w:pPr>
      <w:r>
        <w:rPr>
          <w:noProof/>
        </w:rPr>
        <mc:AlternateContent>
          <mc:Choice Requires="wps">
            <w:drawing>
              <wp:anchor distT="0" distB="0" distL="0" distR="0" simplePos="0" relativeHeight="251649024" behindDoc="0" locked="0" layoutInCell="0" allowOverlap="1" wp14:anchorId="2255B7FF" wp14:editId="4166AE07">
                <wp:simplePos x="0" y="0"/>
                <wp:positionH relativeFrom="page">
                  <wp:posOffset>914400</wp:posOffset>
                </wp:positionH>
                <wp:positionV relativeFrom="paragraph">
                  <wp:posOffset>135255</wp:posOffset>
                </wp:positionV>
                <wp:extent cx="330200" cy="215900"/>
                <wp:effectExtent l="0" t="0" r="0" b="0"/>
                <wp:wrapTopAndBottom/>
                <wp:docPr id="190769328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5B7FF" id="Rectangle 5" o:spid="_x0000_s1026" style="position:absolute;margin-left:1in;margin-top:10.65pt;width:26pt;height:17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JRLzAEAAIYDAAAOAAAAZHJzL2Uyb0RvYy54bWysU9tu2zAMfR+wfxD0vthOsWEz4hRFiw4D&#10;ugvQ7gNkWbKN2aJGKrGzrx8lx+kub8NeBIoiD8nDo931PA7iaJB6cJUsNrkUxmloetdW8uvT/au3&#10;UlBQrlEDOFPJkyF5vX/5Yjf50myhg6ExKBjEUTn5SnYh+DLLSHdmVLQBbxw/WsBRBb5imzWoJkYf&#10;h2yb52+yCbDxCNoQsfdueZT7hG+t0eGztWSCGCrJvYV0YjrreGb7nSpbVL7r9bkN9Q9djKp3XPQC&#10;daeCEgfs/4Iae41AYMNGw5iBtb02aQaepsj/mOaxU96kWZgc8hea6P/B6k/HR/8FY+vkH0B/I+Hg&#10;tlOuNTeIMHVGNVyuiERlk6fykhAvxKminj5Cw6tVhwCJg9niGAF5OjEnqk8Xqs0chGbn1VXO65NC&#10;89O2eP2O7VhBlWuyRwrvDYwiGpVE3mQCV8cHCkvoGhJrObjvhyFtc3C/ORgzelLzsd8oDSrDXM8c&#10;Hc0amhOPgbCIg8XMRgf4Q4qJhVFJ+n5QaKQYPjimIqpoNXA16tVQTnNqJYMUi3kbFrUdPPZtx8hF&#10;GsPBDdNl+zTKcxfnPnnZiYyzMKOafr2nqOfvs/8JAAD//wMAUEsDBBQABgAIAAAAIQB+z3SS3wAA&#10;AAkBAAAPAAAAZHJzL2Rvd25yZXYueG1sTI9LT8MwEITvSPwHa5G4UadPNSFOVfFQOZYWqXBz4yWJ&#10;sNdR7DaBX8/2BMeZHc1+k68GZ8UZu9B4UjAeJSCQSm8aqhS87Z/vliBC1GS09YQKvjHAqri+ynVm&#10;fE+veN7FSnAJhUwrqGNsMylDWaPTYeRbJL59+s7pyLKrpOl0z+XOykmSLKTTDfGHWrf4UGP5tTs5&#10;BZtlu35/8T99ZZ8+NoftIX3cp1Gp25thfQ8i4hD/wnDBZ3QomOnoT2SCsKxnM94SFUzGUxCXQLpg&#10;46hgPp+CLHL5f0HxCwAA//8DAFBLAQItABQABgAIAAAAIQC2gziS/gAAAOEBAAATAAAAAAAAAAAA&#10;AAAAAAAAAABbQ29udGVudF9UeXBlc10ueG1sUEsBAi0AFAAGAAgAAAAhADj9If/WAAAAlAEAAAsA&#10;AAAAAAAAAAAAAAAALwEAAF9yZWxzLy5yZWxzUEsBAi0AFAAGAAgAAAAhALSolEvMAQAAhgMAAA4A&#10;AAAAAAAAAAAAAAAALgIAAGRycy9lMm9Eb2MueG1sUEsBAi0AFAAGAAgAAAAhAH7PdJLfAAAACQEA&#10;AA8AAAAAAAAAAAAAAAAAJgQAAGRycy9kb3ducmV2LnhtbFBLBQYAAAAABAAEAPMAAAAyBQAAAAA=&#10;" o:allowincell="f" filled="f" stroked="f">
                <v:textbox inset="0,0,0,0">
                  <w:txbxContent>
                    <w:p w14:paraId="7F65EF33" w14:textId="66FB0D0E" w:rsidR="00BE289B" w:rsidRDefault="0052779B">
                      <w:pPr>
                        <w:widowControl/>
                        <w:autoSpaceDE/>
                        <w:autoSpaceDN/>
                        <w:adjustRightInd/>
                        <w:spacing w:line="340" w:lineRule="atLeast"/>
                        <w:rPr>
                          <w:rFonts w:ascii="Times New Roman" w:hAnsi="Times New Roman" w:cs="Times New Roman"/>
                          <w:sz w:val="24"/>
                          <w:szCs w:val="24"/>
                        </w:rPr>
                      </w:pPr>
                      <w:r>
                        <w:rPr>
                          <w:rFonts w:ascii="Times New Roman" w:hAnsi="Times New Roman"/>
                          <w:noProof/>
                          <w:sz w:val="24"/>
                        </w:rPr>
                        <w:drawing>
                          <wp:inline distT="0" distB="0" distL="0" distR="0" wp14:anchorId="5EF906F6" wp14:editId="5242C7E2">
                            <wp:extent cx="327660" cy="215900"/>
                            <wp:effectExtent l="0" t="0" r="0" b="0"/>
                            <wp:docPr id="1893152264" name="Picture 189315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p w14:paraId="04966D65" w14:textId="77777777" w:rsidR="00BE289B" w:rsidRDefault="00BE289B">
                      <w:pPr>
                        <w:rPr>
                          <w:rFonts w:ascii="Times New Roman" w:hAnsi="Times New Roman" w:cs="Times New Roman"/>
                          <w:sz w:val="24"/>
                          <w:szCs w:val="24"/>
                        </w:rPr>
                      </w:pPr>
                    </w:p>
                  </w:txbxContent>
                </v:textbox>
                <w10:wrap type="topAndBottom" anchorx="page"/>
              </v:rect>
            </w:pict>
          </mc:Fallback>
        </mc:AlternateContent>
      </w:r>
      <w:r>
        <w:rPr>
          <w:noProof/>
        </w:rPr>
        <mc:AlternateContent>
          <mc:Choice Requires="wps">
            <w:drawing>
              <wp:anchor distT="0" distB="0" distL="0" distR="0" simplePos="0" relativeHeight="251650048" behindDoc="0" locked="0" layoutInCell="0" allowOverlap="1" wp14:anchorId="4D8069D5" wp14:editId="4C0B57DD">
                <wp:simplePos x="0" y="0"/>
                <wp:positionH relativeFrom="page">
                  <wp:posOffset>1555750</wp:posOffset>
                </wp:positionH>
                <wp:positionV relativeFrom="paragraph">
                  <wp:posOffset>127000</wp:posOffset>
                </wp:positionV>
                <wp:extent cx="241300" cy="241300"/>
                <wp:effectExtent l="0" t="0" r="0" b="0"/>
                <wp:wrapTopAndBottom/>
                <wp:docPr id="19460784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69D5" id="Rectangle 6" o:spid="_x0000_s1027" style="position:absolute;margin-left:122.5pt;margin-top:10pt;width:19pt;height:1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3uzAEAAI0DAAAOAAAAZHJzL2Uyb0RvYy54bWysU9tu2zAMfR+wfxD0vtjOhmEw4hRFiw4D&#10;ugvQ7gMUWbaF2aJGKrGzrx8l2+kub0VfBIqSDs85pHZX09CLk0Gy4CpZbHIpjNNQW9dW8vvj3ZsP&#10;UlBQrlY9OFPJsyF5tX/9ajf60myhg742KBjEUTn6SnYh+DLLSHdmULQBbxwfNoCDCrzFNqtRjYw+&#10;9Nk2z99nI2DtEbQh4uztfCj3Cb9pjA5fm4ZMEH0lmVtIK6b1ENdsv1Nli8p3Vi801DNYDMo6LnqB&#10;ulVBiSPa/6AGqxEImrDRMGTQNFabpIHVFPk/ah465U3SwuaQv9hELwerv5we/DeM1Mnfg/5BwsFN&#10;p1xrrhFh7IyquVwRjcpGT+XlQdwQPxWH8TPU3Fp1DJA8mBocIiCrE1Oy+nyx2kxBaE5u3xVvc26I&#10;5qMljhVUuT72SOGjgUHEoJLInUzg6nRPYb66Xom1HNzZvk/d7N1fCcaMmUQ+8o2jQWWYDpOw9aIs&#10;Zg5Qn1kNwjwjPNMcdIC/pBh5PipJP48KjRT9J8eOxGFaA1yDwxoop/lpJYMUc3gT5qE7erRtx8hF&#10;UuPgml1rbFL0xGKhyz1PnizzGYfqz3269fSL9r8BAAD//wMAUEsDBBQABgAIAAAAIQAt47pb3wAA&#10;AAkBAAAPAAAAZHJzL2Rvd25yZXYueG1sTI/NTsMwEITvSLyDtUjcqE2gKA1xqooflSO0SIWbGy9J&#10;hL2OYrcJPD3LCU47qx3NflMuJ+/EEYfYBdJwOVMgkOpgO2o0vG4fL3IQMRmyxgVCDV8YYVmdnpSm&#10;sGGkFzxuUiM4hGJhNLQp9YWUsW7RmzgLPRLfPsLgTeJ1aKQdzMjh3slMqRvpTUf8oTU93rVYf24O&#10;XsM671dvT+F7bNzD+3r3vFvcbxdJ6/OzaXULIuGU/szwi8/oUDHTPhzIRuE0ZNdz7pJYKJ5syPIr&#10;FnsN81yBrEr5v0H1AwAA//8DAFBLAQItABQABgAIAAAAIQC2gziS/gAAAOEBAAATAAAAAAAAAAAA&#10;AAAAAAAAAABbQ29udGVudF9UeXBlc10ueG1sUEsBAi0AFAAGAAgAAAAhADj9If/WAAAAlAEAAAsA&#10;AAAAAAAAAAAAAAAALwEAAF9yZWxzLy5yZWxzUEsBAi0AFAAGAAgAAAAhAMsjve7MAQAAjQMAAA4A&#10;AAAAAAAAAAAAAAAALgIAAGRycy9lMm9Eb2MueG1sUEsBAi0AFAAGAAgAAAAhAC3julvfAAAACQEA&#10;AA8AAAAAAAAAAAAAAAAAJgQAAGRycy9kb3ducmV2LnhtbFBLBQYAAAAABAAEAPMAAAAyBQAAAAA=&#10;" o:allowincell="f" filled="f" stroked="f">
                <v:textbox inset="0,0,0,0">
                  <w:txbxContent>
                    <w:p w14:paraId="0FF068A9" w14:textId="3E2C23BE" w:rsidR="00BE289B" w:rsidRDefault="0052779B">
                      <w:pPr>
                        <w:widowControl/>
                        <w:autoSpaceDE/>
                        <w:autoSpaceDN/>
                        <w:adjustRightInd/>
                        <w:spacing w:line="380" w:lineRule="atLeast"/>
                        <w:rPr>
                          <w:rFonts w:ascii="Times New Roman" w:hAnsi="Times New Roman" w:cs="Times New Roman"/>
                          <w:sz w:val="24"/>
                          <w:szCs w:val="24"/>
                        </w:rPr>
                      </w:pPr>
                      <w:r>
                        <w:rPr>
                          <w:rFonts w:ascii="Times New Roman" w:hAnsi="Times New Roman"/>
                          <w:noProof/>
                          <w:sz w:val="24"/>
                        </w:rPr>
                        <w:drawing>
                          <wp:inline distT="0" distB="0" distL="0" distR="0" wp14:anchorId="128CFD1D" wp14:editId="195071D8">
                            <wp:extent cx="241300" cy="241300"/>
                            <wp:effectExtent l="0" t="0" r="0" b="0"/>
                            <wp:docPr id="653157553" name="Picture 653157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14:paraId="14EBD82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11F0B7BC" w14:textId="77777777" w:rsidR="00DF3509" w:rsidRDefault="00DF3509">
      <w:pPr>
        <w:pStyle w:val="BodyText"/>
        <w:kinsoku w:val="0"/>
        <w:overflowPunct w:val="0"/>
        <w:spacing w:before="5"/>
        <w:rPr>
          <w:sz w:val="17"/>
          <w:szCs w:val="17"/>
        </w:rPr>
      </w:pPr>
    </w:p>
    <w:p w14:paraId="5AC5675C" w14:textId="77777777" w:rsidR="00E159DB" w:rsidRDefault="00DF3509" w:rsidP="00E159DB">
      <w:pPr>
        <w:pStyle w:val="BodyText"/>
        <w:kinsoku w:val="0"/>
        <w:overflowPunct w:val="0"/>
        <w:spacing w:before="120" w:after="120"/>
        <w:ind w:left="839"/>
        <w:rPr>
          <w:spacing w:val="-2"/>
        </w:rPr>
      </w:pPr>
      <w:r>
        <w:t>Produkte mit der CE-Kennzeichnung entsprechen den folgenden EU-Richtlinien:</w:t>
      </w:r>
    </w:p>
    <w:p w14:paraId="621B19DF" w14:textId="77777777" w:rsidR="000D166D" w:rsidRPr="000D166D" w:rsidRDefault="000D166D" w:rsidP="003608D0">
      <w:pPr>
        <w:pStyle w:val="BodyText"/>
        <w:numPr>
          <w:ilvl w:val="0"/>
          <w:numId w:val="12"/>
        </w:numPr>
        <w:kinsoku w:val="0"/>
        <w:overflowPunct w:val="0"/>
        <w:rPr>
          <w:spacing w:val="-2"/>
        </w:rPr>
      </w:pPr>
      <w:r>
        <w:t>Ökodesign-Richtlinie 2009/125/EC</w:t>
      </w:r>
    </w:p>
    <w:p w14:paraId="44BC7DF7" w14:textId="77777777" w:rsidR="000D166D" w:rsidRPr="000D166D" w:rsidRDefault="000D166D" w:rsidP="003608D0">
      <w:pPr>
        <w:pStyle w:val="BodyText"/>
        <w:numPr>
          <w:ilvl w:val="0"/>
          <w:numId w:val="12"/>
        </w:numPr>
        <w:kinsoku w:val="0"/>
        <w:overflowPunct w:val="0"/>
        <w:rPr>
          <w:spacing w:val="-2"/>
        </w:rPr>
      </w:pPr>
      <w:r>
        <w:t>RoHS-Richtlinie 2011/65/EU und Änderungsrichtlinie 2015/863</w:t>
      </w:r>
    </w:p>
    <w:p w14:paraId="0E395389" w14:textId="77777777" w:rsidR="000D166D" w:rsidRPr="000D166D" w:rsidRDefault="000D166D" w:rsidP="003608D0">
      <w:pPr>
        <w:pStyle w:val="BodyText"/>
        <w:numPr>
          <w:ilvl w:val="0"/>
          <w:numId w:val="12"/>
        </w:numPr>
        <w:kinsoku w:val="0"/>
        <w:overflowPunct w:val="0"/>
        <w:rPr>
          <w:spacing w:val="-2"/>
        </w:rPr>
      </w:pPr>
      <w:r>
        <w:t>EG-Verordnung zur Registrierung, Bewertung, Zulassung und Beschränkung chemischer Stoffe (REACH) Nr. 1907/2006</w:t>
      </w:r>
    </w:p>
    <w:p w14:paraId="48466A56" w14:textId="77777777" w:rsidR="000D166D" w:rsidRDefault="000D166D" w:rsidP="003608D0">
      <w:pPr>
        <w:pStyle w:val="BodyText"/>
        <w:numPr>
          <w:ilvl w:val="0"/>
          <w:numId w:val="12"/>
        </w:numPr>
        <w:kinsoku w:val="0"/>
        <w:overflowPunct w:val="0"/>
        <w:rPr>
          <w:spacing w:val="-2"/>
        </w:rPr>
      </w:pPr>
      <w:r>
        <w:t>Richtlinie 94/62/EG über Verpackungen und Verpackungsabfälle und Änderungsrichtlinie 2005/20/EG</w:t>
      </w:r>
    </w:p>
    <w:p w14:paraId="506A4E97" w14:textId="77777777" w:rsidR="00DF3509" w:rsidRPr="00D67FE6" w:rsidRDefault="00E159DB" w:rsidP="003608D0">
      <w:pPr>
        <w:pStyle w:val="BodyText"/>
        <w:spacing w:before="120" w:after="120"/>
        <w:ind w:left="720"/>
      </w:pPr>
      <w:r>
        <w:t xml:space="preserve">   Für Nicht-Funkgeräte:</w:t>
      </w:r>
    </w:p>
    <w:p w14:paraId="1955DF88" w14:textId="77777777" w:rsidR="00DF3509" w:rsidRPr="00D67FE6" w:rsidRDefault="00DF3509" w:rsidP="003608D0">
      <w:pPr>
        <w:pStyle w:val="BodyText"/>
        <w:numPr>
          <w:ilvl w:val="0"/>
          <w:numId w:val="7"/>
        </w:numPr>
      </w:pPr>
      <w:r>
        <w:t>EMV-Richtlinie 2014/30/EU</w:t>
      </w:r>
    </w:p>
    <w:p w14:paraId="0E6D34BC" w14:textId="77777777" w:rsidR="00DF3509" w:rsidRPr="00D67FE6" w:rsidRDefault="00DF3509" w:rsidP="003608D0">
      <w:pPr>
        <w:pStyle w:val="BodyText"/>
        <w:numPr>
          <w:ilvl w:val="0"/>
          <w:numId w:val="7"/>
        </w:numPr>
      </w:pPr>
      <w:r>
        <w:t>Niederspannungsrichtlinie 2014/35/EU</w:t>
      </w:r>
    </w:p>
    <w:p w14:paraId="0E8CB8FC" w14:textId="77777777" w:rsidR="00DF3509" w:rsidRPr="00D67FE6" w:rsidRDefault="00E159DB" w:rsidP="003608D0">
      <w:pPr>
        <w:pStyle w:val="BodyText"/>
        <w:spacing w:before="120" w:after="120"/>
        <w:ind w:left="482" w:firstLine="238"/>
      </w:pPr>
      <w:r>
        <w:t xml:space="preserve">   Für Funkgeräte:</w:t>
      </w:r>
    </w:p>
    <w:p w14:paraId="47A16739" w14:textId="77777777" w:rsidR="00DF3509" w:rsidRPr="00D67FE6" w:rsidRDefault="00DF3509" w:rsidP="003608D0">
      <w:pPr>
        <w:pStyle w:val="BodyText"/>
        <w:numPr>
          <w:ilvl w:val="0"/>
          <w:numId w:val="7"/>
        </w:numPr>
      </w:pPr>
      <w:r>
        <w:t>Funkanlagen-Richtlinie 2014/53/EU (Radio Equipment Directive, RED)</w:t>
      </w:r>
    </w:p>
    <w:p w14:paraId="1601E115" w14:textId="77777777" w:rsidR="00DF3509" w:rsidRPr="003608D0" w:rsidRDefault="00DF3509" w:rsidP="003608D0">
      <w:pPr>
        <w:pStyle w:val="BodyText"/>
        <w:rPr>
          <w:highlight w:val="yellow"/>
        </w:rPr>
      </w:pPr>
    </w:p>
    <w:p w14:paraId="6124A144" w14:textId="77777777" w:rsidR="00DF3509" w:rsidRDefault="00DF3509">
      <w:pPr>
        <w:pStyle w:val="BodyText"/>
        <w:kinsoku w:val="0"/>
        <w:overflowPunct w:val="0"/>
        <w:spacing w:line="276" w:lineRule="auto"/>
        <w:ind w:left="840" w:right="873"/>
        <w:rPr>
          <w:color w:val="000000"/>
          <w:spacing w:val="-2"/>
        </w:rPr>
      </w:pPr>
      <w:r>
        <w:t xml:space="preserve">Eine Übereinstimmung mit diesen Richtlinien impliziert die Konformität mit harmonisierten europäischen Standards, die nicht in der EU-Konformitätserklärung aufgeführt sind. Die CE-Konformitätserklärung für die EU kann unter </w:t>
      </w:r>
      <w:r>
        <w:rPr>
          <w:color w:val="0000FF"/>
          <w:u w:val="single"/>
        </w:rPr>
        <w:t>http://support.netgear.com/app/answers/detail/a_id/11621/</w:t>
      </w:r>
      <w:r>
        <w:t xml:space="preserve"> abgerufen werden.</w:t>
      </w:r>
    </w:p>
    <w:p w14:paraId="554BA836" w14:textId="77777777" w:rsidR="00DF3509" w:rsidRDefault="00DF3509">
      <w:pPr>
        <w:pStyle w:val="BodyText"/>
        <w:kinsoku w:val="0"/>
        <w:overflowPunct w:val="0"/>
        <w:spacing w:before="3"/>
        <w:rPr>
          <w:sz w:val="9"/>
          <w:szCs w:val="9"/>
        </w:rPr>
      </w:pPr>
    </w:p>
    <w:p w14:paraId="5280F8C8" w14:textId="77777777" w:rsidR="00DF3509" w:rsidRDefault="00DF3509">
      <w:pPr>
        <w:pStyle w:val="BodyText"/>
        <w:kinsoku w:val="0"/>
        <w:overflowPunct w:val="0"/>
        <w:spacing w:before="94"/>
        <w:ind w:left="840" w:right="779"/>
      </w:pPr>
      <w:r>
        <w:t>Produkte mit der UKCA-Kennzeichnung entsprechen den gesetzlichen Bestimmungen des Vereinigten Königreichs und den entsprechenden, in der UKCA-Konformitätserklärung angegebenen Normen. Die UKCA-Konformitätserklärung ist abrufbar unter:</w:t>
      </w:r>
    </w:p>
    <w:p w14:paraId="38D4F057" w14:textId="4BE3E367" w:rsidR="00DF3509" w:rsidRDefault="00000000">
      <w:pPr>
        <w:pStyle w:val="BodyText"/>
        <w:kinsoku w:val="0"/>
        <w:overflowPunct w:val="0"/>
        <w:ind w:left="840"/>
        <w:rPr>
          <w:color w:val="0462C1"/>
          <w:spacing w:val="-2"/>
        </w:rPr>
      </w:pPr>
      <w:hyperlink r:id="rId13" w:history="1">
        <w:r w:rsidR="00DF3509">
          <w:rPr>
            <w:color w:val="0462C1"/>
            <w:u w:val="single"/>
          </w:rPr>
          <w:t>https://kb.netgear.com/000062897/UKCA-Declarations-of-Conformity</w:t>
        </w:r>
      </w:hyperlink>
    </w:p>
    <w:p w14:paraId="5C1511B8" w14:textId="77777777" w:rsidR="00DF3509" w:rsidRDefault="00DF3509">
      <w:pPr>
        <w:pStyle w:val="BodyText"/>
        <w:kinsoku w:val="0"/>
        <w:overflowPunct w:val="0"/>
        <w:spacing w:before="3"/>
        <w:rPr>
          <w:sz w:val="17"/>
          <w:szCs w:val="17"/>
        </w:rPr>
      </w:pPr>
    </w:p>
    <w:p w14:paraId="2F55B110" w14:textId="77777777" w:rsidR="00DF3509" w:rsidRDefault="00DF3509">
      <w:pPr>
        <w:pStyle w:val="Heading2"/>
        <w:kinsoku w:val="0"/>
        <w:overflowPunct w:val="0"/>
        <w:rPr>
          <w:spacing w:val="-2"/>
        </w:rPr>
      </w:pPr>
      <w:bookmarkStart w:id="21" w:name="_bookmark10"/>
      <w:bookmarkStart w:id="22" w:name="_Toc147502453"/>
      <w:bookmarkEnd w:id="21"/>
      <w:r>
        <w:t>Einhaltung der Funkanlagenrichtlinie 2014/53/EU</w:t>
      </w:r>
      <w:bookmarkEnd w:id="22"/>
    </w:p>
    <w:p w14:paraId="057677E6" w14:textId="77777777" w:rsidR="00DF3509" w:rsidRDefault="00DF3509">
      <w:pPr>
        <w:pStyle w:val="BodyText"/>
        <w:kinsoku w:val="0"/>
        <w:overflowPunct w:val="0"/>
        <w:spacing w:before="102" w:line="280" w:lineRule="auto"/>
        <w:ind w:left="840" w:right="873"/>
      </w:pPr>
      <w:r>
        <w:t>NETGEAR Produkte mit der CE-Kennzeichnung erfüllen die Anforderungen von Artikel 10 Absatz 2, da sie in mindestens einem Mitgliedsstaat als geprüft betrieben werden können.</w:t>
      </w:r>
    </w:p>
    <w:p w14:paraId="2CE2782A" w14:textId="77777777" w:rsidR="00DF3509" w:rsidRDefault="00DF3509">
      <w:pPr>
        <w:pStyle w:val="BodyText"/>
        <w:kinsoku w:val="0"/>
        <w:overflowPunct w:val="0"/>
        <w:spacing w:before="9"/>
        <w:rPr>
          <w:sz w:val="16"/>
          <w:szCs w:val="16"/>
        </w:rPr>
      </w:pPr>
    </w:p>
    <w:p w14:paraId="0728B349" w14:textId="77777777" w:rsidR="00DF3509" w:rsidRDefault="00DF3509">
      <w:pPr>
        <w:pStyle w:val="BodyText"/>
        <w:kinsoku w:val="0"/>
        <w:overflowPunct w:val="0"/>
        <w:spacing w:line="278" w:lineRule="auto"/>
        <w:ind w:left="840" w:right="779"/>
      </w:pPr>
      <w:r>
        <w:t>Die Kennzeichnung von NETGEAR Produkten mit dem folgenden Piktogramm auf der Verpackung weist gemäß Artikel 10 Absatz 10 darauf hin, dass für dieses Gerät in den angegebenen Ländern die nachfolgend beschriebenen Einschränkungen gelten:</w:t>
      </w:r>
    </w:p>
    <w:p w14:paraId="3F72AAB2" w14:textId="35A2DE78" w:rsidR="00DF3509" w:rsidRDefault="0052779B">
      <w:pPr>
        <w:pStyle w:val="BodyText"/>
        <w:kinsoku w:val="0"/>
        <w:overflowPunct w:val="0"/>
        <w:spacing w:before="11"/>
        <w:rPr>
          <w:sz w:val="21"/>
          <w:szCs w:val="21"/>
        </w:rPr>
      </w:pPr>
      <w:r>
        <w:rPr>
          <w:noProof/>
        </w:rPr>
        <mc:AlternateContent>
          <mc:Choice Requires="wps">
            <w:drawing>
              <wp:anchor distT="0" distB="0" distL="0" distR="0" simplePos="0" relativeHeight="251651072" behindDoc="0" locked="0" layoutInCell="0" allowOverlap="1" wp14:anchorId="5268F30F" wp14:editId="311CB6F0">
                <wp:simplePos x="0" y="0"/>
                <wp:positionH relativeFrom="page">
                  <wp:posOffset>958850</wp:posOffset>
                </wp:positionH>
                <wp:positionV relativeFrom="paragraph">
                  <wp:posOffset>175895</wp:posOffset>
                </wp:positionV>
                <wp:extent cx="1727200" cy="660400"/>
                <wp:effectExtent l="0" t="0" r="0" b="0"/>
                <wp:wrapTopAndBottom/>
                <wp:docPr id="14186264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8F30F" id="Rectangle 7" o:spid="_x0000_s1028" style="position:absolute;margin-left:75.5pt;margin-top:13.85pt;width:136pt;height:5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8/0gEAAI4DAAAOAAAAZHJzL2Uyb0RvYy54bWysU9tu2zAMfR+wfxD0vtgOhnQw4hRFiw4D&#10;ugvQ7gMUWbaF2aJGKrGzrx8lx+kub0VfBIqSDs85pLbX09CLo0Gy4CpZrHIpjNNQW9dW8vvT/bsP&#10;UlBQrlY9OFPJkyF5vXv7Zjv60qyhg742KBjEUTn6SnYh+DLLSHdmULQCbxwfNoCDCrzFNqtRjYw+&#10;9Nk6zzfZCFh7BG2IOHs3H8pdwm8ao8PXpiETRF9J5hbSimndxzXbbVXZovKd1Wca6gUsBmUdF71A&#10;3amgxAHtf1CD1QgETVhpGDJoGqtN0sBqivwfNY+d8iZpYXPIX2yi14PVX46P/htG6uQfQP8g4eC2&#10;U641N4gwdkbVXK6IRmWjp/LyIG6In4r9+Blqbq06BEgeTA0OEZDViSlZfbpYbaYgNCeLq/UV908K&#10;zWebTf6e41hClctrjxQ+GhhEDCqJ3MqEro4PFOary5VYzMG97fvUzt79lWDMmEnsI+E4G1SGaT8J&#10;W1dyHevGzB7qE8tBmIeEh5qDDvCXFCMPSCXp50GhkaL/5NiSOE1LgEuwXwLlND+tZJBiDm/DPHUH&#10;j7btGLlIahzcsG2NTYqeWZzpctOTJ+cBjVP15z7dev5Gu98AAAD//wMAUEsDBBQABgAIAAAAIQCE&#10;1L4/4QAAAAoBAAAPAAAAZHJzL2Rvd25yZXYueG1sTI9LT8MwEITvSPwHa5G4UScpkDbEqSoeao/0&#10;IRVubrwkEfE6it0m8OtZTnCcndHsN/litK04Y+8bRwriSQQCqXSmoUrBfvdyMwPhgyajW0eo4As9&#10;LIrLi1xnxg20wfM2VIJLyGdaQR1Cl0npyxqt9hPXIbH34XqrA8u+kqbXA5fbViZRdC+tbog/1LrD&#10;xxrLz+3JKljNuuXb2n0PVfv8vjq8HuZPu3lQ6vpqXD6ACDiGvzD84jM6FMx0dCcyXrSs72LeEhQk&#10;aQqCA7fJlA9HdqZxCrLI5f8JxQ8AAAD//wMAUEsBAi0AFAAGAAgAAAAhALaDOJL+AAAA4QEAABMA&#10;AAAAAAAAAAAAAAAAAAAAAFtDb250ZW50X1R5cGVzXS54bWxQSwECLQAUAAYACAAAACEAOP0h/9YA&#10;AACUAQAACwAAAAAAAAAAAAAAAAAvAQAAX3JlbHMvLnJlbHNQSwECLQAUAAYACAAAACEAX0E/P9IB&#10;AACOAwAADgAAAAAAAAAAAAAAAAAuAgAAZHJzL2Uyb0RvYy54bWxQSwECLQAUAAYACAAAACEAhNS+&#10;P+EAAAAKAQAADwAAAAAAAAAAAAAAAAAsBAAAZHJzL2Rvd25yZXYueG1sUEsFBgAAAAAEAAQA8wAA&#10;ADoFAAAAAA==&#10;" o:allowincell="f" filled="f" stroked="f">
                <v:textbox inset="0,0,0,0">
                  <w:txbxContent>
                    <w:p w14:paraId="7830E767" w14:textId="05CB3AE1" w:rsidR="00BE289B" w:rsidRDefault="0052779B">
                      <w:pPr>
                        <w:widowControl/>
                        <w:autoSpaceDE/>
                        <w:autoSpaceDN/>
                        <w:adjustRightInd/>
                        <w:spacing w:line="1040" w:lineRule="atLeast"/>
                        <w:rPr>
                          <w:rFonts w:ascii="Times New Roman" w:hAnsi="Times New Roman" w:cs="Times New Roman"/>
                          <w:sz w:val="24"/>
                          <w:szCs w:val="24"/>
                        </w:rPr>
                      </w:pPr>
                      <w:r>
                        <w:rPr>
                          <w:rFonts w:ascii="Times New Roman" w:hAnsi="Times New Roman"/>
                          <w:noProof/>
                          <w:sz w:val="24"/>
                        </w:rPr>
                        <w:drawing>
                          <wp:inline distT="0" distB="0" distL="0" distR="0" wp14:anchorId="45D6EAAC" wp14:editId="6C90B060">
                            <wp:extent cx="1725295" cy="664210"/>
                            <wp:effectExtent l="0" t="0" r="0" b="0"/>
                            <wp:docPr id="833559458" name="Picture 833559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a:ln>
                                      <a:noFill/>
                                    </a:ln>
                                  </pic:spPr>
                                </pic:pic>
                              </a:graphicData>
                            </a:graphic>
                          </wp:inline>
                        </w:drawing>
                      </w:r>
                    </w:p>
                    <w:p w14:paraId="072A571A"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2D0B4AD4" w14:textId="77777777" w:rsidR="00DF3509" w:rsidRDefault="00DF3509">
      <w:pPr>
        <w:pStyle w:val="BodyText"/>
        <w:kinsoku w:val="0"/>
        <w:overflowPunct w:val="0"/>
        <w:spacing w:before="7"/>
        <w:rPr>
          <w:sz w:val="21"/>
          <w:szCs w:val="21"/>
        </w:rPr>
      </w:pPr>
    </w:p>
    <w:p w14:paraId="383E00E6" w14:textId="77777777" w:rsidR="000A6F99" w:rsidRPr="000A6F99" w:rsidRDefault="00DF3509" w:rsidP="000A6F99">
      <w:pPr>
        <w:pStyle w:val="ListParagraph"/>
        <w:numPr>
          <w:ilvl w:val="0"/>
          <w:numId w:val="6"/>
        </w:numPr>
        <w:tabs>
          <w:tab w:val="left" w:pos="1560"/>
        </w:tabs>
        <w:kinsoku w:val="0"/>
        <w:overflowPunct w:val="0"/>
        <w:spacing w:line="280" w:lineRule="atLeast"/>
        <w:ind w:right="430"/>
        <w:rPr>
          <w:sz w:val="18"/>
          <w:szCs w:val="18"/>
        </w:rPr>
      </w:pPr>
      <w:r>
        <w:rPr>
          <w:sz w:val="18"/>
        </w:rPr>
        <w:t xml:space="preserve">Wird das Gerät in den folgenden Frequenzbereichen betrieben, darf es nur in Innenräumen eingesetzt werden: </w:t>
      </w:r>
    </w:p>
    <w:p w14:paraId="25426A87" w14:textId="5D80FB85" w:rsidR="00DF3509" w:rsidRDefault="00DF3509" w:rsidP="000A6F99">
      <w:pPr>
        <w:pStyle w:val="ListParagraph"/>
        <w:tabs>
          <w:tab w:val="left" w:pos="1560"/>
        </w:tabs>
        <w:kinsoku w:val="0"/>
        <w:overflowPunct w:val="0"/>
        <w:spacing w:line="280" w:lineRule="atLeast"/>
        <w:ind w:right="2817" w:firstLine="0"/>
        <w:rPr>
          <w:sz w:val="18"/>
          <w:szCs w:val="18"/>
        </w:rPr>
      </w:pPr>
      <w:r>
        <w:rPr>
          <w:sz w:val="18"/>
        </w:rPr>
        <w:t>5150 bis 5350 MHz</w:t>
      </w:r>
    </w:p>
    <w:p w14:paraId="7FFD89C4" w14:textId="77777777" w:rsidR="00DF3509" w:rsidRDefault="00DF3509">
      <w:pPr>
        <w:pStyle w:val="BodyText"/>
        <w:kinsoku w:val="0"/>
        <w:overflowPunct w:val="0"/>
        <w:spacing w:before="6"/>
        <w:ind w:left="1560"/>
        <w:rPr>
          <w:spacing w:val="-5"/>
        </w:rPr>
      </w:pPr>
      <w:r>
        <w:t>5945 bis 6425 MHz</w:t>
      </w:r>
    </w:p>
    <w:p w14:paraId="3C9B2468" w14:textId="77777777" w:rsidR="00DF3509" w:rsidRPr="00D67FE6" w:rsidRDefault="00DF3509">
      <w:pPr>
        <w:pStyle w:val="ListParagraph"/>
        <w:numPr>
          <w:ilvl w:val="0"/>
          <w:numId w:val="6"/>
        </w:numPr>
        <w:tabs>
          <w:tab w:val="left" w:pos="1560"/>
        </w:tabs>
        <w:kinsoku w:val="0"/>
        <w:overflowPunct w:val="0"/>
        <w:spacing w:before="78"/>
        <w:ind w:right="1096"/>
        <w:rPr>
          <w:sz w:val="18"/>
          <w:szCs w:val="18"/>
        </w:rPr>
      </w:pPr>
      <w:r>
        <w:t xml:space="preserve">Der Betrieb </w:t>
      </w:r>
      <w:r w:rsidRPr="00FE3A82">
        <w:rPr>
          <w:sz w:val="18"/>
          <w:szCs w:val="18"/>
        </w:rPr>
        <w:t>im Frequenzbereich 5945-6425 MHz ist in den Ländern der EU und der EFTA vor Dezember 2021 nicht erlaubt, mit Ausnahme von CY, CZ, DE, FR, SI, NO und UK(NI).</w:t>
      </w:r>
    </w:p>
    <w:p w14:paraId="26D07B88" w14:textId="77777777" w:rsidR="00DF3509" w:rsidRDefault="00DF3509">
      <w:pPr>
        <w:pStyle w:val="ListParagraph"/>
        <w:numPr>
          <w:ilvl w:val="0"/>
          <w:numId w:val="6"/>
        </w:numPr>
        <w:tabs>
          <w:tab w:val="left" w:pos="1560"/>
        </w:tabs>
        <w:kinsoku w:val="0"/>
        <w:overflowPunct w:val="0"/>
        <w:spacing w:before="77"/>
        <w:ind w:right="954"/>
        <w:rPr>
          <w:sz w:val="18"/>
          <w:szCs w:val="18"/>
        </w:rPr>
      </w:pPr>
      <w:r>
        <w:rPr>
          <w:sz w:val="18"/>
        </w:rPr>
        <w:t>Geräte mit einem Frequenzbereich von 5945–6425 MHz sind in Belgien ab Oktober 2021 entsprechend der Genehmigungsordnung zugelassen, bis der königliche Erlass aktualisiert wird, mit dem für diesen Frequenzbereich eine Ausnahmegenehmigung erteilt wird oder keine Lizenz erforderlich ist. Für jeden Standort, an dem sich Geräte befinden, ist eine allgemeine Lizenz erforderlich. Weitere Informationen finden Sie unter BIPT. Weitere Informationsquellen:</w:t>
      </w:r>
    </w:p>
    <w:p w14:paraId="271FCA67" w14:textId="5866F945" w:rsidR="00DF3509" w:rsidRDefault="00000000">
      <w:pPr>
        <w:pStyle w:val="ListParagraph"/>
        <w:numPr>
          <w:ilvl w:val="1"/>
          <w:numId w:val="6"/>
        </w:numPr>
        <w:tabs>
          <w:tab w:val="left" w:pos="2279"/>
        </w:tabs>
        <w:kinsoku w:val="0"/>
        <w:overflowPunct w:val="0"/>
        <w:spacing w:before="84"/>
        <w:ind w:left="2279" w:hanging="359"/>
        <w:rPr>
          <w:color w:val="0000FF"/>
          <w:spacing w:val="-2"/>
          <w:sz w:val="18"/>
          <w:szCs w:val="18"/>
        </w:rPr>
      </w:pPr>
      <w:hyperlink r:id="rId15" w:history="1">
        <w:r w:rsidR="00DF3509">
          <w:rPr>
            <w:color w:val="0000FF"/>
            <w:sz w:val="18"/>
            <w:u w:val="single"/>
          </w:rPr>
          <w:t>https://www.bipt.be/consumers/free-use-of-radio</w:t>
        </w:r>
      </w:hyperlink>
    </w:p>
    <w:p w14:paraId="09A49B87" w14:textId="1964D2AE" w:rsidR="00DF3509" w:rsidRDefault="00000000">
      <w:pPr>
        <w:pStyle w:val="ListParagraph"/>
        <w:numPr>
          <w:ilvl w:val="1"/>
          <w:numId w:val="6"/>
        </w:numPr>
        <w:tabs>
          <w:tab w:val="left" w:pos="2279"/>
        </w:tabs>
        <w:kinsoku w:val="0"/>
        <w:overflowPunct w:val="0"/>
        <w:spacing w:before="62"/>
        <w:ind w:left="2279" w:hanging="359"/>
        <w:rPr>
          <w:color w:val="0000FF"/>
          <w:spacing w:val="-2"/>
          <w:sz w:val="18"/>
          <w:szCs w:val="18"/>
        </w:rPr>
      </w:pPr>
      <w:hyperlink r:id="rId16" w:history="1">
        <w:r w:rsidR="00DF3509">
          <w:rPr>
            <w:color w:val="0000FF"/>
            <w:sz w:val="18"/>
            <w:u w:val="single"/>
          </w:rPr>
          <w:t>https://www.bipt.be/operators/general-holders-licences</w:t>
        </w:r>
      </w:hyperlink>
    </w:p>
    <w:p w14:paraId="0AEF2FCF" w14:textId="77777777" w:rsidR="00DF3509" w:rsidRDefault="00DF3509">
      <w:pPr>
        <w:pStyle w:val="BodyText"/>
        <w:kinsoku w:val="0"/>
        <w:overflowPunct w:val="0"/>
        <w:spacing w:before="8"/>
        <w:rPr>
          <w:sz w:val="23"/>
          <w:szCs w:val="23"/>
        </w:rPr>
      </w:pPr>
    </w:p>
    <w:p w14:paraId="1509E0A8" w14:textId="77777777" w:rsidR="00DF3509" w:rsidRDefault="00DF3509">
      <w:pPr>
        <w:pStyle w:val="Heading3"/>
        <w:kinsoku w:val="0"/>
        <w:overflowPunct w:val="0"/>
        <w:jc w:val="both"/>
        <w:rPr>
          <w:spacing w:val="-2"/>
        </w:rPr>
      </w:pPr>
      <w:bookmarkStart w:id="23" w:name="_Toc147502454"/>
      <w:r>
        <w:t>Hinweise zur Belastung durch Funkwellen</w:t>
      </w:r>
      <w:bookmarkEnd w:id="23"/>
    </w:p>
    <w:p w14:paraId="36FC594F" w14:textId="77777777" w:rsidR="00DF3509" w:rsidRDefault="00DF3509">
      <w:pPr>
        <w:pStyle w:val="BodyText"/>
        <w:kinsoku w:val="0"/>
        <w:overflowPunct w:val="0"/>
        <w:spacing w:before="110" w:line="276" w:lineRule="auto"/>
        <w:ind w:left="840" w:right="755"/>
        <w:jc w:val="both"/>
      </w:pPr>
      <w:r>
        <w:t>Achten Sie bei anderen Geräten als mobilen Hotspots und USB-Modems darauf, dass der Abstand zwischen dem WLAN-Gerät von NETGEAR und dem Körper des Benutzers mindestens 20 cm beträgt, um die Bedingungen für die maximal zulässige Exposition (MPE) zu erfüllen. Weitere Informationen finden Sie im Abschnitt zum Thema Belastung durch Funkwellen unter:</w:t>
      </w:r>
    </w:p>
    <w:p w14:paraId="7D8C16C0" w14:textId="46CB6D80" w:rsidR="00DF3509" w:rsidRDefault="00000000">
      <w:pPr>
        <w:pStyle w:val="BodyText"/>
        <w:kinsoku w:val="0"/>
        <w:overflowPunct w:val="0"/>
        <w:spacing w:before="82"/>
        <w:ind w:left="840"/>
        <w:rPr>
          <w:color w:val="0000FF"/>
          <w:spacing w:val="-2"/>
        </w:rPr>
      </w:pPr>
      <w:hyperlink r:id="rId17" w:history="1">
        <w:r w:rsidR="00DF3509">
          <w:rPr>
            <w:color w:val="0000FF"/>
            <w:u w:val="single"/>
          </w:rPr>
          <w:t>https://www.netgear.com/about/regulatory/</w:t>
        </w:r>
      </w:hyperlink>
    </w:p>
    <w:p w14:paraId="0251C142" w14:textId="77777777" w:rsidR="00DF3509" w:rsidRDefault="00DF3509">
      <w:pPr>
        <w:pStyle w:val="BodyText"/>
        <w:kinsoku w:val="0"/>
        <w:overflowPunct w:val="0"/>
        <w:spacing w:before="9"/>
        <w:rPr>
          <w:sz w:val="11"/>
          <w:szCs w:val="11"/>
        </w:rPr>
      </w:pPr>
    </w:p>
    <w:p w14:paraId="156FBE0C" w14:textId="77777777" w:rsidR="00DF3509" w:rsidRDefault="00DF3509">
      <w:pPr>
        <w:pStyle w:val="BodyText"/>
        <w:kinsoku w:val="0"/>
        <w:overflowPunct w:val="0"/>
        <w:spacing w:before="94" w:line="278" w:lineRule="auto"/>
        <w:ind w:left="840" w:right="873"/>
      </w:pPr>
      <w:r>
        <w:t>Gemäß Artikel 10.8(a) und 10.8(b) der Funkanlagenrichtlinie enthält die nachfolgende Tabelle Informationen über die verwendeten Frequenzbereiche und die maximale Sendeleistung der Funkfrequenz der in der EU verkauften NETGEAR kabellosen Produkten.</w:t>
      </w:r>
    </w:p>
    <w:p w14:paraId="7ADA8742" w14:textId="77777777" w:rsidR="00DF3509" w:rsidRDefault="00DF3509">
      <w:pPr>
        <w:pStyle w:val="BodyText"/>
        <w:kinsoku w:val="0"/>
        <w:overflowPunct w:val="0"/>
        <w:spacing w:before="1"/>
        <w:rPr>
          <w:sz w:val="17"/>
          <w:szCs w:val="17"/>
        </w:rPr>
      </w:pPr>
    </w:p>
    <w:p w14:paraId="2C83E8F6" w14:textId="77777777" w:rsidR="00DF3509" w:rsidRDefault="00DF3509">
      <w:pPr>
        <w:pStyle w:val="BodyText"/>
        <w:kinsoku w:val="0"/>
        <w:overflowPunct w:val="0"/>
        <w:ind w:left="840"/>
        <w:rPr>
          <w:i/>
          <w:iCs/>
          <w:spacing w:val="-7"/>
        </w:rPr>
      </w:pPr>
      <w:r>
        <w:rPr>
          <w:i/>
        </w:rPr>
        <w:t>WLAN</w:t>
      </w:r>
    </w:p>
    <w:p w14:paraId="5B8CF41E" w14:textId="77777777" w:rsidR="00DF3509" w:rsidRDefault="00DF3509">
      <w:pPr>
        <w:pStyle w:val="BodyText"/>
        <w:kinsoku w:val="0"/>
        <w:overflowPunct w:val="0"/>
        <w:spacing w:before="1"/>
        <w:rPr>
          <w:i/>
          <w:iCs/>
          <w:sz w:val="20"/>
          <w:szCs w:val="20"/>
        </w:rPr>
      </w:pPr>
    </w:p>
    <w:tbl>
      <w:tblPr>
        <w:tblW w:w="0" w:type="auto"/>
        <w:tblInd w:w="860" w:type="dxa"/>
        <w:tblLayout w:type="fixed"/>
        <w:tblCellMar>
          <w:left w:w="0" w:type="dxa"/>
          <w:right w:w="0" w:type="dxa"/>
        </w:tblCellMar>
        <w:tblLook w:val="0000" w:firstRow="0" w:lastRow="0" w:firstColumn="0" w:lastColumn="0" w:noHBand="0" w:noVBand="0"/>
      </w:tblPr>
      <w:tblGrid>
        <w:gridCol w:w="2497"/>
        <w:gridCol w:w="2303"/>
        <w:gridCol w:w="2669"/>
      </w:tblGrid>
      <w:tr w:rsidR="00DF3509" w:rsidRPr="001F545D" w14:paraId="3D42795C" w14:textId="77777777" w:rsidTr="00FE3A82">
        <w:trPr>
          <w:trHeight w:val="438"/>
        </w:trPr>
        <w:tc>
          <w:tcPr>
            <w:tcW w:w="2497" w:type="dxa"/>
            <w:tcBorders>
              <w:top w:val="single" w:sz="8" w:space="0" w:color="000000"/>
              <w:left w:val="single" w:sz="8" w:space="0" w:color="000000"/>
              <w:bottom w:val="single" w:sz="8" w:space="0" w:color="000000"/>
              <w:right w:val="single" w:sz="8" w:space="0" w:color="000000"/>
            </w:tcBorders>
          </w:tcPr>
          <w:p w14:paraId="497DF911" w14:textId="77777777" w:rsidR="00DF3509" w:rsidRPr="001F545D" w:rsidRDefault="00DF3509">
            <w:pPr>
              <w:pStyle w:val="TableParagraph"/>
              <w:kinsoku w:val="0"/>
              <w:overflowPunct w:val="0"/>
              <w:spacing w:before="1"/>
              <w:rPr>
                <w:rFonts w:eastAsia="Times New Roman"/>
                <w:b/>
                <w:bCs/>
                <w:spacing w:val="-4"/>
                <w:sz w:val="18"/>
                <w:szCs w:val="18"/>
              </w:rPr>
            </w:pPr>
            <w:r>
              <w:rPr>
                <w:b/>
                <w:sz w:val="18"/>
              </w:rPr>
              <w:t>Frequenzbereich (MHz)</w:t>
            </w:r>
          </w:p>
        </w:tc>
        <w:tc>
          <w:tcPr>
            <w:tcW w:w="2303" w:type="dxa"/>
            <w:tcBorders>
              <w:top w:val="single" w:sz="8" w:space="0" w:color="000000"/>
              <w:left w:val="single" w:sz="8" w:space="0" w:color="000000"/>
              <w:bottom w:val="single" w:sz="8" w:space="0" w:color="000000"/>
              <w:right w:val="single" w:sz="8" w:space="0" w:color="000000"/>
            </w:tcBorders>
          </w:tcPr>
          <w:p w14:paraId="00C8D6AC" w14:textId="4FDB2BD9" w:rsidR="00DF3509" w:rsidRPr="001F545D" w:rsidRDefault="00DF3509">
            <w:pPr>
              <w:pStyle w:val="TableParagraph"/>
              <w:kinsoku w:val="0"/>
              <w:overflowPunct w:val="0"/>
              <w:spacing w:before="1"/>
              <w:rPr>
                <w:rFonts w:eastAsia="Times New Roman"/>
                <w:b/>
                <w:bCs/>
                <w:spacing w:val="-4"/>
                <w:sz w:val="18"/>
                <w:szCs w:val="18"/>
              </w:rPr>
            </w:pPr>
            <w:r>
              <w:rPr>
                <w:b/>
                <w:sz w:val="18"/>
              </w:rPr>
              <w:t>Funkübertragungs</w:t>
            </w:r>
            <w:r w:rsidR="00FE3A82">
              <w:rPr>
                <w:b/>
                <w:sz w:val="18"/>
              </w:rPr>
              <w:t>-</w:t>
            </w:r>
            <w:r>
              <w:rPr>
                <w:b/>
                <w:sz w:val="18"/>
              </w:rPr>
              <w:t>kanäle</w:t>
            </w:r>
          </w:p>
        </w:tc>
        <w:tc>
          <w:tcPr>
            <w:tcW w:w="2669" w:type="dxa"/>
            <w:tcBorders>
              <w:top w:val="single" w:sz="8" w:space="0" w:color="000000"/>
              <w:left w:val="single" w:sz="8" w:space="0" w:color="000000"/>
              <w:bottom w:val="single" w:sz="8" w:space="0" w:color="000000"/>
              <w:right w:val="single" w:sz="8" w:space="0" w:color="000000"/>
            </w:tcBorders>
          </w:tcPr>
          <w:p w14:paraId="33E041A0" w14:textId="77777777" w:rsidR="00DF3509" w:rsidRPr="001F545D" w:rsidRDefault="00DF3509">
            <w:pPr>
              <w:pStyle w:val="TableParagraph"/>
              <w:kinsoku w:val="0"/>
              <w:overflowPunct w:val="0"/>
              <w:spacing w:before="1"/>
              <w:ind w:left="106"/>
              <w:rPr>
                <w:rFonts w:eastAsia="Times New Roman"/>
                <w:b/>
                <w:bCs/>
                <w:spacing w:val="-2"/>
                <w:sz w:val="18"/>
                <w:szCs w:val="18"/>
              </w:rPr>
            </w:pPr>
            <w:r>
              <w:rPr>
                <w:b/>
                <w:sz w:val="18"/>
              </w:rPr>
              <w:t>Max. Sendeleistung (dBm/mW)</w:t>
            </w:r>
          </w:p>
        </w:tc>
      </w:tr>
      <w:tr w:rsidR="00DF3509" w:rsidRPr="001F545D" w14:paraId="423E2E3C" w14:textId="77777777" w:rsidTr="00FE3A82">
        <w:trPr>
          <w:trHeight w:val="474"/>
        </w:trPr>
        <w:tc>
          <w:tcPr>
            <w:tcW w:w="2497" w:type="dxa"/>
            <w:tcBorders>
              <w:top w:val="single" w:sz="8" w:space="0" w:color="000000"/>
              <w:left w:val="single" w:sz="8" w:space="0" w:color="000000"/>
              <w:bottom w:val="single" w:sz="8" w:space="0" w:color="000000"/>
              <w:right w:val="single" w:sz="8" w:space="0" w:color="000000"/>
            </w:tcBorders>
          </w:tcPr>
          <w:p w14:paraId="3A36826C" w14:textId="77777777" w:rsidR="00DF3509" w:rsidRPr="001F545D" w:rsidRDefault="00DF3509">
            <w:pPr>
              <w:pStyle w:val="TableParagraph"/>
              <w:kinsoku w:val="0"/>
              <w:overflowPunct w:val="0"/>
              <w:spacing w:line="206" w:lineRule="exact"/>
              <w:rPr>
                <w:rFonts w:eastAsia="Times New Roman"/>
                <w:spacing w:val="-2"/>
                <w:sz w:val="18"/>
                <w:szCs w:val="18"/>
              </w:rPr>
            </w:pPr>
            <w:r>
              <w:rPr>
                <w:sz w:val="18"/>
              </w:rPr>
              <w:t>2400–2483,5</w:t>
            </w:r>
          </w:p>
        </w:tc>
        <w:tc>
          <w:tcPr>
            <w:tcW w:w="2303" w:type="dxa"/>
            <w:tcBorders>
              <w:top w:val="single" w:sz="8" w:space="0" w:color="000000"/>
              <w:left w:val="single" w:sz="8" w:space="0" w:color="000000"/>
              <w:bottom w:val="single" w:sz="8" w:space="0" w:color="000000"/>
              <w:right w:val="single" w:sz="8" w:space="0" w:color="000000"/>
            </w:tcBorders>
          </w:tcPr>
          <w:p w14:paraId="583629AC" w14:textId="77777777" w:rsidR="00DF3509" w:rsidRPr="001F545D" w:rsidRDefault="00DF3509">
            <w:pPr>
              <w:pStyle w:val="TableParagraph"/>
              <w:kinsoku w:val="0"/>
              <w:overflowPunct w:val="0"/>
              <w:spacing w:line="206" w:lineRule="exact"/>
              <w:rPr>
                <w:rFonts w:eastAsia="Times New Roman"/>
                <w:spacing w:val="-5"/>
                <w:sz w:val="18"/>
                <w:szCs w:val="18"/>
              </w:rPr>
            </w:pPr>
            <w:r>
              <w:rPr>
                <w:sz w:val="18"/>
              </w:rPr>
              <w:t>1–13</w:t>
            </w:r>
          </w:p>
        </w:tc>
        <w:tc>
          <w:tcPr>
            <w:tcW w:w="2669" w:type="dxa"/>
            <w:tcBorders>
              <w:top w:val="single" w:sz="8" w:space="0" w:color="000000"/>
              <w:left w:val="single" w:sz="8" w:space="0" w:color="000000"/>
              <w:bottom w:val="single" w:sz="8" w:space="0" w:color="000000"/>
              <w:right w:val="single" w:sz="8" w:space="0" w:color="000000"/>
            </w:tcBorders>
          </w:tcPr>
          <w:p w14:paraId="30E98D6B"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sz w:val="18"/>
              </w:rPr>
              <w:t>OFDM: 19,9 dBm: 97,7 mW</w:t>
            </w:r>
          </w:p>
          <w:p w14:paraId="0AE304DC" w14:textId="77777777" w:rsidR="00DF3509" w:rsidRPr="001F545D" w:rsidRDefault="00DF3509">
            <w:pPr>
              <w:pStyle w:val="TableParagraph"/>
              <w:kinsoku w:val="0"/>
              <w:overflowPunct w:val="0"/>
              <w:spacing w:before="30"/>
              <w:ind w:left="106"/>
              <w:rPr>
                <w:rFonts w:eastAsia="Times New Roman"/>
                <w:spacing w:val="-2"/>
                <w:sz w:val="18"/>
                <w:szCs w:val="18"/>
              </w:rPr>
            </w:pPr>
            <w:r>
              <w:rPr>
                <w:sz w:val="18"/>
              </w:rPr>
              <w:t>CCK: 17,9 dBm: 61,7 mW</w:t>
            </w:r>
          </w:p>
        </w:tc>
      </w:tr>
      <w:tr w:rsidR="00DF3509" w:rsidRPr="001F545D" w14:paraId="03D48E30" w14:textId="77777777" w:rsidTr="00FE3A82">
        <w:trPr>
          <w:trHeight w:val="239"/>
        </w:trPr>
        <w:tc>
          <w:tcPr>
            <w:tcW w:w="2497" w:type="dxa"/>
            <w:tcBorders>
              <w:top w:val="single" w:sz="8" w:space="0" w:color="000000"/>
              <w:left w:val="single" w:sz="8" w:space="0" w:color="000000"/>
              <w:bottom w:val="single" w:sz="8" w:space="0" w:color="000000"/>
              <w:right w:val="single" w:sz="8" w:space="0" w:color="000000"/>
            </w:tcBorders>
          </w:tcPr>
          <w:p w14:paraId="6680841E" w14:textId="77777777" w:rsidR="00DF3509" w:rsidRPr="001F545D" w:rsidRDefault="00DF3509">
            <w:pPr>
              <w:pStyle w:val="TableParagraph"/>
              <w:kinsoku w:val="0"/>
              <w:overflowPunct w:val="0"/>
              <w:spacing w:before="1"/>
              <w:rPr>
                <w:rFonts w:eastAsia="Times New Roman"/>
                <w:spacing w:val="-4"/>
                <w:sz w:val="18"/>
                <w:szCs w:val="18"/>
              </w:rPr>
            </w:pPr>
            <w:r>
              <w:rPr>
                <w:sz w:val="18"/>
              </w:rPr>
              <w:t>5150–5250</w:t>
            </w:r>
          </w:p>
        </w:tc>
        <w:tc>
          <w:tcPr>
            <w:tcW w:w="2303" w:type="dxa"/>
            <w:tcBorders>
              <w:top w:val="single" w:sz="8" w:space="0" w:color="000000"/>
              <w:left w:val="single" w:sz="8" w:space="0" w:color="000000"/>
              <w:bottom w:val="single" w:sz="8" w:space="0" w:color="000000"/>
              <w:right w:val="single" w:sz="8" w:space="0" w:color="000000"/>
            </w:tcBorders>
          </w:tcPr>
          <w:p w14:paraId="6B59684F" w14:textId="77777777" w:rsidR="00DF3509" w:rsidRPr="001F545D" w:rsidRDefault="00DF3509">
            <w:pPr>
              <w:pStyle w:val="TableParagraph"/>
              <w:kinsoku w:val="0"/>
              <w:overflowPunct w:val="0"/>
              <w:spacing w:before="1"/>
              <w:rPr>
                <w:rFonts w:eastAsia="Times New Roman"/>
                <w:spacing w:val="-7"/>
                <w:sz w:val="18"/>
                <w:szCs w:val="18"/>
              </w:rPr>
            </w:pPr>
            <w:r>
              <w:rPr>
                <w:sz w:val="18"/>
              </w:rPr>
              <w:t>36–48</w:t>
            </w:r>
          </w:p>
        </w:tc>
        <w:tc>
          <w:tcPr>
            <w:tcW w:w="2669" w:type="dxa"/>
            <w:tcBorders>
              <w:top w:val="single" w:sz="8" w:space="0" w:color="000000"/>
              <w:left w:val="single" w:sz="8" w:space="0" w:color="000000"/>
              <w:bottom w:val="single" w:sz="8" w:space="0" w:color="000000"/>
              <w:right w:val="single" w:sz="8" w:space="0" w:color="000000"/>
            </w:tcBorders>
          </w:tcPr>
          <w:p w14:paraId="600390BD" w14:textId="77777777" w:rsidR="00DF3509" w:rsidRPr="001F545D" w:rsidRDefault="00DF3509">
            <w:pPr>
              <w:pStyle w:val="TableParagraph"/>
              <w:kinsoku w:val="0"/>
              <w:overflowPunct w:val="0"/>
              <w:spacing w:before="1"/>
              <w:ind w:left="106"/>
              <w:rPr>
                <w:rFonts w:eastAsia="Times New Roman"/>
                <w:spacing w:val="-2"/>
                <w:sz w:val="18"/>
                <w:szCs w:val="18"/>
              </w:rPr>
            </w:pPr>
            <w:r>
              <w:rPr>
                <w:sz w:val="18"/>
              </w:rPr>
              <w:t>22,9 dBm: 195 mW</w:t>
            </w:r>
          </w:p>
        </w:tc>
      </w:tr>
      <w:tr w:rsidR="00DF3509" w:rsidRPr="001F545D" w14:paraId="51C6E56D" w14:textId="77777777" w:rsidTr="00FE3A82">
        <w:trPr>
          <w:trHeight w:val="474"/>
        </w:trPr>
        <w:tc>
          <w:tcPr>
            <w:tcW w:w="2497" w:type="dxa"/>
            <w:tcBorders>
              <w:top w:val="single" w:sz="8" w:space="0" w:color="000000"/>
              <w:left w:val="single" w:sz="8" w:space="0" w:color="000000"/>
              <w:bottom w:val="single" w:sz="8" w:space="0" w:color="000000"/>
              <w:right w:val="single" w:sz="8" w:space="0" w:color="000000"/>
            </w:tcBorders>
          </w:tcPr>
          <w:p w14:paraId="0C5F6DA8"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5250–5350</w:t>
            </w:r>
          </w:p>
        </w:tc>
        <w:tc>
          <w:tcPr>
            <w:tcW w:w="2303" w:type="dxa"/>
            <w:tcBorders>
              <w:top w:val="single" w:sz="8" w:space="0" w:color="000000"/>
              <w:left w:val="single" w:sz="8" w:space="0" w:color="000000"/>
              <w:bottom w:val="single" w:sz="8" w:space="0" w:color="000000"/>
              <w:right w:val="single" w:sz="8" w:space="0" w:color="000000"/>
            </w:tcBorders>
          </w:tcPr>
          <w:p w14:paraId="43FE6B92" w14:textId="77777777" w:rsidR="00DF3509" w:rsidRPr="001F545D" w:rsidRDefault="00DF3509">
            <w:pPr>
              <w:pStyle w:val="TableParagraph"/>
              <w:kinsoku w:val="0"/>
              <w:overflowPunct w:val="0"/>
              <w:spacing w:line="206" w:lineRule="exact"/>
              <w:rPr>
                <w:rFonts w:eastAsia="Times New Roman"/>
                <w:spacing w:val="-7"/>
                <w:sz w:val="18"/>
                <w:szCs w:val="18"/>
              </w:rPr>
            </w:pPr>
            <w:r>
              <w:rPr>
                <w:sz w:val="18"/>
              </w:rPr>
              <w:t>52–64</w:t>
            </w:r>
          </w:p>
        </w:tc>
        <w:tc>
          <w:tcPr>
            <w:tcW w:w="2669" w:type="dxa"/>
            <w:tcBorders>
              <w:top w:val="single" w:sz="8" w:space="0" w:color="000000"/>
              <w:left w:val="single" w:sz="8" w:space="0" w:color="000000"/>
              <w:bottom w:val="single" w:sz="8" w:space="0" w:color="000000"/>
              <w:right w:val="single" w:sz="8" w:space="0" w:color="000000"/>
            </w:tcBorders>
          </w:tcPr>
          <w:p w14:paraId="127199F5" w14:textId="77777777" w:rsidR="00DF3509" w:rsidRPr="001F545D" w:rsidRDefault="00DF3509">
            <w:pPr>
              <w:pStyle w:val="TableParagraph"/>
              <w:kinsoku w:val="0"/>
              <w:overflowPunct w:val="0"/>
              <w:spacing w:line="206" w:lineRule="exact"/>
              <w:ind w:left="106"/>
              <w:rPr>
                <w:rFonts w:eastAsia="Times New Roman"/>
                <w:spacing w:val="-5"/>
                <w:sz w:val="18"/>
                <w:szCs w:val="18"/>
              </w:rPr>
            </w:pPr>
            <w:r>
              <w:rPr>
                <w:sz w:val="18"/>
              </w:rPr>
              <w:t>22,9 dBm (195 mW) mit TPC</w:t>
            </w:r>
          </w:p>
          <w:p w14:paraId="2B2BFE48" w14:textId="77777777" w:rsidR="00DF3509" w:rsidRPr="001F545D" w:rsidRDefault="00DF3509">
            <w:pPr>
              <w:pStyle w:val="TableParagraph"/>
              <w:kinsoku w:val="0"/>
              <w:overflowPunct w:val="0"/>
              <w:spacing w:before="30"/>
              <w:ind w:left="106"/>
              <w:rPr>
                <w:rFonts w:eastAsia="Times New Roman"/>
                <w:spacing w:val="-5"/>
                <w:sz w:val="18"/>
                <w:szCs w:val="18"/>
              </w:rPr>
            </w:pPr>
            <w:r>
              <w:rPr>
                <w:sz w:val="18"/>
              </w:rPr>
              <w:t>19,9 dBm (97,7 mW) ohne TPC</w:t>
            </w:r>
          </w:p>
        </w:tc>
      </w:tr>
      <w:tr w:rsidR="00DF3509" w:rsidRPr="001F545D" w14:paraId="304DE8CA" w14:textId="77777777" w:rsidTr="00FE3A82">
        <w:trPr>
          <w:trHeight w:val="477"/>
        </w:trPr>
        <w:tc>
          <w:tcPr>
            <w:tcW w:w="2497" w:type="dxa"/>
            <w:tcBorders>
              <w:top w:val="single" w:sz="8" w:space="0" w:color="000000"/>
              <w:left w:val="single" w:sz="8" w:space="0" w:color="000000"/>
              <w:bottom w:val="single" w:sz="8" w:space="0" w:color="000000"/>
              <w:right w:val="single" w:sz="8" w:space="0" w:color="000000"/>
            </w:tcBorders>
          </w:tcPr>
          <w:p w14:paraId="565C5532" w14:textId="77777777" w:rsidR="00DF3509" w:rsidRPr="001F545D" w:rsidRDefault="00DF3509">
            <w:pPr>
              <w:pStyle w:val="TableParagraph"/>
              <w:kinsoku w:val="0"/>
              <w:overflowPunct w:val="0"/>
              <w:spacing w:before="1"/>
              <w:rPr>
                <w:rFonts w:eastAsia="Times New Roman"/>
                <w:spacing w:val="-4"/>
                <w:sz w:val="18"/>
                <w:szCs w:val="18"/>
              </w:rPr>
            </w:pPr>
            <w:r>
              <w:rPr>
                <w:sz w:val="18"/>
              </w:rPr>
              <w:t>5470–5725</w:t>
            </w:r>
          </w:p>
        </w:tc>
        <w:tc>
          <w:tcPr>
            <w:tcW w:w="2303" w:type="dxa"/>
            <w:tcBorders>
              <w:top w:val="single" w:sz="8" w:space="0" w:color="000000"/>
              <w:left w:val="single" w:sz="8" w:space="0" w:color="000000"/>
              <w:bottom w:val="single" w:sz="8" w:space="0" w:color="000000"/>
              <w:right w:val="single" w:sz="8" w:space="0" w:color="000000"/>
            </w:tcBorders>
          </w:tcPr>
          <w:p w14:paraId="2F3D4DC2" w14:textId="77777777" w:rsidR="00DF3509" w:rsidRPr="001F545D" w:rsidRDefault="00DF3509">
            <w:pPr>
              <w:pStyle w:val="TableParagraph"/>
              <w:kinsoku w:val="0"/>
              <w:overflowPunct w:val="0"/>
              <w:spacing w:before="1"/>
              <w:rPr>
                <w:rFonts w:eastAsia="Times New Roman"/>
                <w:spacing w:val="-5"/>
                <w:sz w:val="18"/>
                <w:szCs w:val="18"/>
              </w:rPr>
            </w:pPr>
            <w:r>
              <w:rPr>
                <w:sz w:val="18"/>
              </w:rPr>
              <w:t>100–140</w:t>
            </w:r>
          </w:p>
        </w:tc>
        <w:tc>
          <w:tcPr>
            <w:tcW w:w="2669" w:type="dxa"/>
            <w:tcBorders>
              <w:top w:val="single" w:sz="8" w:space="0" w:color="000000"/>
              <w:left w:val="single" w:sz="8" w:space="0" w:color="000000"/>
              <w:bottom w:val="single" w:sz="8" w:space="0" w:color="000000"/>
              <w:right w:val="single" w:sz="8" w:space="0" w:color="000000"/>
            </w:tcBorders>
          </w:tcPr>
          <w:p w14:paraId="5DDCE936" w14:textId="77777777" w:rsidR="00DF3509" w:rsidRPr="001F545D" w:rsidRDefault="00DF3509">
            <w:pPr>
              <w:pStyle w:val="TableParagraph"/>
              <w:kinsoku w:val="0"/>
              <w:overflowPunct w:val="0"/>
              <w:spacing w:before="1"/>
              <w:ind w:left="106"/>
              <w:rPr>
                <w:rFonts w:eastAsia="Times New Roman"/>
                <w:spacing w:val="-5"/>
                <w:sz w:val="18"/>
                <w:szCs w:val="18"/>
              </w:rPr>
            </w:pPr>
            <w:r>
              <w:rPr>
                <w:sz w:val="18"/>
              </w:rPr>
              <w:t>29,9 dBm (977 mW) mit TPC</w:t>
            </w:r>
          </w:p>
          <w:p w14:paraId="7EEB9F5F" w14:textId="77777777" w:rsidR="00DF3509" w:rsidRPr="001F545D" w:rsidRDefault="00DF3509">
            <w:pPr>
              <w:pStyle w:val="TableParagraph"/>
              <w:kinsoku w:val="0"/>
              <w:overflowPunct w:val="0"/>
              <w:spacing w:before="31"/>
              <w:ind w:left="106"/>
              <w:rPr>
                <w:rFonts w:eastAsia="Times New Roman"/>
                <w:spacing w:val="-5"/>
                <w:sz w:val="18"/>
                <w:szCs w:val="18"/>
              </w:rPr>
            </w:pPr>
            <w:r>
              <w:rPr>
                <w:sz w:val="18"/>
              </w:rPr>
              <w:t>26,9 dBm (490 mW) ohne TPC</w:t>
            </w:r>
          </w:p>
        </w:tc>
      </w:tr>
      <w:tr w:rsidR="00DF3509" w:rsidRPr="001F545D" w14:paraId="034F9565" w14:textId="77777777" w:rsidTr="00FE3A82">
        <w:trPr>
          <w:trHeight w:val="239"/>
        </w:trPr>
        <w:tc>
          <w:tcPr>
            <w:tcW w:w="2497" w:type="dxa"/>
            <w:tcBorders>
              <w:top w:val="single" w:sz="8" w:space="0" w:color="000000"/>
              <w:left w:val="single" w:sz="8" w:space="0" w:color="000000"/>
              <w:bottom w:val="single" w:sz="8" w:space="0" w:color="000000"/>
              <w:right w:val="single" w:sz="8" w:space="0" w:color="000000"/>
            </w:tcBorders>
          </w:tcPr>
          <w:p w14:paraId="37E848CD"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5945–6425</w:t>
            </w:r>
          </w:p>
        </w:tc>
        <w:tc>
          <w:tcPr>
            <w:tcW w:w="2303" w:type="dxa"/>
            <w:tcBorders>
              <w:top w:val="single" w:sz="8" w:space="0" w:color="000000"/>
              <w:left w:val="single" w:sz="8" w:space="0" w:color="000000"/>
              <w:bottom w:val="single" w:sz="8" w:space="0" w:color="000000"/>
              <w:right w:val="single" w:sz="8" w:space="0" w:color="000000"/>
            </w:tcBorders>
          </w:tcPr>
          <w:p w14:paraId="653DBBE2" w14:textId="23E57AAF" w:rsidR="00DF3509" w:rsidRPr="003608D0" w:rsidRDefault="00C63EEA" w:rsidP="00C63EEA">
            <w:pPr>
              <w:pStyle w:val="TableParagraph"/>
              <w:kinsoku w:val="0"/>
              <w:overflowPunct w:val="0"/>
              <w:ind w:left="0"/>
              <w:rPr>
                <w:sz w:val="18"/>
                <w:szCs w:val="18"/>
              </w:rPr>
            </w:pPr>
            <w:r>
              <w:rPr>
                <w:sz w:val="18"/>
              </w:rPr>
              <w:t xml:space="preserve">   1</w:t>
            </w:r>
            <w:r w:rsidR="00F95CB6">
              <w:rPr>
                <w:sz w:val="18"/>
              </w:rPr>
              <w:t>–</w:t>
            </w:r>
            <w:r>
              <w:rPr>
                <w:sz w:val="18"/>
              </w:rPr>
              <w:t>93</w:t>
            </w:r>
          </w:p>
        </w:tc>
        <w:tc>
          <w:tcPr>
            <w:tcW w:w="2669" w:type="dxa"/>
            <w:tcBorders>
              <w:top w:val="single" w:sz="8" w:space="0" w:color="000000"/>
              <w:left w:val="single" w:sz="8" w:space="0" w:color="000000"/>
              <w:bottom w:val="single" w:sz="8" w:space="0" w:color="000000"/>
              <w:right w:val="single" w:sz="8" w:space="0" w:color="000000"/>
            </w:tcBorders>
          </w:tcPr>
          <w:p w14:paraId="0C5DBE06" w14:textId="77777777" w:rsidR="00DF3509" w:rsidRPr="001F545D" w:rsidRDefault="00DF3509">
            <w:pPr>
              <w:pStyle w:val="TableParagraph"/>
              <w:kinsoku w:val="0"/>
              <w:overflowPunct w:val="0"/>
              <w:spacing w:line="206" w:lineRule="exact"/>
              <w:ind w:left="106"/>
              <w:rPr>
                <w:rFonts w:eastAsia="Times New Roman"/>
                <w:spacing w:val="-2"/>
                <w:sz w:val="18"/>
                <w:szCs w:val="18"/>
              </w:rPr>
            </w:pPr>
            <w:r>
              <w:rPr>
                <w:sz w:val="18"/>
              </w:rPr>
              <w:t>22,9 dBm: 195 mW</w:t>
            </w:r>
          </w:p>
        </w:tc>
      </w:tr>
    </w:tbl>
    <w:p w14:paraId="1F22F36C" w14:textId="77777777" w:rsidR="00DF3509" w:rsidRDefault="00DF3509">
      <w:pPr>
        <w:pStyle w:val="BodyText"/>
        <w:kinsoku w:val="0"/>
        <w:overflowPunct w:val="0"/>
        <w:spacing w:before="10"/>
        <w:rPr>
          <w:i/>
          <w:iCs/>
          <w:sz w:val="20"/>
          <w:szCs w:val="20"/>
        </w:rPr>
      </w:pPr>
    </w:p>
    <w:p w14:paraId="1AE144C4" w14:textId="5AF92BBE" w:rsidR="00DF3509" w:rsidRDefault="00DF3509">
      <w:pPr>
        <w:pStyle w:val="BodyText"/>
        <w:kinsoku w:val="0"/>
        <w:overflowPunct w:val="0"/>
        <w:ind w:left="840"/>
        <w:rPr>
          <w:spacing w:val="-2"/>
        </w:rPr>
      </w:pPr>
      <w:r>
        <w:t>TPC: Transmit Power Control (Sendeleistungsregelung)</w:t>
      </w:r>
      <w:r w:rsidR="00332E66">
        <w:t>.</w:t>
      </w:r>
    </w:p>
    <w:p w14:paraId="4F17C51B" w14:textId="77777777" w:rsidR="00DF3509" w:rsidRDefault="00DF3509">
      <w:pPr>
        <w:pStyle w:val="BodyText"/>
        <w:kinsoku w:val="0"/>
        <w:overflowPunct w:val="0"/>
        <w:spacing w:before="2"/>
        <w:rPr>
          <w:sz w:val="20"/>
          <w:szCs w:val="20"/>
        </w:rPr>
      </w:pPr>
    </w:p>
    <w:p w14:paraId="5DF17599" w14:textId="77777777" w:rsidR="00DF3509" w:rsidRDefault="00DF3509">
      <w:pPr>
        <w:pStyle w:val="BodyText"/>
        <w:kinsoku w:val="0"/>
        <w:overflowPunct w:val="0"/>
        <w:ind w:left="840"/>
        <w:rPr>
          <w:i/>
          <w:iCs/>
          <w:spacing w:val="-2"/>
        </w:rPr>
      </w:pPr>
      <w:r>
        <w:rPr>
          <w:i/>
        </w:rPr>
        <w:t>Mobil</w:t>
      </w:r>
    </w:p>
    <w:p w14:paraId="133951CA" w14:textId="77777777" w:rsidR="00DF3509" w:rsidRDefault="00DF3509">
      <w:pPr>
        <w:pStyle w:val="BodyText"/>
        <w:kinsoku w:val="0"/>
        <w:overflowPunct w:val="0"/>
        <w:spacing w:before="10"/>
        <w:rPr>
          <w:i/>
          <w:iCs/>
          <w:sz w:val="19"/>
          <w:szCs w:val="19"/>
        </w:rPr>
      </w:pPr>
    </w:p>
    <w:tbl>
      <w:tblPr>
        <w:tblW w:w="0" w:type="auto"/>
        <w:tblInd w:w="850" w:type="dxa"/>
        <w:tblLayout w:type="fixed"/>
        <w:tblCellMar>
          <w:left w:w="0" w:type="dxa"/>
          <w:right w:w="0" w:type="dxa"/>
        </w:tblCellMar>
        <w:tblLook w:val="0000" w:firstRow="0" w:lastRow="0" w:firstColumn="0" w:lastColumn="0" w:noHBand="0" w:noVBand="0"/>
      </w:tblPr>
      <w:tblGrid>
        <w:gridCol w:w="2516"/>
        <w:gridCol w:w="1620"/>
        <w:gridCol w:w="5216"/>
      </w:tblGrid>
      <w:tr w:rsidR="00DF3509" w:rsidRPr="001F545D" w14:paraId="7E450BFE"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190378BE" w14:textId="77777777" w:rsidR="00DF3509" w:rsidRPr="001F545D" w:rsidRDefault="00DF3509">
            <w:pPr>
              <w:pStyle w:val="TableParagraph"/>
              <w:kinsoku w:val="0"/>
              <w:overflowPunct w:val="0"/>
              <w:spacing w:line="188" w:lineRule="exact"/>
              <w:rPr>
                <w:rFonts w:eastAsia="Times New Roman"/>
                <w:b/>
                <w:bCs/>
                <w:spacing w:val="-4"/>
                <w:sz w:val="18"/>
                <w:szCs w:val="18"/>
              </w:rPr>
            </w:pPr>
            <w:r>
              <w:rPr>
                <w:b/>
                <w:sz w:val="18"/>
              </w:rPr>
              <w:t>Frequenz (MHz)</w:t>
            </w:r>
          </w:p>
        </w:tc>
        <w:tc>
          <w:tcPr>
            <w:tcW w:w="1620" w:type="dxa"/>
            <w:tcBorders>
              <w:top w:val="single" w:sz="4" w:space="0" w:color="000000"/>
              <w:left w:val="single" w:sz="4" w:space="0" w:color="000000"/>
              <w:bottom w:val="single" w:sz="4" w:space="0" w:color="000000"/>
              <w:right w:val="single" w:sz="4" w:space="0" w:color="000000"/>
            </w:tcBorders>
          </w:tcPr>
          <w:p w14:paraId="353BDA01" w14:textId="77777777" w:rsidR="00DF3509" w:rsidRPr="001F545D" w:rsidRDefault="00DF3509">
            <w:pPr>
              <w:pStyle w:val="TableParagraph"/>
              <w:kinsoku w:val="0"/>
              <w:overflowPunct w:val="0"/>
              <w:spacing w:line="188" w:lineRule="exact"/>
              <w:rPr>
                <w:rFonts w:eastAsia="Times New Roman"/>
                <w:b/>
                <w:bCs/>
                <w:spacing w:val="-4"/>
                <w:sz w:val="18"/>
                <w:szCs w:val="18"/>
              </w:rPr>
            </w:pPr>
            <w:r>
              <w:rPr>
                <w:b/>
                <w:sz w:val="18"/>
              </w:rPr>
              <w:t>Genutzter Frequenzbereich</w:t>
            </w:r>
          </w:p>
        </w:tc>
        <w:tc>
          <w:tcPr>
            <w:tcW w:w="5216" w:type="dxa"/>
            <w:tcBorders>
              <w:top w:val="single" w:sz="4" w:space="0" w:color="000000"/>
              <w:left w:val="single" w:sz="4" w:space="0" w:color="000000"/>
              <w:bottom w:val="single" w:sz="4" w:space="0" w:color="000000"/>
              <w:right w:val="single" w:sz="4" w:space="0" w:color="000000"/>
            </w:tcBorders>
          </w:tcPr>
          <w:p w14:paraId="54272F0E" w14:textId="77777777" w:rsidR="00DF3509" w:rsidRPr="001F545D" w:rsidRDefault="00DF3509">
            <w:pPr>
              <w:pStyle w:val="TableParagraph"/>
              <w:kinsoku w:val="0"/>
              <w:overflowPunct w:val="0"/>
              <w:spacing w:line="188" w:lineRule="exact"/>
              <w:rPr>
                <w:rFonts w:eastAsia="Times New Roman"/>
                <w:b/>
                <w:bCs/>
                <w:spacing w:val="-2"/>
                <w:sz w:val="18"/>
                <w:szCs w:val="18"/>
              </w:rPr>
            </w:pPr>
            <w:r>
              <w:rPr>
                <w:b/>
                <w:sz w:val="18"/>
              </w:rPr>
              <w:t>Max. Sendeleistung (dBm/mW)</w:t>
            </w:r>
          </w:p>
        </w:tc>
      </w:tr>
      <w:tr w:rsidR="00DF3509" w:rsidRPr="001F545D" w14:paraId="6F5B0EF6"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39E9FC4B"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703–748</w:t>
            </w:r>
          </w:p>
        </w:tc>
        <w:tc>
          <w:tcPr>
            <w:tcW w:w="1620" w:type="dxa"/>
            <w:tcBorders>
              <w:top w:val="single" w:sz="4" w:space="0" w:color="000000"/>
              <w:left w:val="single" w:sz="4" w:space="0" w:color="000000"/>
              <w:bottom w:val="single" w:sz="4" w:space="0" w:color="000000"/>
              <w:right w:val="single" w:sz="4" w:space="0" w:color="000000"/>
            </w:tcBorders>
          </w:tcPr>
          <w:p w14:paraId="6080AE2C"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 28</w:t>
            </w:r>
          </w:p>
        </w:tc>
        <w:tc>
          <w:tcPr>
            <w:tcW w:w="5216" w:type="dxa"/>
            <w:tcBorders>
              <w:top w:val="single" w:sz="4" w:space="0" w:color="000000"/>
              <w:left w:val="single" w:sz="4" w:space="0" w:color="000000"/>
              <w:bottom w:val="single" w:sz="4" w:space="0" w:color="000000"/>
              <w:right w:val="single" w:sz="4" w:space="0" w:color="000000"/>
            </w:tcBorders>
          </w:tcPr>
          <w:p w14:paraId="43A6C18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0751EC68"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1359F90B"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832–862</w:t>
            </w:r>
          </w:p>
        </w:tc>
        <w:tc>
          <w:tcPr>
            <w:tcW w:w="1620" w:type="dxa"/>
            <w:tcBorders>
              <w:top w:val="single" w:sz="4" w:space="0" w:color="000000"/>
              <w:left w:val="single" w:sz="4" w:space="0" w:color="000000"/>
              <w:bottom w:val="single" w:sz="4" w:space="0" w:color="000000"/>
              <w:right w:val="single" w:sz="4" w:space="0" w:color="000000"/>
            </w:tcBorders>
          </w:tcPr>
          <w:p w14:paraId="7DB3D044"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 20</w:t>
            </w:r>
          </w:p>
        </w:tc>
        <w:tc>
          <w:tcPr>
            <w:tcW w:w="5216" w:type="dxa"/>
            <w:tcBorders>
              <w:top w:val="single" w:sz="4" w:space="0" w:color="000000"/>
              <w:left w:val="single" w:sz="4" w:space="0" w:color="000000"/>
              <w:bottom w:val="single" w:sz="4" w:space="0" w:color="000000"/>
              <w:right w:val="single" w:sz="4" w:space="0" w:color="000000"/>
            </w:tcBorders>
          </w:tcPr>
          <w:p w14:paraId="7649C68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55874486"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6CE710A5" w14:textId="77777777" w:rsidR="00DF3509" w:rsidRPr="001F545D" w:rsidRDefault="00DF3509">
            <w:pPr>
              <w:pStyle w:val="TableParagraph"/>
              <w:kinsoku w:val="0"/>
              <w:overflowPunct w:val="0"/>
              <w:spacing w:before="1" w:line="187" w:lineRule="exact"/>
              <w:rPr>
                <w:rFonts w:eastAsia="Times New Roman"/>
                <w:spacing w:val="-5"/>
                <w:sz w:val="18"/>
                <w:szCs w:val="18"/>
              </w:rPr>
            </w:pPr>
            <w:r>
              <w:rPr>
                <w:sz w:val="18"/>
              </w:rPr>
              <w:t>880–915</w:t>
            </w:r>
          </w:p>
        </w:tc>
        <w:tc>
          <w:tcPr>
            <w:tcW w:w="1620" w:type="dxa"/>
            <w:tcBorders>
              <w:top w:val="single" w:sz="4" w:space="0" w:color="000000"/>
              <w:left w:val="single" w:sz="4" w:space="0" w:color="000000"/>
              <w:bottom w:val="single" w:sz="4" w:space="0" w:color="000000"/>
              <w:right w:val="single" w:sz="4" w:space="0" w:color="000000"/>
            </w:tcBorders>
          </w:tcPr>
          <w:p w14:paraId="777672FD"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sz w:val="18"/>
              </w:rPr>
              <w:t>Band 8</w:t>
            </w:r>
          </w:p>
        </w:tc>
        <w:tc>
          <w:tcPr>
            <w:tcW w:w="5216" w:type="dxa"/>
            <w:tcBorders>
              <w:top w:val="single" w:sz="4" w:space="0" w:color="000000"/>
              <w:left w:val="single" w:sz="4" w:space="0" w:color="000000"/>
              <w:bottom w:val="single" w:sz="4" w:space="0" w:color="000000"/>
              <w:right w:val="single" w:sz="4" w:space="0" w:color="000000"/>
            </w:tcBorders>
          </w:tcPr>
          <w:p w14:paraId="1626473A"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23,9 dBm (245 mW)</w:t>
            </w:r>
          </w:p>
        </w:tc>
      </w:tr>
      <w:tr w:rsidR="00DF3509" w:rsidRPr="001F545D" w14:paraId="6F3F0350"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415CBB52"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1710–1785</w:t>
            </w:r>
          </w:p>
        </w:tc>
        <w:tc>
          <w:tcPr>
            <w:tcW w:w="1620" w:type="dxa"/>
            <w:tcBorders>
              <w:top w:val="single" w:sz="4" w:space="0" w:color="000000"/>
              <w:left w:val="single" w:sz="4" w:space="0" w:color="000000"/>
              <w:bottom w:val="single" w:sz="4" w:space="0" w:color="000000"/>
              <w:right w:val="single" w:sz="4" w:space="0" w:color="000000"/>
            </w:tcBorders>
          </w:tcPr>
          <w:p w14:paraId="1D8B0F2F" w14:textId="77777777" w:rsidR="00DF3509" w:rsidRPr="001F545D" w:rsidRDefault="00DF3509">
            <w:pPr>
              <w:pStyle w:val="TableParagraph"/>
              <w:kinsoku w:val="0"/>
              <w:overflowPunct w:val="0"/>
              <w:spacing w:line="186" w:lineRule="exact"/>
              <w:rPr>
                <w:rFonts w:eastAsia="Times New Roman"/>
                <w:spacing w:val="-10"/>
                <w:sz w:val="18"/>
                <w:szCs w:val="18"/>
              </w:rPr>
            </w:pPr>
            <w:r>
              <w:rPr>
                <w:sz w:val="18"/>
              </w:rPr>
              <w:t>Band 3</w:t>
            </w:r>
          </w:p>
        </w:tc>
        <w:tc>
          <w:tcPr>
            <w:tcW w:w="5216" w:type="dxa"/>
            <w:tcBorders>
              <w:top w:val="single" w:sz="4" w:space="0" w:color="000000"/>
              <w:left w:val="single" w:sz="4" w:space="0" w:color="000000"/>
              <w:bottom w:val="single" w:sz="4" w:space="0" w:color="000000"/>
              <w:right w:val="single" w:sz="4" w:space="0" w:color="000000"/>
            </w:tcBorders>
          </w:tcPr>
          <w:p w14:paraId="7AD2421B"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FDD: 23,9 dBm (245 mW)</w:t>
            </w:r>
          </w:p>
        </w:tc>
      </w:tr>
      <w:tr w:rsidR="00DF3509" w:rsidRPr="001F545D" w14:paraId="5B07DCF5"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5F6EF77E" w14:textId="77777777" w:rsidR="00DF3509" w:rsidRPr="001F545D" w:rsidRDefault="00DF3509">
            <w:pPr>
              <w:pStyle w:val="TableParagraph"/>
              <w:kinsoku w:val="0"/>
              <w:overflowPunct w:val="0"/>
              <w:spacing w:line="188" w:lineRule="exact"/>
              <w:rPr>
                <w:rFonts w:eastAsia="Times New Roman"/>
                <w:spacing w:val="-4"/>
                <w:sz w:val="18"/>
                <w:szCs w:val="18"/>
              </w:rPr>
            </w:pPr>
            <w:r>
              <w:rPr>
                <w:sz w:val="18"/>
              </w:rPr>
              <w:t>1920–1980</w:t>
            </w:r>
          </w:p>
        </w:tc>
        <w:tc>
          <w:tcPr>
            <w:tcW w:w="1620" w:type="dxa"/>
            <w:tcBorders>
              <w:top w:val="single" w:sz="4" w:space="0" w:color="000000"/>
              <w:left w:val="single" w:sz="4" w:space="0" w:color="000000"/>
              <w:bottom w:val="single" w:sz="4" w:space="0" w:color="000000"/>
              <w:right w:val="single" w:sz="4" w:space="0" w:color="000000"/>
            </w:tcBorders>
          </w:tcPr>
          <w:p w14:paraId="3F19781D" w14:textId="77777777" w:rsidR="00DF3509" w:rsidRPr="001F545D" w:rsidRDefault="00DF3509">
            <w:pPr>
              <w:pStyle w:val="TableParagraph"/>
              <w:kinsoku w:val="0"/>
              <w:overflowPunct w:val="0"/>
              <w:spacing w:line="188" w:lineRule="exact"/>
              <w:rPr>
                <w:rFonts w:eastAsia="Times New Roman"/>
                <w:spacing w:val="-10"/>
                <w:sz w:val="18"/>
                <w:szCs w:val="18"/>
              </w:rPr>
            </w:pPr>
            <w:r>
              <w:rPr>
                <w:sz w:val="18"/>
              </w:rPr>
              <w:t>Band 1</w:t>
            </w:r>
          </w:p>
        </w:tc>
        <w:tc>
          <w:tcPr>
            <w:tcW w:w="5216" w:type="dxa"/>
            <w:tcBorders>
              <w:top w:val="single" w:sz="4" w:space="0" w:color="000000"/>
              <w:left w:val="single" w:sz="4" w:space="0" w:color="000000"/>
              <w:bottom w:val="single" w:sz="4" w:space="0" w:color="000000"/>
              <w:right w:val="single" w:sz="4" w:space="0" w:color="000000"/>
            </w:tcBorders>
          </w:tcPr>
          <w:p w14:paraId="4F21B41F"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23,9 dBm (245 mW)</w:t>
            </w:r>
          </w:p>
        </w:tc>
      </w:tr>
      <w:tr w:rsidR="00DF3509" w:rsidRPr="001F545D" w14:paraId="5EDF30AA"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57B478B9"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2300–2400</w:t>
            </w:r>
          </w:p>
        </w:tc>
        <w:tc>
          <w:tcPr>
            <w:tcW w:w="1620" w:type="dxa"/>
            <w:tcBorders>
              <w:top w:val="single" w:sz="4" w:space="0" w:color="000000"/>
              <w:left w:val="single" w:sz="4" w:space="0" w:color="000000"/>
              <w:bottom w:val="single" w:sz="4" w:space="0" w:color="000000"/>
              <w:right w:val="single" w:sz="4" w:space="0" w:color="000000"/>
            </w:tcBorders>
          </w:tcPr>
          <w:p w14:paraId="41882341"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 40</w:t>
            </w:r>
          </w:p>
        </w:tc>
        <w:tc>
          <w:tcPr>
            <w:tcW w:w="5216" w:type="dxa"/>
            <w:tcBorders>
              <w:top w:val="single" w:sz="4" w:space="0" w:color="000000"/>
              <w:left w:val="single" w:sz="4" w:space="0" w:color="000000"/>
              <w:bottom w:val="single" w:sz="4" w:space="0" w:color="000000"/>
              <w:right w:val="single" w:sz="4" w:space="0" w:color="000000"/>
            </w:tcBorders>
          </w:tcPr>
          <w:p w14:paraId="1EBD4A7C"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21E6EC5B" w14:textId="77777777">
        <w:trPr>
          <w:trHeight w:val="206"/>
        </w:trPr>
        <w:tc>
          <w:tcPr>
            <w:tcW w:w="2516" w:type="dxa"/>
            <w:tcBorders>
              <w:top w:val="single" w:sz="4" w:space="0" w:color="000000"/>
              <w:left w:val="single" w:sz="4" w:space="0" w:color="000000"/>
              <w:bottom w:val="single" w:sz="4" w:space="0" w:color="000000"/>
              <w:right w:val="single" w:sz="4" w:space="0" w:color="000000"/>
            </w:tcBorders>
          </w:tcPr>
          <w:p w14:paraId="335ADDBF"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2496–2690</w:t>
            </w:r>
          </w:p>
        </w:tc>
        <w:tc>
          <w:tcPr>
            <w:tcW w:w="1620" w:type="dxa"/>
            <w:tcBorders>
              <w:top w:val="single" w:sz="4" w:space="0" w:color="000000"/>
              <w:left w:val="single" w:sz="4" w:space="0" w:color="000000"/>
              <w:bottom w:val="single" w:sz="4" w:space="0" w:color="000000"/>
              <w:right w:val="single" w:sz="4" w:space="0" w:color="000000"/>
            </w:tcBorders>
          </w:tcPr>
          <w:p w14:paraId="3FF9C91F"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 41</w:t>
            </w:r>
          </w:p>
        </w:tc>
        <w:tc>
          <w:tcPr>
            <w:tcW w:w="5216" w:type="dxa"/>
            <w:tcBorders>
              <w:top w:val="single" w:sz="4" w:space="0" w:color="000000"/>
              <w:left w:val="single" w:sz="4" w:space="0" w:color="000000"/>
              <w:bottom w:val="single" w:sz="4" w:space="0" w:color="000000"/>
              <w:right w:val="single" w:sz="4" w:space="0" w:color="000000"/>
            </w:tcBorders>
          </w:tcPr>
          <w:p w14:paraId="6CA570D7"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26,9 dBm (500 mW)</w:t>
            </w:r>
          </w:p>
        </w:tc>
      </w:tr>
      <w:tr w:rsidR="00DF3509" w:rsidRPr="001F545D" w14:paraId="37E97E53"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33062977" w14:textId="77777777" w:rsidR="00DF3509" w:rsidRPr="001F545D" w:rsidRDefault="00DF3509">
            <w:pPr>
              <w:pStyle w:val="TableParagraph"/>
              <w:kinsoku w:val="0"/>
              <w:overflowPunct w:val="0"/>
              <w:spacing w:before="1" w:line="187" w:lineRule="exact"/>
              <w:rPr>
                <w:rFonts w:eastAsia="Times New Roman"/>
                <w:spacing w:val="-4"/>
                <w:sz w:val="18"/>
                <w:szCs w:val="18"/>
              </w:rPr>
            </w:pPr>
            <w:r>
              <w:rPr>
                <w:sz w:val="18"/>
              </w:rPr>
              <w:t>2500–2570</w:t>
            </w:r>
          </w:p>
        </w:tc>
        <w:tc>
          <w:tcPr>
            <w:tcW w:w="1620" w:type="dxa"/>
            <w:tcBorders>
              <w:top w:val="single" w:sz="4" w:space="0" w:color="000000"/>
              <w:left w:val="single" w:sz="4" w:space="0" w:color="000000"/>
              <w:bottom w:val="single" w:sz="4" w:space="0" w:color="000000"/>
              <w:right w:val="single" w:sz="4" w:space="0" w:color="000000"/>
            </w:tcBorders>
          </w:tcPr>
          <w:p w14:paraId="0E717BDF" w14:textId="77777777" w:rsidR="00DF3509" w:rsidRPr="001F545D" w:rsidRDefault="00DF3509">
            <w:pPr>
              <w:pStyle w:val="TableParagraph"/>
              <w:kinsoku w:val="0"/>
              <w:overflowPunct w:val="0"/>
              <w:spacing w:before="1" w:line="187" w:lineRule="exact"/>
              <w:rPr>
                <w:rFonts w:eastAsia="Times New Roman"/>
                <w:spacing w:val="-10"/>
                <w:sz w:val="18"/>
                <w:szCs w:val="18"/>
              </w:rPr>
            </w:pPr>
            <w:r>
              <w:rPr>
                <w:sz w:val="18"/>
              </w:rPr>
              <w:t>Band 7</w:t>
            </w:r>
          </w:p>
        </w:tc>
        <w:tc>
          <w:tcPr>
            <w:tcW w:w="5216" w:type="dxa"/>
            <w:tcBorders>
              <w:top w:val="single" w:sz="4" w:space="0" w:color="000000"/>
              <w:left w:val="single" w:sz="4" w:space="0" w:color="000000"/>
              <w:bottom w:val="single" w:sz="4" w:space="0" w:color="000000"/>
              <w:right w:val="single" w:sz="4" w:space="0" w:color="000000"/>
            </w:tcBorders>
          </w:tcPr>
          <w:p w14:paraId="32A9D1FC"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23,9 dBm (245 mW)</w:t>
            </w:r>
          </w:p>
        </w:tc>
      </w:tr>
      <w:tr w:rsidR="00DF3509" w:rsidRPr="001F545D" w14:paraId="5764AC30" w14:textId="77777777">
        <w:trPr>
          <w:trHeight w:val="205"/>
        </w:trPr>
        <w:tc>
          <w:tcPr>
            <w:tcW w:w="2516" w:type="dxa"/>
            <w:tcBorders>
              <w:top w:val="single" w:sz="4" w:space="0" w:color="000000"/>
              <w:left w:val="single" w:sz="4" w:space="0" w:color="000000"/>
              <w:bottom w:val="single" w:sz="4" w:space="0" w:color="000000"/>
              <w:right w:val="single" w:sz="4" w:space="0" w:color="000000"/>
            </w:tcBorders>
          </w:tcPr>
          <w:p w14:paraId="139FFE76" w14:textId="77777777" w:rsidR="00DF3509" w:rsidRPr="001F545D" w:rsidRDefault="00DF3509">
            <w:pPr>
              <w:pStyle w:val="TableParagraph"/>
              <w:kinsoku w:val="0"/>
              <w:overflowPunct w:val="0"/>
              <w:spacing w:line="186" w:lineRule="exact"/>
              <w:rPr>
                <w:rFonts w:eastAsia="Times New Roman"/>
                <w:spacing w:val="-4"/>
                <w:sz w:val="18"/>
                <w:szCs w:val="18"/>
              </w:rPr>
            </w:pPr>
            <w:r>
              <w:rPr>
                <w:sz w:val="18"/>
              </w:rPr>
              <w:t>2570–2620</w:t>
            </w:r>
          </w:p>
        </w:tc>
        <w:tc>
          <w:tcPr>
            <w:tcW w:w="1620" w:type="dxa"/>
            <w:tcBorders>
              <w:top w:val="single" w:sz="4" w:space="0" w:color="000000"/>
              <w:left w:val="single" w:sz="4" w:space="0" w:color="000000"/>
              <w:bottom w:val="single" w:sz="4" w:space="0" w:color="000000"/>
              <w:right w:val="single" w:sz="4" w:space="0" w:color="000000"/>
            </w:tcBorders>
          </w:tcPr>
          <w:p w14:paraId="7BF1B334" w14:textId="77777777" w:rsidR="00DF3509" w:rsidRPr="001F545D" w:rsidRDefault="00DF3509">
            <w:pPr>
              <w:pStyle w:val="TableParagraph"/>
              <w:kinsoku w:val="0"/>
              <w:overflowPunct w:val="0"/>
              <w:spacing w:line="186" w:lineRule="exact"/>
              <w:rPr>
                <w:rFonts w:eastAsia="Times New Roman"/>
                <w:spacing w:val="-5"/>
                <w:sz w:val="18"/>
                <w:szCs w:val="18"/>
              </w:rPr>
            </w:pPr>
            <w:r>
              <w:rPr>
                <w:sz w:val="18"/>
              </w:rPr>
              <w:t>Band 38</w:t>
            </w:r>
          </w:p>
        </w:tc>
        <w:tc>
          <w:tcPr>
            <w:tcW w:w="5216" w:type="dxa"/>
            <w:tcBorders>
              <w:top w:val="single" w:sz="4" w:space="0" w:color="000000"/>
              <w:left w:val="single" w:sz="4" w:space="0" w:color="000000"/>
              <w:bottom w:val="single" w:sz="4" w:space="0" w:color="000000"/>
              <w:right w:val="single" w:sz="4" w:space="0" w:color="000000"/>
            </w:tcBorders>
          </w:tcPr>
          <w:p w14:paraId="0274D6E4"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23,9 dBm (245 mW)</w:t>
            </w:r>
          </w:p>
        </w:tc>
      </w:tr>
      <w:tr w:rsidR="00DF3509" w:rsidRPr="001F545D" w14:paraId="30BEA30A" w14:textId="77777777">
        <w:trPr>
          <w:trHeight w:val="208"/>
        </w:trPr>
        <w:tc>
          <w:tcPr>
            <w:tcW w:w="2516" w:type="dxa"/>
            <w:tcBorders>
              <w:top w:val="single" w:sz="4" w:space="0" w:color="000000"/>
              <w:left w:val="single" w:sz="4" w:space="0" w:color="000000"/>
              <w:bottom w:val="single" w:sz="4" w:space="0" w:color="000000"/>
              <w:right w:val="single" w:sz="4" w:space="0" w:color="000000"/>
            </w:tcBorders>
          </w:tcPr>
          <w:p w14:paraId="4C2E9298" w14:textId="77777777" w:rsidR="00DF3509" w:rsidRPr="001F545D" w:rsidRDefault="00DF3509">
            <w:pPr>
              <w:pStyle w:val="TableParagraph"/>
              <w:kinsoku w:val="0"/>
              <w:overflowPunct w:val="0"/>
              <w:spacing w:line="188" w:lineRule="exact"/>
              <w:rPr>
                <w:rFonts w:eastAsia="Times New Roman"/>
                <w:spacing w:val="-4"/>
                <w:sz w:val="18"/>
                <w:szCs w:val="18"/>
              </w:rPr>
            </w:pPr>
            <w:r>
              <w:rPr>
                <w:sz w:val="18"/>
              </w:rPr>
              <w:t>3300–4200</w:t>
            </w:r>
          </w:p>
        </w:tc>
        <w:tc>
          <w:tcPr>
            <w:tcW w:w="1620" w:type="dxa"/>
            <w:tcBorders>
              <w:top w:val="single" w:sz="4" w:space="0" w:color="000000"/>
              <w:left w:val="single" w:sz="4" w:space="0" w:color="000000"/>
              <w:bottom w:val="single" w:sz="4" w:space="0" w:color="000000"/>
              <w:right w:val="single" w:sz="4" w:space="0" w:color="000000"/>
            </w:tcBorders>
          </w:tcPr>
          <w:p w14:paraId="31BAA3F1" w14:textId="5875DB79" w:rsidR="00DF3509" w:rsidRPr="001F545D" w:rsidRDefault="00DF3509">
            <w:pPr>
              <w:pStyle w:val="TableParagraph"/>
              <w:kinsoku w:val="0"/>
              <w:overflowPunct w:val="0"/>
              <w:spacing w:line="188" w:lineRule="exact"/>
              <w:rPr>
                <w:rFonts w:eastAsia="Times New Roman"/>
                <w:spacing w:val="-5"/>
                <w:sz w:val="18"/>
                <w:szCs w:val="18"/>
              </w:rPr>
            </w:pPr>
            <w:r>
              <w:rPr>
                <w:sz w:val="18"/>
              </w:rPr>
              <w:t>Band 77, 78</w:t>
            </w:r>
          </w:p>
        </w:tc>
        <w:tc>
          <w:tcPr>
            <w:tcW w:w="5216" w:type="dxa"/>
            <w:tcBorders>
              <w:top w:val="single" w:sz="4" w:space="0" w:color="000000"/>
              <w:left w:val="single" w:sz="4" w:space="0" w:color="000000"/>
              <w:bottom w:val="single" w:sz="4" w:space="0" w:color="000000"/>
              <w:right w:val="single" w:sz="4" w:space="0" w:color="000000"/>
            </w:tcBorders>
          </w:tcPr>
          <w:p w14:paraId="60301C68"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26,9 dBm (500 mW)</w:t>
            </w:r>
          </w:p>
        </w:tc>
      </w:tr>
    </w:tbl>
    <w:p w14:paraId="1C8187A2" w14:textId="77777777" w:rsidR="00DF3509" w:rsidRDefault="00DF3509">
      <w:pPr>
        <w:pStyle w:val="BodyText"/>
        <w:kinsoku w:val="0"/>
        <w:overflowPunct w:val="0"/>
        <w:rPr>
          <w:i/>
          <w:iCs/>
          <w:sz w:val="20"/>
          <w:szCs w:val="20"/>
        </w:rPr>
      </w:pPr>
    </w:p>
    <w:p w14:paraId="303D12E4" w14:textId="77777777" w:rsidR="00DF3509" w:rsidRDefault="00DF3509">
      <w:pPr>
        <w:pStyle w:val="BodyText"/>
        <w:kinsoku w:val="0"/>
        <w:overflowPunct w:val="0"/>
        <w:spacing w:before="4"/>
        <w:rPr>
          <w:i/>
          <w:iCs/>
        </w:rPr>
      </w:pPr>
    </w:p>
    <w:p w14:paraId="320A81C8" w14:textId="77777777" w:rsidR="00DF3509" w:rsidRDefault="00DF3509">
      <w:pPr>
        <w:pStyle w:val="Heading2"/>
        <w:kinsoku w:val="0"/>
        <w:overflowPunct w:val="0"/>
        <w:rPr>
          <w:spacing w:val="-5"/>
        </w:rPr>
      </w:pPr>
      <w:bookmarkStart w:id="24" w:name="_bookmark12"/>
      <w:bookmarkStart w:id="25" w:name="_Toc147502455"/>
      <w:bookmarkEnd w:id="24"/>
      <w:r>
        <w:t>Spezifische Sicherheitsvorkehrungen für EMC</w:t>
      </w:r>
      <w:bookmarkEnd w:id="25"/>
    </w:p>
    <w:p w14:paraId="58219E09" w14:textId="64828E71" w:rsidR="00DF3509" w:rsidRDefault="004C66DC">
      <w:pPr>
        <w:pStyle w:val="BodyText"/>
        <w:kinsoku w:val="0"/>
        <w:overflowPunct w:val="0"/>
        <w:spacing w:before="105" w:line="278" w:lineRule="auto"/>
        <w:ind w:left="840" w:right="873"/>
      </w:pPr>
      <w:r>
        <w:t xml:space="preserve">NETGEAR </w:t>
      </w:r>
      <w:r w:rsidR="00DF3509">
        <w:t>Produkte einschließlich aller WLAN-Geräte, -Module und kleinen Switches sind Geräte der EMV-Klasse B. Ethernet-Switches mit mehr als 8 Anschlüssen sind in der Regel EMV-Geräte der Klasse A.</w:t>
      </w:r>
    </w:p>
    <w:p w14:paraId="1CB8AAF2" w14:textId="77777777" w:rsidR="00DF3509" w:rsidRDefault="00DF3509">
      <w:pPr>
        <w:pStyle w:val="BodyText"/>
        <w:kinsoku w:val="0"/>
        <w:overflowPunct w:val="0"/>
        <w:spacing w:before="10"/>
        <w:rPr>
          <w:sz w:val="16"/>
          <w:szCs w:val="16"/>
        </w:rPr>
      </w:pPr>
    </w:p>
    <w:p w14:paraId="7382BA10" w14:textId="77777777" w:rsidR="00DF3509" w:rsidRDefault="00DF3509">
      <w:pPr>
        <w:pStyle w:val="BodyText"/>
        <w:kinsoku w:val="0"/>
        <w:overflowPunct w:val="0"/>
        <w:spacing w:before="1" w:line="280" w:lineRule="auto"/>
        <w:ind w:left="840" w:right="873"/>
      </w:pPr>
      <w:r>
        <w:t>Warnung: NETGEAR Geräte der Klasse A entsprechen den Anforderungen der Klasse A von EN 55032. Beim Einsatz in Wohnräumen kann dieses Gerät Funkstörungen verursachen. In einem solchen Fall muss der Benutzer möglicherweise angemessene Gegenmaßnahmen ergreifen.</w:t>
      </w:r>
    </w:p>
    <w:p w14:paraId="7928E1D5" w14:textId="77777777" w:rsidR="00DF3509" w:rsidRDefault="00DF3509">
      <w:pPr>
        <w:pStyle w:val="BodyText"/>
        <w:kinsoku w:val="0"/>
        <w:overflowPunct w:val="0"/>
        <w:rPr>
          <w:sz w:val="20"/>
          <w:szCs w:val="20"/>
        </w:rPr>
      </w:pPr>
    </w:p>
    <w:p w14:paraId="306CA97B" w14:textId="77777777" w:rsidR="00DF3509" w:rsidRDefault="00DF3509">
      <w:pPr>
        <w:pStyle w:val="BodyText"/>
        <w:kinsoku w:val="0"/>
        <w:overflowPunct w:val="0"/>
        <w:spacing w:before="2"/>
        <w:rPr>
          <w:sz w:val="21"/>
          <w:szCs w:val="21"/>
        </w:rPr>
      </w:pPr>
    </w:p>
    <w:p w14:paraId="53AEAC53" w14:textId="77777777" w:rsidR="00DF3509" w:rsidRDefault="00DF3509">
      <w:pPr>
        <w:pStyle w:val="Heading1"/>
        <w:kinsoku w:val="0"/>
        <w:overflowPunct w:val="0"/>
        <w:rPr>
          <w:spacing w:val="-2"/>
        </w:rPr>
      </w:pPr>
      <w:bookmarkStart w:id="26" w:name="_bookmark13"/>
      <w:bookmarkStart w:id="27" w:name="_Toc147502456"/>
      <w:bookmarkEnd w:id="26"/>
      <w:r>
        <w:t>Richtlinien der FCC für den Betrieb in den USA</w:t>
      </w:r>
      <w:bookmarkEnd w:id="27"/>
    </w:p>
    <w:p w14:paraId="6F15C16B" w14:textId="52FC04F7" w:rsidR="00DF3509" w:rsidRDefault="0052779B">
      <w:pPr>
        <w:pStyle w:val="BodyText"/>
        <w:kinsoku w:val="0"/>
        <w:overflowPunct w:val="0"/>
        <w:spacing w:before="4"/>
        <w:rPr>
          <w:sz w:val="17"/>
          <w:szCs w:val="17"/>
        </w:rPr>
      </w:pPr>
      <w:r>
        <w:rPr>
          <w:noProof/>
        </w:rPr>
        <mc:AlternateContent>
          <mc:Choice Requires="wps">
            <w:drawing>
              <wp:anchor distT="0" distB="0" distL="114300" distR="114300" simplePos="0" relativeHeight="251652096" behindDoc="0" locked="0" layoutInCell="0" allowOverlap="1" wp14:anchorId="1F4168C2" wp14:editId="49C62EBE">
                <wp:simplePos x="0" y="0"/>
                <wp:positionH relativeFrom="page">
                  <wp:posOffset>940435</wp:posOffset>
                </wp:positionH>
                <wp:positionV relativeFrom="paragraph">
                  <wp:posOffset>13970</wp:posOffset>
                </wp:positionV>
                <wp:extent cx="558800" cy="393700"/>
                <wp:effectExtent l="0" t="0" r="0" b="0"/>
                <wp:wrapNone/>
                <wp:docPr id="19815471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168C2" id="Rectangle 8" o:spid="_x0000_s1029" style="position:absolute;margin-left:74.05pt;margin-top:1.1pt;width:44pt;height: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pk0gEAAI0DAAAOAAAAZHJzL2Uyb0RvYy54bWysU9tu2zAMfR+wfxD0vthp0S0z4hRFiw4D&#10;ugvQ9QNkWbaF2aJGKrGzrx8lx+m6vQ17EShKOjznkNpeT0MvDgbJgivlepVLYZyG2rq2lE/f7t9s&#10;pKCgXK16cKaUR0Pyevf61Xb0hbmADvraoGAQR8XoS9mF4IssI92ZQdEKvHF82AAOKvAW26xGNTL6&#10;0GcXef42GwFrj6ANEWfv5kO5S/hNY3T40jRkguhLydxCWjGtVVyz3VYVLSrfWX2iof6BxaCs46Jn&#10;qDsVlNij/QtqsBqBoAkrDUMGTWO1SRpYzTr/Q81jp7xJWtgc8meb6P/B6s+HR/8VI3XyD6C/k3Bw&#10;2ynXmhtEGDujai63jkZlo6fi/CBuiJ+KavwENbdW7QMkD6YGhwjI6sSUrD6erTZTEJqTV1ebTc4N&#10;0Xx0+f7yHcexgiqWxx4pfDAwiBiUErmTCVwdHijMV5crsZaDe9v3qZu9e5FgzJhJ5CPfOBpUhKma&#10;hK25eKwbMxXUR1aDMM8IzzQHHeBPKUaej1LSj71CI0X/0bEjcZiWAJegWgLlND8tZZBiDm/DPHR7&#10;j7btGHmd1Di4YdcamxQ9szjR5Z4nT07zGYfq93269fyLdr8AAAD//wMAUEsDBBQABgAIAAAAIQC2&#10;Ghta3gAAAAgBAAAPAAAAZHJzL2Rvd25yZXYueG1sTI/LTsMwEEX3SPyDNUjsqNNQRWmIU1U8VJa0&#10;RSrs3HhIIuxxFLtN4OsZVrA8uld3zpSryVlxxiF0nhTMZwkIpNqbjhoFr/unmxxEiJqMtp5QwRcG&#10;WFWXF6UujB9pi+ddbASPUCi0gjbGvpAy1C06HWa+R+Lsww9OR8ahkWbQI487K9MkyaTTHfGFVvd4&#10;32L9uTs5BZu8X789+++xsY/vm8PLYfmwX0alrq+m9R2IiFP8K8OvPqtDxU5HfyIThGVe5HOuKkhT&#10;EJyntxnzUUG2SEFWpfz/QPUDAAD//wMAUEsBAi0AFAAGAAgAAAAhALaDOJL+AAAA4QEAABMAAAAA&#10;AAAAAAAAAAAAAAAAAFtDb250ZW50X1R5cGVzXS54bWxQSwECLQAUAAYACAAAACEAOP0h/9YAAACU&#10;AQAACwAAAAAAAAAAAAAAAAAvAQAAX3JlbHMvLnJlbHNQSwECLQAUAAYACAAAACEApOUaZNIBAACN&#10;AwAADgAAAAAAAAAAAAAAAAAuAgAAZHJzL2Uyb0RvYy54bWxQSwECLQAUAAYACAAAACEAthobWt4A&#10;AAAIAQAADwAAAAAAAAAAAAAAAAAsBAAAZHJzL2Rvd25yZXYueG1sUEsFBgAAAAAEAAQA8wAAADcF&#10;AAAAAA==&#10;" o:allowincell="f" filled="f" stroked="f">
                <v:textbox inset="0,0,0,0">
                  <w:txbxContent>
                    <w:p w14:paraId="33B0A5DB" w14:textId="77777777" w:rsidR="00BE289B" w:rsidRDefault="00BE289B">
                      <w:pPr>
                        <w:widowControl/>
                        <w:autoSpaceDE/>
                        <w:autoSpaceDN/>
                        <w:adjustRightInd/>
                        <w:spacing w:line="620" w:lineRule="atLeast"/>
                        <w:rPr>
                          <w:rFonts w:ascii="Times New Roman" w:hAnsi="Times New Roman" w:cs="Times New Roman"/>
                          <w:sz w:val="24"/>
                          <w:szCs w:val="24"/>
                        </w:rPr>
                      </w:pPr>
                    </w:p>
                    <w:p w14:paraId="1AD77F54" w14:textId="77777777" w:rsidR="00BE289B" w:rsidRDefault="00BE289B">
                      <w:pPr>
                        <w:rPr>
                          <w:rFonts w:ascii="Times New Roman" w:hAnsi="Times New Roman" w:cs="Times New Roman"/>
                          <w:sz w:val="24"/>
                          <w:szCs w:val="24"/>
                        </w:rPr>
                      </w:pPr>
                    </w:p>
                  </w:txbxContent>
                </v:textbox>
                <w10:wrap anchorx="page"/>
              </v:rect>
            </w:pict>
          </mc:Fallback>
        </mc:AlternateContent>
      </w:r>
    </w:p>
    <w:p w14:paraId="30AA1AD6" w14:textId="77777777" w:rsidR="00DF3509" w:rsidRDefault="00DF3509">
      <w:pPr>
        <w:pStyle w:val="Heading2"/>
        <w:kinsoku w:val="0"/>
        <w:overflowPunct w:val="0"/>
        <w:rPr>
          <w:spacing w:val="-2"/>
        </w:rPr>
      </w:pPr>
      <w:bookmarkStart w:id="28" w:name="_bookmark14"/>
      <w:bookmarkStart w:id="29" w:name="_Toc147502457"/>
      <w:bookmarkEnd w:id="28"/>
      <w:r>
        <w:t>FCC-Konformitätserklärung</w:t>
      </w:r>
      <w:bookmarkEnd w:id="29"/>
    </w:p>
    <w:p w14:paraId="08D44C0D" w14:textId="77777777" w:rsidR="00DF3509" w:rsidRDefault="00DF3509">
      <w:pPr>
        <w:pStyle w:val="BodyText"/>
        <w:kinsoku w:val="0"/>
        <w:overflowPunct w:val="0"/>
        <w:spacing w:before="105" w:line="276" w:lineRule="auto"/>
        <w:ind w:left="840" w:right="779"/>
      </w:pPr>
      <w:r>
        <w:lastRenderedPageBreak/>
        <w:t>Wir, NETGEAR, Inc., 350 East Plumeria Drive, Santa Jose, CA 95134 (</w:t>
      </w:r>
      <w:r>
        <w:rPr>
          <w:i/>
          <w:sz w:val="20"/>
        </w:rPr>
        <w:t>www.netgear.de/support)</w:t>
      </w:r>
      <w:r>
        <w:t>, erklären unter alleiniger Verantwortung, dass alle Produkte mit Teil 15, Unterabschnitt B der FCC-Vorschriften CFR47 konform sind. Der Betrieb unterliegt den folgenden Bedingungen:</w:t>
      </w:r>
    </w:p>
    <w:p w14:paraId="7C773D72" w14:textId="77777777" w:rsidR="00DF3509" w:rsidRDefault="00DF3509">
      <w:pPr>
        <w:pStyle w:val="ListParagraph"/>
        <w:numPr>
          <w:ilvl w:val="0"/>
          <w:numId w:val="5"/>
        </w:numPr>
        <w:tabs>
          <w:tab w:val="left" w:pos="1558"/>
        </w:tabs>
        <w:kinsoku w:val="0"/>
        <w:overflowPunct w:val="0"/>
        <w:spacing w:before="79"/>
        <w:ind w:left="1558" w:hanging="358"/>
        <w:rPr>
          <w:spacing w:val="-5"/>
          <w:sz w:val="18"/>
          <w:szCs w:val="18"/>
        </w:rPr>
      </w:pPr>
      <w:r>
        <w:rPr>
          <w:sz w:val="18"/>
        </w:rPr>
        <w:t>Das Gerät darf keine gesundheitsschädlichen Störungen verursachen und</w:t>
      </w:r>
    </w:p>
    <w:p w14:paraId="057D2811" w14:textId="77777777" w:rsidR="00DF3509" w:rsidRDefault="00DF3509">
      <w:pPr>
        <w:pStyle w:val="ListParagraph"/>
        <w:numPr>
          <w:ilvl w:val="0"/>
          <w:numId w:val="5"/>
        </w:numPr>
        <w:tabs>
          <w:tab w:val="left" w:pos="1560"/>
        </w:tabs>
        <w:kinsoku w:val="0"/>
        <w:overflowPunct w:val="0"/>
        <w:spacing w:before="31" w:line="278" w:lineRule="auto"/>
        <w:ind w:right="1510"/>
        <w:rPr>
          <w:spacing w:val="-2"/>
          <w:sz w:val="18"/>
          <w:szCs w:val="18"/>
        </w:rPr>
      </w:pPr>
      <w:r>
        <w:rPr>
          <w:sz w:val="18"/>
        </w:rPr>
        <w:t>Das Gerät muss alle Störungen vertragen, einschließlich Störungen, die unerwünschte Operationen verursachen können.</w:t>
      </w:r>
    </w:p>
    <w:p w14:paraId="2D76CC26" w14:textId="77777777" w:rsidR="00DF3509" w:rsidRDefault="00DF3509">
      <w:pPr>
        <w:pStyle w:val="BodyText"/>
        <w:kinsoku w:val="0"/>
        <w:overflowPunct w:val="0"/>
        <w:spacing w:before="3"/>
        <w:rPr>
          <w:sz w:val="17"/>
          <w:szCs w:val="17"/>
        </w:rPr>
      </w:pPr>
    </w:p>
    <w:p w14:paraId="41829B95" w14:textId="77777777" w:rsidR="00DF3509" w:rsidRDefault="00DF3509">
      <w:pPr>
        <w:pStyle w:val="Heading2"/>
        <w:kinsoku w:val="0"/>
        <w:overflowPunct w:val="0"/>
        <w:rPr>
          <w:spacing w:val="-4"/>
        </w:rPr>
      </w:pPr>
      <w:bookmarkStart w:id="30" w:name="_bookmark15"/>
      <w:bookmarkStart w:id="31" w:name="_Toc147502458"/>
      <w:bookmarkEnd w:id="30"/>
      <w:r>
        <w:t>FCC-Informationen für den Benutzer</w:t>
      </w:r>
      <w:bookmarkEnd w:id="31"/>
    </w:p>
    <w:p w14:paraId="4A976B6F" w14:textId="77777777" w:rsidR="00DF3509" w:rsidRDefault="00DF3509">
      <w:pPr>
        <w:pStyle w:val="BodyText"/>
        <w:kinsoku w:val="0"/>
        <w:overflowPunct w:val="0"/>
        <w:spacing w:before="102" w:line="278" w:lineRule="auto"/>
        <w:ind w:left="840" w:right="873"/>
      </w:pPr>
      <w:r>
        <w:t>Dieses NETGEAR Produkt enthält keine vom Benutzer zu wartenden Komponenten. Jegliche Änderungen oder Modifikationen am Produkt führen zum Erlöschen sämtlicher gesetzlicher Zertifizierungen und Zulassungen.</w:t>
      </w:r>
    </w:p>
    <w:p w14:paraId="2E016607" w14:textId="77777777" w:rsidR="00DF3509" w:rsidRDefault="00DF3509">
      <w:pPr>
        <w:pStyle w:val="BodyText"/>
        <w:kinsoku w:val="0"/>
        <w:overflowPunct w:val="0"/>
        <w:spacing w:before="4"/>
        <w:rPr>
          <w:sz w:val="17"/>
          <w:szCs w:val="17"/>
        </w:rPr>
      </w:pPr>
    </w:p>
    <w:p w14:paraId="06B3F92E" w14:textId="77777777" w:rsidR="00DF3509" w:rsidRDefault="00DF3509">
      <w:pPr>
        <w:pStyle w:val="BodyText"/>
        <w:kinsoku w:val="0"/>
        <w:overflowPunct w:val="0"/>
        <w:ind w:left="840"/>
        <w:rPr>
          <w:spacing w:val="-2"/>
        </w:rPr>
      </w:pPr>
      <w:r>
        <w:t>Die folgende Erklärung gilt für Produkte, bei denen die FCC-Konformitätserklärung nicht auf dem Etikett angegeben werden kann:</w:t>
      </w:r>
    </w:p>
    <w:p w14:paraId="416B1CFF" w14:textId="77777777" w:rsidR="00DF3509" w:rsidRDefault="00DF3509">
      <w:pPr>
        <w:pStyle w:val="BodyText"/>
        <w:kinsoku w:val="0"/>
        <w:overflowPunct w:val="0"/>
        <w:spacing w:before="9"/>
        <w:rPr>
          <w:sz w:val="19"/>
          <w:szCs w:val="19"/>
        </w:rPr>
      </w:pPr>
    </w:p>
    <w:p w14:paraId="454440D2" w14:textId="77777777" w:rsidR="00DF3509" w:rsidRDefault="00DF3509">
      <w:pPr>
        <w:pStyle w:val="BodyText"/>
        <w:kinsoku w:val="0"/>
        <w:overflowPunct w:val="0"/>
        <w:spacing w:after="32"/>
        <w:ind w:left="840"/>
        <w:rPr>
          <w:rFonts w:ascii="Cambria" w:hAnsi="Cambria" w:cs="Cambria"/>
          <w:i/>
          <w:iCs/>
          <w:color w:val="365F91"/>
          <w:spacing w:val="-4"/>
        </w:rPr>
      </w:pPr>
      <w:r>
        <w:rPr>
          <w:rFonts w:ascii="Cambria" w:hAnsi="Cambria"/>
          <w:i/>
          <w:color w:val="365F91"/>
        </w:rPr>
        <w:t>Tabelle 3: Produkte, die zu klein für das FCC-Etikett sind</w:t>
      </w:r>
    </w:p>
    <w:tbl>
      <w:tblPr>
        <w:tblW w:w="0" w:type="auto"/>
        <w:tblInd w:w="1570" w:type="dxa"/>
        <w:tblLayout w:type="fixed"/>
        <w:tblCellMar>
          <w:left w:w="0" w:type="dxa"/>
          <w:right w:w="0" w:type="dxa"/>
        </w:tblCellMar>
        <w:tblLook w:val="0000" w:firstRow="0" w:lastRow="0" w:firstColumn="0" w:lastColumn="0" w:noHBand="0" w:noVBand="0"/>
      </w:tblPr>
      <w:tblGrid>
        <w:gridCol w:w="1615"/>
        <w:gridCol w:w="1260"/>
        <w:gridCol w:w="1259"/>
        <w:gridCol w:w="1259"/>
        <w:gridCol w:w="1259"/>
        <w:gridCol w:w="1260"/>
      </w:tblGrid>
      <w:tr w:rsidR="00DF3509" w:rsidRPr="001F545D" w14:paraId="5FBFF6F4"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66779E7D"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A6100</w:t>
            </w:r>
          </w:p>
        </w:tc>
        <w:tc>
          <w:tcPr>
            <w:tcW w:w="1260" w:type="dxa"/>
            <w:tcBorders>
              <w:top w:val="single" w:sz="4" w:space="0" w:color="000000"/>
              <w:left w:val="single" w:sz="4" w:space="0" w:color="000000"/>
              <w:bottom w:val="single" w:sz="4" w:space="0" w:color="000000"/>
              <w:right w:val="single" w:sz="4" w:space="0" w:color="000000"/>
            </w:tcBorders>
          </w:tcPr>
          <w:p w14:paraId="16081853"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sz w:val="18"/>
              </w:rPr>
              <w:t>A7000</w:t>
            </w:r>
          </w:p>
        </w:tc>
        <w:tc>
          <w:tcPr>
            <w:tcW w:w="1259" w:type="dxa"/>
            <w:tcBorders>
              <w:top w:val="single" w:sz="4" w:space="0" w:color="000000"/>
              <w:left w:val="single" w:sz="4" w:space="0" w:color="000000"/>
              <w:bottom w:val="single" w:sz="4" w:space="0" w:color="000000"/>
              <w:right w:val="single" w:sz="4" w:space="0" w:color="000000"/>
            </w:tcBorders>
          </w:tcPr>
          <w:p w14:paraId="4F99E5BE" w14:textId="77777777" w:rsidR="00DF3509" w:rsidRPr="001F545D" w:rsidRDefault="00DF3509">
            <w:pPr>
              <w:pStyle w:val="TableParagraph"/>
              <w:kinsoku w:val="0"/>
              <w:overflowPunct w:val="0"/>
              <w:spacing w:before="1" w:line="187" w:lineRule="exact"/>
              <w:ind w:left="108"/>
              <w:rPr>
                <w:rFonts w:eastAsia="Times New Roman"/>
                <w:spacing w:val="-2"/>
                <w:sz w:val="18"/>
                <w:szCs w:val="18"/>
              </w:rPr>
            </w:pPr>
            <w:r>
              <w:rPr>
                <w:sz w:val="18"/>
              </w:rPr>
              <w:t>ACC763</w:t>
            </w:r>
          </w:p>
        </w:tc>
        <w:tc>
          <w:tcPr>
            <w:tcW w:w="1259" w:type="dxa"/>
            <w:tcBorders>
              <w:top w:val="single" w:sz="4" w:space="0" w:color="000000"/>
              <w:left w:val="single" w:sz="4" w:space="0" w:color="000000"/>
              <w:bottom w:val="single" w:sz="4" w:space="0" w:color="000000"/>
              <w:right w:val="single" w:sz="4" w:space="0" w:color="000000"/>
            </w:tcBorders>
          </w:tcPr>
          <w:p w14:paraId="5E0F8FB3" w14:textId="77777777" w:rsidR="00DF3509" w:rsidRPr="001F545D" w:rsidRDefault="00DF3509">
            <w:pPr>
              <w:pStyle w:val="TableParagraph"/>
              <w:kinsoku w:val="0"/>
              <w:overflowPunct w:val="0"/>
              <w:spacing w:before="1" w:line="187" w:lineRule="exact"/>
              <w:ind w:left="110"/>
              <w:rPr>
                <w:rFonts w:eastAsia="Times New Roman"/>
                <w:spacing w:val="-2"/>
                <w:sz w:val="18"/>
                <w:szCs w:val="18"/>
              </w:rPr>
            </w:pPr>
            <w:r>
              <w:rPr>
                <w:sz w:val="18"/>
              </w:rPr>
              <w:t>AGM731F</w:t>
            </w:r>
          </w:p>
        </w:tc>
        <w:tc>
          <w:tcPr>
            <w:tcW w:w="1259" w:type="dxa"/>
            <w:tcBorders>
              <w:top w:val="single" w:sz="4" w:space="0" w:color="000000"/>
              <w:left w:val="single" w:sz="4" w:space="0" w:color="000000"/>
              <w:bottom w:val="single" w:sz="4" w:space="0" w:color="000000"/>
              <w:right w:val="single" w:sz="4" w:space="0" w:color="000000"/>
            </w:tcBorders>
          </w:tcPr>
          <w:p w14:paraId="1608B287" w14:textId="77777777" w:rsidR="00DF3509" w:rsidRPr="001F545D" w:rsidRDefault="00DF3509">
            <w:pPr>
              <w:pStyle w:val="TableParagraph"/>
              <w:kinsoku w:val="0"/>
              <w:overflowPunct w:val="0"/>
              <w:spacing w:before="1" w:line="187" w:lineRule="exact"/>
              <w:ind w:left="111"/>
              <w:rPr>
                <w:rFonts w:eastAsia="Times New Roman"/>
                <w:spacing w:val="-2"/>
                <w:sz w:val="18"/>
                <w:szCs w:val="18"/>
              </w:rPr>
            </w:pPr>
            <w:r>
              <w:rPr>
                <w:sz w:val="18"/>
              </w:rPr>
              <w:t>AXM761</w:t>
            </w:r>
          </w:p>
        </w:tc>
        <w:tc>
          <w:tcPr>
            <w:tcW w:w="1260" w:type="dxa"/>
            <w:tcBorders>
              <w:top w:val="single" w:sz="4" w:space="0" w:color="000000"/>
              <w:left w:val="single" w:sz="4" w:space="0" w:color="000000"/>
              <w:bottom w:val="single" w:sz="4" w:space="0" w:color="000000"/>
              <w:right w:val="single" w:sz="4" w:space="0" w:color="000000"/>
            </w:tcBorders>
          </w:tcPr>
          <w:p w14:paraId="66B5991E" w14:textId="77777777" w:rsidR="00DF3509" w:rsidRPr="001F545D" w:rsidRDefault="00DF3509">
            <w:pPr>
              <w:pStyle w:val="TableParagraph"/>
              <w:kinsoku w:val="0"/>
              <w:overflowPunct w:val="0"/>
              <w:spacing w:before="1" w:line="187" w:lineRule="exact"/>
              <w:ind w:left="112"/>
              <w:rPr>
                <w:rFonts w:eastAsia="Times New Roman"/>
                <w:spacing w:val="-2"/>
                <w:sz w:val="18"/>
                <w:szCs w:val="18"/>
              </w:rPr>
            </w:pPr>
            <w:r>
              <w:rPr>
                <w:sz w:val="18"/>
              </w:rPr>
              <w:t>AXM764</w:t>
            </w:r>
          </w:p>
        </w:tc>
      </w:tr>
      <w:tr w:rsidR="00DF3509" w:rsidRPr="001F545D" w14:paraId="23142D75" w14:textId="77777777">
        <w:trPr>
          <w:trHeight w:val="205"/>
        </w:trPr>
        <w:tc>
          <w:tcPr>
            <w:tcW w:w="1615" w:type="dxa"/>
            <w:tcBorders>
              <w:top w:val="single" w:sz="4" w:space="0" w:color="000000"/>
              <w:left w:val="single" w:sz="4" w:space="0" w:color="000000"/>
              <w:bottom w:val="single" w:sz="4" w:space="0" w:color="000000"/>
              <w:right w:val="single" w:sz="4" w:space="0" w:color="000000"/>
            </w:tcBorders>
          </w:tcPr>
          <w:p w14:paraId="6271CD6C"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A6150</w:t>
            </w:r>
          </w:p>
        </w:tc>
        <w:tc>
          <w:tcPr>
            <w:tcW w:w="1260" w:type="dxa"/>
            <w:tcBorders>
              <w:top w:val="single" w:sz="4" w:space="0" w:color="000000"/>
              <w:left w:val="single" w:sz="4" w:space="0" w:color="000000"/>
              <w:bottom w:val="single" w:sz="4" w:space="0" w:color="000000"/>
              <w:right w:val="single" w:sz="4" w:space="0" w:color="000000"/>
            </w:tcBorders>
          </w:tcPr>
          <w:p w14:paraId="42E29FD2" w14:textId="77777777" w:rsidR="00DF3509" w:rsidRPr="001F545D" w:rsidRDefault="008D2723">
            <w:pPr>
              <w:pStyle w:val="TableParagraph"/>
              <w:kinsoku w:val="0"/>
              <w:overflowPunct w:val="0"/>
              <w:spacing w:line="186" w:lineRule="exact"/>
              <w:ind w:left="108"/>
              <w:rPr>
                <w:rFonts w:eastAsia="Times New Roman"/>
                <w:spacing w:val="-2"/>
                <w:sz w:val="18"/>
                <w:szCs w:val="18"/>
              </w:rPr>
            </w:pPr>
            <w:r>
              <w:rPr>
                <w:sz w:val="18"/>
              </w:rPr>
              <w:t>A8000</w:t>
            </w:r>
          </w:p>
        </w:tc>
        <w:tc>
          <w:tcPr>
            <w:tcW w:w="1259" w:type="dxa"/>
            <w:tcBorders>
              <w:top w:val="single" w:sz="4" w:space="0" w:color="000000"/>
              <w:left w:val="single" w:sz="4" w:space="0" w:color="000000"/>
              <w:bottom w:val="single" w:sz="4" w:space="0" w:color="000000"/>
              <w:right w:val="single" w:sz="4" w:space="0" w:color="000000"/>
            </w:tcBorders>
          </w:tcPr>
          <w:p w14:paraId="0B1A113C" w14:textId="77777777" w:rsidR="00DF3509" w:rsidRPr="001F545D" w:rsidRDefault="00DF3509">
            <w:pPr>
              <w:pStyle w:val="TableParagraph"/>
              <w:kinsoku w:val="0"/>
              <w:overflowPunct w:val="0"/>
              <w:spacing w:line="186" w:lineRule="exact"/>
              <w:ind w:left="108"/>
              <w:rPr>
                <w:rFonts w:eastAsia="Times New Roman"/>
                <w:spacing w:val="-2"/>
                <w:sz w:val="18"/>
                <w:szCs w:val="18"/>
              </w:rPr>
            </w:pPr>
            <w:r>
              <w:rPr>
                <w:sz w:val="18"/>
              </w:rPr>
              <w:t>ACM761</w:t>
            </w:r>
          </w:p>
        </w:tc>
        <w:tc>
          <w:tcPr>
            <w:tcW w:w="1259" w:type="dxa"/>
            <w:tcBorders>
              <w:top w:val="single" w:sz="4" w:space="0" w:color="000000"/>
              <w:left w:val="single" w:sz="4" w:space="0" w:color="000000"/>
              <w:bottom w:val="single" w:sz="4" w:space="0" w:color="000000"/>
              <w:right w:val="single" w:sz="4" w:space="0" w:color="000000"/>
            </w:tcBorders>
          </w:tcPr>
          <w:p w14:paraId="0213EB64" w14:textId="77777777" w:rsidR="00DF3509" w:rsidRPr="001F545D" w:rsidRDefault="00DF3509">
            <w:pPr>
              <w:pStyle w:val="TableParagraph"/>
              <w:kinsoku w:val="0"/>
              <w:overflowPunct w:val="0"/>
              <w:spacing w:line="186" w:lineRule="exact"/>
              <w:ind w:left="110"/>
              <w:rPr>
                <w:rFonts w:eastAsia="Times New Roman"/>
                <w:spacing w:val="-2"/>
                <w:sz w:val="18"/>
                <w:szCs w:val="18"/>
              </w:rPr>
            </w:pPr>
            <w:r>
              <w:rPr>
                <w:sz w:val="18"/>
              </w:rPr>
              <w:t>AGM732F</w:t>
            </w:r>
          </w:p>
        </w:tc>
        <w:tc>
          <w:tcPr>
            <w:tcW w:w="1259" w:type="dxa"/>
            <w:tcBorders>
              <w:top w:val="single" w:sz="4" w:space="0" w:color="000000"/>
              <w:left w:val="single" w:sz="4" w:space="0" w:color="000000"/>
              <w:bottom w:val="single" w:sz="4" w:space="0" w:color="000000"/>
              <w:right w:val="single" w:sz="4" w:space="0" w:color="000000"/>
            </w:tcBorders>
          </w:tcPr>
          <w:p w14:paraId="5139FE78" w14:textId="77777777" w:rsidR="00DF3509" w:rsidRPr="001F545D" w:rsidRDefault="00DF3509">
            <w:pPr>
              <w:pStyle w:val="TableParagraph"/>
              <w:kinsoku w:val="0"/>
              <w:overflowPunct w:val="0"/>
              <w:spacing w:line="186" w:lineRule="exact"/>
              <w:ind w:left="111"/>
              <w:rPr>
                <w:rFonts w:eastAsia="Times New Roman"/>
                <w:spacing w:val="-2"/>
                <w:sz w:val="18"/>
                <w:szCs w:val="18"/>
              </w:rPr>
            </w:pPr>
            <w:r>
              <w:rPr>
                <w:sz w:val="18"/>
              </w:rPr>
              <w:t>AXM762</w:t>
            </w:r>
          </w:p>
        </w:tc>
        <w:tc>
          <w:tcPr>
            <w:tcW w:w="1260" w:type="dxa"/>
            <w:tcBorders>
              <w:top w:val="single" w:sz="4" w:space="0" w:color="000000"/>
              <w:left w:val="single" w:sz="4" w:space="0" w:color="000000"/>
              <w:bottom w:val="single" w:sz="4" w:space="0" w:color="000000"/>
              <w:right w:val="single" w:sz="4" w:space="0" w:color="000000"/>
            </w:tcBorders>
          </w:tcPr>
          <w:p w14:paraId="38E422B4" w14:textId="77777777" w:rsidR="00DF3509" w:rsidRPr="001F545D" w:rsidRDefault="0078115C">
            <w:pPr>
              <w:pStyle w:val="TableParagraph"/>
              <w:kinsoku w:val="0"/>
              <w:overflowPunct w:val="0"/>
              <w:spacing w:line="186" w:lineRule="exact"/>
              <w:ind w:left="112"/>
              <w:rPr>
                <w:rFonts w:eastAsia="Times New Roman"/>
                <w:spacing w:val="-2"/>
                <w:sz w:val="18"/>
                <w:szCs w:val="18"/>
              </w:rPr>
            </w:pPr>
            <w:r>
              <w:rPr>
                <w:sz w:val="18"/>
              </w:rPr>
              <w:t>AXM765v2</w:t>
            </w:r>
          </w:p>
        </w:tc>
      </w:tr>
      <w:tr w:rsidR="00DF3509" w:rsidRPr="001F545D" w14:paraId="69886F37" w14:textId="77777777">
        <w:trPr>
          <w:trHeight w:val="208"/>
        </w:trPr>
        <w:tc>
          <w:tcPr>
            <w:tcW w:w="1615" w:type="dxa"/>
            <w:tcBorders>
              <w:top w:val="single" w:sz="4" w:space="0" w:color="000000"/>
              <w:left w:val="single" w:sz="4" w:space="0" w:color="000000"/>
              <w:bottom w:val="single" w:sz="4" w:space="0" w:color="000000"/>
              <w:right w:val="single" w:sz="4" w:space="0" w:color="000000"/>
            </w:tcBorders>
          </w:tcPr>
          <w:p w14:paraId="5820A1B7"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A6210</w:t>
            </w:r>
          </w:p>
        </w:tc>
        <w:tc>
          <w:tcPr>
            <w:tcW w:w="1260" w:type="dxa"/>
            <w:tcBorders>
              <w:top w:val="single" w:sz="4" w:space="0" w:color="000000"/>
              <w:left w:val="single" w:sz="4" w:space="0" w:color="000000"/>
              <w:bottom w:val="single" w:sz="4" w:space="0" w:color="000000"/>
              <w:right w:val="single" w:sz="4" w:space="0" w:color="000000"/>
            </w:tcBorders>
          </w:tcPr>
          <w:p w14:paraId="76E8DCDE"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sz w:val="18"/>
              </w:rPr>
              <w:t>ACC761</w:t>
            </w:r>
          </w:p>
        </w:tc>
        <w:tc>
          <w:tcPr>
            <w:tcW w:w="1259" w:type="dxa"/>
            <w:tcBorders>
              <w:top w:val="single" w:sz="4" w:space="0" w:color="000000"/>
              <w:left w:val="single" w:sz="4" w:space="0" w:color="000000"/>
              <w:bottom w:val="single" w:sz="4" w:space="0" w:color="000000"/>
              <w:right w:val="single" w:sz="4" w:space="0" w:color="000000"/>
            </w:tcBorders>
          </w:tcPr>
          <w:p w14:paraId="5E6E265C" w14:textId="77777777" w:rsidR="00DF3509" w:rsidRPr="001F545D" w:rsidRDefault="00DF3509">
            <w:pPr>
              <w:pStyle w:val="TableParagraph"/>
              <w:kinsoku w:val="0"/>
              <w:overflowPunct w:val="0"/>
              <w:spacing w:line="188" w:lineRule="exact"/>
              <w:ind w:left="108"/>
              <w:rPr>
                <w:rFonts w:eastAsia="Times New Roman"/>
                <w:spacing w:val="-2"/>
                <w:sz w:val="18"/>
                <w:szCs w:val="18"/>
              </w:rPr>
            </w:pPr>
            <w:r>
              <w:rPr>
                <w:sz w:val="18"/>
              </w:rPr>
              <w:t>ACM762</w:t>
            </w:r>
          </w:p>
        </w:tc>
        <w:tc>
          <w:tcPr>
            <w:tcW w:w="1259" w:type="dxa"/>
            <w:tcBorders>
              <w:top w:val="single" w:sz="4" w:space="0" w:color="000000"/>
              <w:left w:val="single" w:sz="4" w:space="0" w:color="000000"/>
              <w:bottom w:val="single" w:sz="4" w:space="0" w:color="000000"/>
              <w:right w:val="single" w:sz="4" w:space="0" w:color="000000"/>
            </w:tcBorders>
          </w:tcPr>
          <w:p w14:paraId="42C27F0C" w14:textId="77777777" w:rsidR="00DF3509" w:rsidRPr="001F545D" w:rsidRDefault="00DF3509">
            <w:pPr>
              <w:pStyle w:val="TableParagraph"/>
              <w:kinsoku w:val="0"/>
              <w:overflowPunct w:val="0"/>
              <w:spacing w:line="188" w:lineRule="exact"/>
              <w:ind w:left="110"/>
              <w:rPr>
                <w:rFonts w:eastAsia="Times New Roman"/>
                <w:spacing w:val="-2"/>
                <w:sz w:val="18"/>
                <w:szCs w:val="18"/>
              </w:rPr>
            </w:pPr>
            <w:r>
              <w:rPr>
                <w:sz w:val="18"/>
              </w:rPr>
              <w:t>AGM734</w:t>
            </w:r>
          </w:p>
        </w:tc>
        <w:tc>
          <w:tcPr>
            <w:tcW w:w="1259" w:type="dxa"/>
            <w:tcBorders>
              <w:top w:val="single" w:sz="4" w:space="0" w:color="000000"/>
              <w:left w:val="single" w:sz="4" w:space="0" w:color="000000"/>
              <w:bottom w:val="single" w:sz="4" w:space="0" w:color="000000"/>
              <w:right w:val="single" w:sz="4" w:space="0" w:color="000000"/>
            </w:tcBorders>
          </w:tcPr>
          <w:p w14:paraId="3A90D137" w14:textId="77777777" w:rsidR="00DF3509" w:rsidRPr="001F545D" w:rsidRDefault="00DF3509">
            <w:pPr>
              <w:pStyle w:val="TableParagraph"/>
              <w:kinsoku w:val="0"/>
              <w:overflowPunct w:val="0"/>
              <w:spacing w:line="188" w:lineRule="exact"/>
              <w:ind w:left="111"/>
              <w:rPr>
                <w:rFonts w:eastAsia="Times New Roman"/>
                <w:spacing w:val="-2"/>
                <w:sz w:val="18"/>
                <w:szCs w:val="18"/>
              </w:rPr>
            </w:pPr>
            <w:r>
              <w:rPr>
                <w:sz w:val="18"/>
              </w:rPr>
              <w:t>AXM763</w:t>
            </w:r>
          </w:p>
        </w:tc>
        <w:tc>
          <w:tcPr>
            <w:tcW w:w="1260" w:type="dxa"/>
            <w:tcBorders>
              <w:top w:val="single" w:sz="4" w:space="0" w:color="000000"/>
              <w:left w:val="single" w:sz="4" w:space="0" w:color="000000"/>
              <w:bottom w:val="single" w:sz="4" w:space="0" w:color="000000"/>
              <w:right w:val="single" w:sz="4" w:space="0" w:color="000000"/>
            </w:tcBorders>
          </w:tcPr>
          <w:p w14:paraId="60B70D5C" w14:textId="77777777" w:rsidR="00DF3509" w:rsidRPr="001F545D" w:rsidRDefault="0078115C" w:rsidP="003608D0">
            <w:pPr>
              <w:pStyle w:val="TableParagraph"/>
              <w:kinsoku w:val="0"/>
              <w:overflowPunct w:val="0"/>
              <w:spacing w:line="186" w:lineRule="exact"/>
              <w:ind w:left="111"/>
              <w:rPr>
                <w:rFonts w:ascii="Times New Roman" w:hAnsi="Times New Roman" w:cs="Times New Roman"/>
                <w:sz w:val="14"/>
                <w:szCs w:val="14"/>
              </w:rPr>
            </w:pPr>
            <w:r>
              <w:rPr>
                <w:sz w:val="18"/>
              </w:rPr>
              <w:t>RBK40</w:t>
            </w:r>
          </w:p>
        </w:tc>
      </w:tr>
    </w:tbl>
    <w:p w14:paraId="321F874B" w14:textId="77777777" w:rsidR="00DF3509" w:rsidRDefault="00DF3509">
      <w:pPr>
        <w:pStyle w:val="BodyText"/>
        <w:kinsoku w:val="0"/>
        <w:overflowPunct w:val="0"/>
        <w:spacing w:before="61" w:line="276" w:lineRule="auto"/>
        <w:ind w:left="840" w:right="1233"/>
        <w:jc w:val="both"/>
      </w:pPr>
      <w:r>
        <w:t>Dieses Gerät ist mit Teil 15 der FCC-Vorschriften konform. Der Betrieb unterliegt den folgenden Bedingungen: (1) Dieses Gerät darf keine schädlichen Störungen verursachen. (2) Dieses Gerät muss alle Störungen vertragen, einschließlich Störungen, die unerwünschte Operationen verursachen können.</w:t>
      </w:r>
    </w:p>
    <w:p w14:paraId="7E961AD0" w14:textId="77777777" w:rsidR="00DF3509" w:rsidRDefault="00DF3509">
      <w:pPr>
        <w:pStyle w:val="BodyText"/>
        <w:kinsoku w:val="0"/>
        <w:overflowPunct w:val="0"/>
        <w:spacing w:before="6"/>
        <w:rPr>
          <w:sz w:val="17"/>
          <w:szCs w:val="17"/>
        </w:rPr>
      </w:pPr>
    </w:p>
    <w:p w14:paraId="5F8FA435" w14:textId="77777777" w:rsidR="00DF3509" w:rsidRDefault="00DF3509">
      <w:pPr>
        <w:pStyle w:val="Heading2"/>
        <w:kinsoku w:val="0"/>
        <w:overflowPunct w:val="0"/>
        <w:rPr>
          <w:spacing w:val="-2"/>
        </w:rPr>
      </w:pPr>
      <w:bookmarkStart w:id="32" w:name="_bookmark16"/>
      <w:bookmarkStart w:id="33" w:name="_Toc147502459"/>
      <w:bookmarkEnd w:id="32"/>
      <w:r>
        <w:t>FCC-Warnungen und -Hinweise für Funkfrequenzen</w:t>
      </w:r>
      <w:bookmarkEnd w:id="33"/>
    </w:p>
    <w:p w14:paraId="249B6ED4" w14:textId="77777777" w:rsidR="00DF3509" w:rsidRDefault="00DF3509">
      <w:pPr>
        <w:pStyle w:val="BodyText"/>
        <w:kinsoku w:val="0"/>
        <w:overflowPunct w:val="0"/>
        <w:spacing w:before="103" w:line="278" w:lineRule="auto"/>
        <w:ind w:left="840" w:right="1173"/>
        <w:jc w:val="both"/>
        <w:rPr>
          <w:spacing w:val="-2"/>
        </w:rPr>
      </w:pPr>
      <w:r>
        <w:t>Produkte für den Markt in den USA können nur auf den Kanälen 1–11 betrieben werden. Die Auswahl anderer Kanäle ist nicht möglich.</w:t>
      </w:r>
    </w:p>
    <w:p w14:paraId="79F7923B" w14:textId="77777777" w:rsidR="00DF3509" w:rsidRDefault="00DF3509">
      <w:pPr>
        <w:pStyle w:val="BodyText"/>
        <w:kinsoku w:val="0"/>
        <w:overflowPunct w:val="0"/>
        <w:spacing w:before="1"/>
        <w:rPr>
          <w:sz w:val="17"/>
          <w:szCs w:val="17"/>
        </w:rPr>
      </w:pPr>
    </w:p>
    <w:p w14:paraId="29B1CBC2" w14:textId="77777777" w:rsidR="00DF3509" w:rsidRDefault="00DF3509">
      <w:pPr>
        <w:pStyle w:val="Heading3"/>
        <w:kinsoku w:val="0"/>
        <w:overflowPunct w:val="0"/>
        <w:jc w:val="both"/>
        <w:rPr>
          <w:spacing w:val="-2"/>
        </w:rPr>
      </w:pPr>
      <w:bookmarkStart w:id="34" w:name="_bookmark17"/>
      <w:bookmarkStart w:id="35" w:name="_Toc147502460"/>
      <w:bookmarkEnd w:id="34"/>
      <w:r>
        <w:t>Ländercodeauswahl für die Verwendung (WLAN-Geräte)</w:t>
      </w:r>
      <w:bookmarkEnd w:id="35"/>
    </w:p>
    <w:p w14:paraId="24E2A1BA" w14:textId="77777777" w:rsidR="00DF3509" w:rsidRDefault="00DF3509">
      <w:pPr>
        <w:pStyle w:val="BodyText"/>
        <w:kinsoku w:val="0"/>
        <w:overflowPunct w:val="0"/>
        <w:spacing w:before="91" w:line="278" w:lineRule="auto"/>
        <w:ind w:left="840" w:right="1159"/>
        <w:jc w:val="both"/>
      </w:pPr>
      <w:r>
        <w:t>Die Ländercodeauswahl gilt nur für Nicht-US-Modelle und ist für alle US-Modelle nicht verfügbar. Gemäß den FCC-Vorschriften müssen alle in den USA vertriebenen WLAN-Produkte ausschließlich auf US-Betriebskanäle fest eingestellt sein.</w:t>
      </w:r>
    </w:p>
    <w:p w14:paraId="256324A7" w14:textId="77777777" w:rsidR="00DF3509" w:rsidRDefault="00DF3509">
      <w:pPr>
        <w:pStyle w:val="BodyText"/>
        <w:kinsoku w:val="0"/>
        <w:overflowPunct w:val="0"/>
        <w:spacing w:before="1"/>
        <w:rPr>
          <w:sz w:val="17"/>
          <w:szCs w:val="17"/>
        </w:rPr>
      </w:pPr>
    </w:p>
    <w:p w14:paraId="6781EA77" w14:textId="77777777" w:rsidR="00DF3509" w:rsidRDefault="00DF3509">
      <w:pPr>
        <w:pStyle w:val="BodyText"/>
        <w:kinsoku w:val="0"/>
        <w:overflowPunct w:val="0"/>
        <w:spacing w:line="276" w:lineRule="auto"/>
        <w:ind w:left="840" w:right="873"/>
        <w:rPr>
          <w:color w:val="FF0000"/>
        </w:rPr>
      </w:pPr>
      <w:r>
        <w:t>Dieses NETGEAR Produkt darf nur mit zugelassenen Antennen verwendet werden. Dieses Gerät und die zugehörige(n) Antenne(n) dürfen nicht in der Nähe von oder in Verbindung mit anderen Antennen oder Sendern betrieben werden, ausgenommen in Übereinstimmung mit Produktverfahren für FCC-Multi-Sender</w:t>
      </w:r>
      <w:r>
        <w:rPr>
          <w:color w:val="FF0000"/>
        </w:rPr>
        <w:t>.</w:t>
      </w:r>
    </w:p>
    <w:p w14:paraId="7E0CC239" w14:textId="77777777" w:rsidR="00DF3509" w:rsidRDefault="00DF3509">
      <w:pPr>
        <w:pStyle w:val="BodyText"/>
        <w:kinsoku w:val="0"/>
        <w:overflowPunct w:val="0"/>
        <w:spacing w:before="2"/>
        <w:rPr>
          <w:sz w:val="17"/>
          <w:szCs w:val="17"/>
        </w:rPr>
      </w:pPr>
    </w:p>
    <w:p w14:paraId="4A841398" w14:textId="77777777" w:rsidR="00DF3509" w:rsidRDefault="00DF3509">
      <w:pPr>
        <w:pStyle w:val="BodyText"/>
        <w:kinsoku w:val="0"/>
        <w:overflowPunct w:val="0"/>
        <w:spacing w:before="1" w:line="280" w:lineRule="auto"/>
        <w:ind w:left="840" w:right="873"/>
      </w:pPr>
      <w:r>
        <w:t>Das Gerät und die zugehörige(n) Antenne(n) dürfen nicht in der Nähe von oder in Verbindung mit anderen Antennen oder Sendern betrieben werden, ausgenommen in Übereinstimmung mit FCC-Bestimmungen.</w:t>
      </w:r>
    </w:p>
    <w:p w14:paraId="47F0970B" w14:textId="77777777" w:rsidR="00DF3509" w:rsidRDefault="00DF3509">
      <w:pPr>
        <w:pStyle w:val="BodyText"/>
        <w:kinsoku w:val="0"/>
        <w:overflowPunct w:val="0"/>
        <w:spacing w:before="8"/>
        <w:rPr>
          <w:sz w:val="16"/>
          <w:szCs w:val="16"/>
        </w:rPr>
      </w:pPr>
    </w:p>
    <w:p w14:paraId="73DF5F41" w14:textId="77777777" w:rsidR="00DF3509" w:rsidRDefault="00DF3509">
      <w:pPr>
        <w:pStyle w:val="BodyText"/>
        <w:kinsoku w:val="0"/>
        <w:overflowPunct w:val="0"/>
        <w:spacing w:line="278" w:lineRule="auto"/>
        <w:ind w:left="840" w:right="1060"/>
        <w:jc w:val="both"/>
      </w:pPr>
      <w:r>
        <w:t>FCC-Warnung: Veränderungen oder Modifikationen, die nicht ausdrücklich durch die für die Konformität zuständige Stelle genehmigt sind, könnten die Berechtigung des Benutzers zum Betreiben des Gerätes ungültig machen.</w:t>
      </w:r>
    </w:p>
    <w:p w14:paraId="5B562DC8" w14:textId="77777777" w:rsidR="00DF3509" w:rsidRDefault="00DF3509">
      <w:pPr>
        <w:pStyle w:val="BodyText"/>
        <w:kinsoku w:val="0"/>
        <w:overflowPunct w:val="0"/>
        <w:spacing w:before="1"/>
        <w:rPr>
          <w:sz w:val="17"/>
          <w:szCs w:val="17"/>
        </w:rPr>
      </w:pPr>
    </w:p>
    <w:p w14:paraId="14274486" w14:textId="77777777" w:rsidR="00DF3509" w:rsidRDefault="00DF3509">
      <w:pPr>
        <w:pStyle w:val="Heading3"/>
        <w:kinsoku w:val="0"/>
        <w:overflowPunct w:val="0"/>
        <w:rPr>
          <w:spacing w:val="-2"/>
        </w:rPr>
      </w:pPr>
      <w:bookmarkStart w:id="36" w:name="_bookmark18"/>
      <w:bookmarkStart w:id="37" w:name="_Toc147502461"/>
      <w:bookmarkEnd w:id="36"/>
      <w:r>
        <w:t>5,9- und 6-GHz-WLAN-Geräte</w:t>
      </w:r>
      <w:bookmarkEnd w:id="37"/>
    </w:p>
    <w:p w14:paraId="417C8D9D" w14:textId="77777777" w:rsidR="00DF3509" w:rsidRDefault="00DF3509">
      <w:pPr>
        <w:pStyle w:val="BodyText"/>
        <w:kinsoku w:val="0"/>
        <w:overflowPunct w:val="0"/>
        <w:spacing w:before="91" w:line="276" w:lineRule="auto"/>
        <w:ind w:left="840" w:right="873"/>
        <w:rPr>
          <w:spacing w:val="-2"/>
        </w:rPr>
      </w:pPr>
      <w:r>
        <w:t>Durch FCC-Bestimmungen ist der Betrieb dieses Geräts auf Innenräume beschränkt. Mit diesem Gerät können keine Verbindungen zwischen einzelnen Gebäuden oder Anlagen hergestellt werden. Der Betrieb dieses Geräts auf Ölplattformen, in Autos, Zügen, Booten und Flugzeugen ist verboten, außer in großen Flugzeugen bei einer Flughöhe oberhalb von 10.000 Fuß. Es ist nicht gestattet, Sender im Frequenzbereich 5,915 bis 7,125 GHz zur Steuerung oder Kommunikation mit unbemannten Flugzeugsystemen zu verwenden.</w:t>
      </w:r>
    </w:p>
    <w:p w14:paraId="62519E12" w14:textId="77777777" w:rsidR="00DF3509" w:rsidRDefault="00DF3509">
      <w:pPr>
        <w:pStyle w:val="BodyText"/>
        <w:kinsoku w:val="0"/>
        <w:overflowPunct w:val="0"/>
        <w:spacing w:before="6"/>
        <w:rPr>
          <w:sz w:val="17"/>
          <w:szCs w:val="17"/>
        </w:rPr>
      </w:pPr>
    </w:p>
    <w:p w14:paraId="7029F0CD" w14:textId="77777777" w:rsidR="00DF3509" w:rsidRDefault="00DF3509">
      <w:pPr>
        <w:pStyle w:val="Heading2"/>
        <w:kinsoku w:val="0"/>
        <w:overflowPunct w:val="0"/>
        <w:rPr>
          <w:spacing w:val="-2"/>
        </w:rPr>
      </w:pPr>
      <w:bookmarkStart w:id="38" w:name="_bookmark19"/>
      <w:bookmarkStart w:id="39" w:name="_Toc147502462"/>
      <w:bookmarkEnd w:id="38"/>
      <w:r>
        <w:t>FCC-Erklärung zur HF-Belastung und SAR</w:t>
      </w:r>
      <w:bookmarkEnd w:id="39"/>
    </w:p>
    <w:p w14:paraId="1407E7A1" w14:textId="77777777" w:rsidR="00DF3509" w:rsidRDefault="00DF3509">
      <w:pPr>
        <w:pStyle w:val="Heading3"/>
        <w:kinsoku w:val="0"/>
        <w:overflowPunct w:val="0"/>
        <w:spacing w:before="244" w:line="276" w:lineRule="auto"/>
        <w:ind w:right="873"/>
        <w:rPr>
          <w:spacing w:val="-2"/>
        </w:rPr>
      </w:pPr>
      <w:bookmarkStart w:id="40" w:name="_bookmark20"/>
      <w:bookmarkStart w:id="41" w:name="_Toc147502463"/>
      <w:bookmarkEnd w:id="40"/>
      <w:r>
        <w:t>Die Informationen in diesem Abschnitt gelten für Produkte, die Daten übertragen oder drahtlos kommunizieren – SAR-Erklärung</w:t>
      </w:r>
      <w:bookmarkEnd w:id="41"/>
    </w:p>
    <w:p w14:paraId="0E4DC869" w14:textId="77777777" w:rsidR="00DF3509" w:rsidRDefault="00DF3509">
      <w:pPr>
        <w:pStyle w:val="BodyText"/>
        <w:kinsoku w:val="0"/>
        <w:overflowPunct w:val="0"/>
        <w:spacing w:before="59" w:line="278" w:lineRule="auto"/>
        <w:ind w:left="840" w:right="873"/>
      </w:pPr>
      <w:r>
        <w:t>Die Informationen in diesem Abschnitt gelten für NETGEAR WLAN-Produkte, die für den Betrieb in unmittelbarer Nähe des menschlichen Körpers vorgesehen sind.</w:t>
      </w:r>
    </w:p>
    <w:p w14:paraId="590E0B1B" w14:textId="77777777" w:rsidR="00DF3509" w:rsidRDefault="00DF3509">
      <w:pPr>
        <w:pStyle w:val="BodyText"/>
        <w:kinsoku w:val="0"/>
        <w:overflowPunct w:val="0"/>
        <w:spacing w:before="1"/>
        <w:rPr>
          <w:sz w:val="17"/>
          <w:szCs w:val="17"/>
        </w:rPr>
      </w:pPr>
    </w:p>
    <w:p w14:paraId="5B2C97D8" w14:textId="3D019099" w:rsidR="00DF3509" w:rsidRDefault="00DF3509" w:rsidP="00FE3A82">
      <w:pPr>
        <w:pStyle w:val="BodyText"/>
        <w:kinsoku w:val="0"/>
        <w:overflowPunct w:val="0"/>
        <w:spacing w:line="276" w:lineRule="auto"/>
        <w:ind w:left="840" w:right="779"/>
      </w:pPr>
      <w:r>
        <w:lastRenderedPageBreak/>
        <w:t>NETGEAR Produkte, die für den Betrieb in der Nähe des menschlichen Körpers vorgesehen sind, werden auf die Einhaltung der spezifischen Absorptionsrate (Specific Absorption Rate, SAR) durch das Tragen am Körper getestet. Dieses Produkt erfüllt die geltenden nationalen SAR-Grenzwerte von 1,6 W/kg. Wenn Sie das Produkt mit sich führen oder es am Körper tragen, halten Sie einen Abstand von 10 mm zum Körper ein, damit die Anforderungen hinsichtlich der</w:t>
      </w:r>
      <w:r w:rsidR="00FE3A82">
        <w:t xml:space="preserve"> </w:t>
      </w:r>
      <w:r>
        <w:t>HF-Belastung eingehalten werden. Weitere Informationen zur Überprüfung des Mindestabstands und zum höchsten für dieses Gerät gemessenen SAR-Wert finden Sie im Abschnitt über die Strahlenbelastung unter:</w:t>
      </w:r>
    </w:p>
    <w:p w14:paraId="58CA11F5" w14:textId="77777777" w:rsidR="00DF3509" w:rsidRDefault="00DF3509">
      <w:pPr>
        <w:pStyle w:val="BodyText"/>
        <w:kinsoku w:val="0"/>
        <w:overflowPunct w:val="0"/>
        <w:spacing w:before="4"/>
        <w:rPr>
          <w:sz w:val="17"/>
          <w:szCs w:val="17"/>
        </w:rPr>
      </w:pPr>
    </w:p>
    <w:p w14:paraId="5B1FD1B3" w14:textId="4D5B0C95" w:rsidR="00DF3509" w:rsidRDefault="00000000">
      <w:pPr>
        <w:pStyle w:val="BodyText"/>
        <w:kinsoku w:val="0"/>
        <w:overflowPunct w:val="0"/>
        <w:ind w:left="840"/>
        <w:rPr>
          <w:color w:val="0000FF"/>
          <w:spacing w:val="-2"/>
        </w:rPr>
      </w:pPr>
      <w:hyperlink r:id="rId18" w:history="1">
        <w:r w:rsidR="00DF3509">
          <w:rPr>
            <w:color w:val="0000FF"/>
            <w:u w:val="single"/>
          </w:rPr>
          <w:t>https://www.netgear.com/about/regulatory/</w:t>
        </w:r>
      </w:hyperlink>
    </w:p>
    <w:p w14:paraId="6EBC96DE" w14:textId="77777777" w:rsidR="00DF3509" w:rsidRDefault="00DF3509">
      <w:pPr>
        <w:pStyle w:val="BodyText"/>
        <w:kinsoku w:val="0"/>
        <w:overflowPunct w:val="0"/>
        <w:spacing w:before="6"/>
        <w:rPr>
          <w:sz w:val="11"/>
          <w:szCs w:val="11"/>
        </w:rPr>
      </w:pPr>
    </w:p>
    <w:p w14:paraId="53F4B07E" w14:textId="77777777" w:rsidR="00DF3509" w:rsidRDefault="00DF3509">
      <w:pPr>
        <w:pStyle w:val="BodyText"/>
        <w:kinsoku w:val="0"/>
        <w:overflowPunct w:val="0"/>
        <w:spacing w:before="95" w:line="276" w:lineRule="auto"/>
        <w:ind w:left="840" w:right="873"/>
      </w:pPr>
      <w:r>
        <w:t>NETGEAR USB-Dongle-Transmitter sind für die Verwendung mit gängigen Laptops zugelassen. Zur Einhaltung der FCC-Anforderungen im Hinblick auf die HF-Belastung dürfen NETGEAR USB-Dongle-Transmitter nicht in anderen Geräten oder bestimmten Laptop- und Tablet-Computer-Konfigurationen verwendet werden, bei denen die USB-Anschlüsse am Host-Computer nicht in der Lage sind, die erforderlichen Betriebskonfigurationen für das Gerät und seine Benutzer oder Unbeteiligten bereitzustellen oder sicherzustellen, um die Anforderungen an die HF-Belastung zu erfüllen.</w:t>
      </w:r>
    </w:p>
    <w:p w14:paraId="6D23B6B3" w14:textId="77777777" w:rsidR="00DF3509" w:rsidRDefault="00DF3509">
      <w:pPr>
        <w:pStyle w:val="BodyText"/>
        <w:kinsoku w:val="0"/>
        <w:overflowPunct w:val="0"/>
        <w:spacing w:before="3"/>
        <w:rPr>
          <w:sz w:val="17"/>
          <w:szCs w:val="17"/>
        </w:rPr>
      </w:pPr>
    </w:p>
    <w:p w14:paraId="0E24E492" w14:textId="4512D703" w:rsidR="00DF3509" w:rsidRDefault="00DF3509">
      <w:pPr>
        <w:pStyle w:val="Heading3"/>
        <w:kinsoku w:val="0"/>
        <w:overflowPunct w:val="0"/>
        <w:spacing w:before="1"/>
        <w:rPr>
          <w:spacing w:val="-2"/>
        </w:rPr>
      </w:pPr>
      <w:bookmarkStart w:id="42" w:name="_bookmark21"/>
      <w:bookmarkStart w:id="43" w:name="_Toc147502464"/>
      <w:bookmarkEnd w:id="42"/>
      <w:r>
        <w:t>Erklärung zur Maximal zulässige</w:t>
      </w:r>
      <w:r w:rsidR="004849C8">
        <w:t>n</w:t>
      </w:r>
      <w:r>
        <w:t xml:space="preserve"> Exposition (MPE-Erklärung):</w:t>
      </w:r>
      <w:bookmarkEnd w:id="43"/>
    </w:p>
    <w:p w14:paraId="38616C1D" w14:textId="77777777" w:rsidR="00DF3509" w:rsidRDefault="00DF3509">
      <w:pPr>
        <w:pStyle w:val="BodyText"/>
        <w:kinsoku w:val="0"/>
        <w:overflowPunct w:val="0"/>
        <w:spacing w:before="93" w:line="278" w:lineRule="auto"/>
        <w:ind w:left="840" w:right="779"/>
      </w:pPr>
      <w:r>
        <w:t>Die Informationen in diesem Abschnitt gelten für NETGEAR WLAN-Produkte, die für den Betrieb in 20 Zentimeter Mindestentfernung vom menschlichen Körper vorgesehen sind.</w:t>
      </w:r>
    </w:p>
    <w:p w14:paraId="0C7D5B6C" w14:textId="77777777" w:rsidR="00DF3509" w:rsidRDefault="00DF3509">
      <w:pPr>
        <w:pStyle w:val="BodyText"/>
        <w:kinsoku w:val="0"/>
        <w:overflowPunct w:val="0"/>
        <w:spacing w:before="10"/>
        <w:rPr>
          <w:sz w:val="16"/>
          <w:szCs w:val="16"/>
        </w:rPr>
      </w:pPr>
    </w:p>
    <w:p w14:paraId="4028EB44" w14:textId="77777777" w:rsidR="00DF3509" w:rsidRDefault="00DF3509">
      <w:pPr>
        <w:pStyle w:val="BodyText"/>
        <w:kinsoku w:val="0"/>
        <w:overflowPunct w:val="0"/>
        <w:spacing w:before="1" w:line="278" w:lineRule="auto"/>
        <w:ind w:left="840" w:right="779"/>
      </w:pPr>
      <w:r>
        <w:t>Strahlung von NETGEAR Produkten liegt unter den von der FCC festgelegten Grenzwerten für Hochfrequenzstrahlung in einer unkontrollierten Umgebung. Bei der Installation und Verwendung dieses Geräts sollte ein Abstand von mindestens 35 cm zwischen der Strahlungsquelle und Ihrem Körper eingehalten werden. Informationen zur Überprüfung des Mindestabstands und weitere Einzelheiten zu bestimmten Produkten finden Sie im Abschnitt Funkexposition unter:</w:t>
      </w:r>
    </w:p>
    <w:p w14:paraId="7CD66FE8" w14:textId="77777777" w:rsidR="00DF3509" w:rsidRDefault="00DF3509">
      <w:pPr>
        <w:pStyle w:val="BodyText"/>
        <w:kinsoku w:val="0"/>
        <w:overflowPunct w:val="0"/>
        <w:spacing w:before="9"/>
        <w:rPr>
          <w:sz w:val="16"/>
          <w:szCs w:val="16"/>
        </w:rPr>
      </w:pPr>
    </w:p>
    <w:p w14:paraId="4990202D" w14:textId="17282A78" w:rsidR="00DF3509" w:rsidRDefault="00000000">
      <w:pPr>
        <w:pStyle w:val="BodyText"/>
        <w:kinsoku w:val="0"/>
        <w:overflowPunct w:val="0"/>
        <w:spacing w:before="1"/>
        <w:ind w:left="840"/>
        <w:rPr>
          <w:color w:val="0000FF"/>
          <w:spacing w:val="-2"/>
        </w:rPr>
      </w:pPr>
      <w:hyperlink r:id="rId19" w:history="1">
        <w:r w:rsidR="00DF3509">
          <w:rPr>
            <w:color w:val="0000FF"/>
            <w:u w:val="single"/>
          </w:rPr>
          <w:t>https://www.netgear.com/about/regulatory/</w:t>
        </w:r>
      </w:hyperlink>
    </w:p>
    <w:p w14:paraId="392F32CB" w14:textId="77777777" w:rsidR="00DF3509" w:rsidRDefault="00DF3509">
      <w:pPr>
        <w:pStyle w:val="BodyText"/>
        <w:kinsoku w:val="0"/>
        <w:overflowPunct w:val="0"/>
        <w:spacing w:before="1"/>
        <w:rPr>
          <w:sz w:val="20"/>
          <w:szCs w:val="20"/>
        </w:rPr>
      </w:pPr>
    </w:p>
    <w:p w14:paraId="62BC646B" w14:textId="77777777" w:rsidR="00DF3509" w:rsidRDefault="00DF3509">
      <w:pPr>
        <w:pStyle w:val="Heading2"/>
        <w:kinsoku w:val="0"/>
        <w:overflowPunct w:val="0"/>
        <w:rPr>
          <w:spacing w:val="-5"/>
        </w:rPr>
      </w:pPr>
      <w:bookmarkStart w:id="44" w:name="_bookmark22"/>
      <w:bookmarkStart w:id="45" w:name="_Toc147502465"/>
      <w:bookmarkEnd w:id="44"/>
      <w:r>
        <w:t>Spezifische Sicherheitsvorkehrungen für EMC</w:t>
      </w:r>
      <w:bookmarkEnd w:id="45"/>
    </w:p>
    <w:p w14:paraId="7065526E" w14:textId="6F27941B" w:rsidR="00DF3509" w:rsidRDefault="004849C8">
      <w:pPr>
        <w:pStyle w:val="BodyText"/>
        <w:kinsoku w:val="0"/>
        <w:overflowPunct w:val="0"/>
        <w:spacing w:before="103" w:line="278" w:lineRule="auto"/>
        <w:ind w:left="840" w:right="873"/>
      </w:pPr>
      <w:r>
        <w:t xml:space="preserve">NETGEAR </w:t>
      </w:r>
      <w:r w:rsidR="00DF3509">
        <w:t>Produkte einschließlich aller WLAN-Geräte, -Module und kleinen Switches sind Geräte der EMV-Klasse B. Ethernet-Switches mit mehr als 8 Anschlüssen sind in der Regel EMV-Geräte der Klasse A.</w:t>
      </w:r>
    </w:p>
    <w:p w14:paraId="7A1845EF" w14:textId="77777777" w:rsidR="00DF3509" w:rsidRDefault="00DF3509">
      <w:pPr>
        <w:pStyle w:val="BodyText"/>
        <w:kinsoku w:val="0"/>
        <w:overflowPunct w:val="0"/>
        <w:spacing w:before="1"/>
        <w:rPr>
          <w:sz w:val="17"/>
          <w:szCs w:val="17"/>
        </w:rPr>
      </w:pPr>
    </w:p>
    <w:p w14:paraId="103FEB52" w14:textId="77777777" w:rsidR="00DF3509" w:rsidRDefault="00DF3509">
      <w:pPr>
        <w:pStyle w:val="Heading3"/>
        <w:kinsoku w:val="0"/>
        <w:overflowPunct w:val="0"/>
        <w:rPr>
          <w:spacing w:val="-2"/>
        </w:rPr>
      </w:pPr>
      <w:bookmarkStart w:id="46" w:name="_bookmark23"/>
      <w:bookmarkStart w:id="47" w:name="_Toc147502466"/>
      <w:bookmarkEnd w:id="46"/>
      <w:r>
        <w:t>Produkte der Klasse B</w:t>
      </w:r>
      <w:bookmarkEnd w:id="47"/>
    </w:p>
    <w:p w14:paraId="7F336840" w14:textId="77777777" w:rsidR="00DF3509" w:rsidRDefault="00DF3509">
      <w:pPr>
        <w:pStyle w:val="BodyText"/>
        <w:kinsoku w:val="0"/>
        <w:overflowPunct w:val="0"/>
        <w:spacing w:before="90" w:line="276" w:lineRule="auto"/>
        <w:ind w:left="840" w:right="779"/>
      </w:pPr>
      <w:r>
        <w:t>Das NETGEAR Produkt wurde geprüft, und es wurde festgestellt, dass es die Grenzwerte für Digitalgeräte der Klasse B gemäß Teil 15 der FCC-Vorschriften einhält. Diese Grenzwerte sind für die Gewährleistung eines angemessenen Schutzes gegen schädliche Störungen bei der Installation im Wohnbereich gedacht. Dieses Gerät verwendet Funkwellen und kann diese abstrahlen. Wenn es nicht gemäß den Anleitungen installiert und verwendet wird, kann es zu erheblichen Störungen von Funkübertragungen kommen. Bei keiner Installation können Störungen jedoch völlig ausgeschlossen werden. Wenn dieses Gerät Störungen des Rundfunk- und Fernsehempfangs verursacht, was durch Ein- und Ausschalten des Gerätes festgestellt werden kann, sollte der Benutzer versuchen, die Störung durch eine oder mehrere der folgenden Maßnahmen zu beheben:</w:t>
      </w:r>
    </w:p>
    <w:p w14:paraId="723359AE" w14:textId="77777777" w:rsidR="00DF3509" w:rsidRDefault="00DF3509">
      <w:pPr>
        <w:pStyle w:val="BodyText"/>
        <w:kinsoku w:val="0"/>
        <w:overflowPunct w:val="0"/>
        <w:spacing w:before="6"/>
        <w:rPr>
          <w:sz w:val="17"/>
          <w:szCs w:val="17"/>
        </w:rPr>
      </w:pPr>
    </w:p>
    <w:p w14:paraId="370460EC" w14:textId="77777777" w:rsidR="00DF3509" w:rsidRDefault="00DF3509">
      <w:pPr>
        <w:pStyle w:val="ListParagraph"/>
        <w:numPr>
          <w:ilvl w:val="0"/>
          <w:numId w:val="4"/>
        </w:numPr>
        <w:tabs>
          <w:tab w:val="left" w:pos="1560"/>
        </w:tabs>
        <w:kinsoku w:val="0"/>
        <w:overflowPunct w:val="0"/>
        <w:rPr>
          <w:spacing w:val="-2"/>
          <w:sz w:val="18"/>
          <w:szCs w:val="18"/>
        </w:rPr>
      </w:pPr>
      <w:r>
        <w:rPr>
          <w:sz w:val="18"/>
        </w:rPr>
        <w:t>Platzieren Sie die Empfangsantenne an einer anderen Stelle bzw. richten Sie sie neu aus.</w:t>
      </w:r>
    </w:p>
    <w:p w14:paraId="3E070930" w14:textId="77777777" w:rsidR="00DF3509" w:rsidRDefault="00DF3509">
      <w:pPr>
        <w:pStyle w:val="ListParagraph"/>
        <w:numPr>
          <w:ilvl w:val="0"/>
          <w:numId w:val="4"/>
        </w:numPr>
        <w:tabs>
          <w:tab w:val="left" w:pos="1560"/>
        </w:tabs>
        <w:kinsoku w:val="0"/>
        <w:overflowPunct w:val="0"/>
        <w:spacing w:before="29"/>
        <w:rPr>
          <w:spacing w:val="-2"/>
          <w:sz w:val="18"/>
          <w:szCs w:val="18"/>
        </w:rPr>
      </w:pPr>
      <w:r>
        <w:rPr>
          <w:sz w:val="18"/>
        </w:rPr>
        <w:t>Vergrößern Sie den Abstand zwischen dem Gerät und dem Empfänger.</w:t>
      </w:r>
    </w:p>
    <w:p w14:paraId="2EF84CE8" w14:textId="77777777" w:rsidR="00DF3509" w:rsidRDefault="00DF3509">
      <w:pPr>
        <w:pStyle w:val="ListParagraph"/>
        <w:numPr>
          <w:ilvl w:val="0"/>
          <w:numId w:val="4"/>
        </w:numPr>
        <w:tabs>
          <w:tab w:val="left" w:pos="1560"/>
        </w:tabs>
        <w:kinsoku w:val="0"/>
        <w:overflowPunct w:val="0"/>
        <w:spacing w:before="29" w:line="271" w:lineRule="auto"/>
        <w:ind w:right="1179"/>
        <w:rPr>
          <w:spacing w:val="-2"/>
          <w:sz w:val="18"/>
          <w:szCs w:val="18"/>
        </w:rPr>
      </w:pPr>
      <w:r>
        <w:rPr>
          <w:sz w:val="18"/>
        </w:rPr>
        <w:t>Schließen Sie das Gerät an einen Stromkreis an, den der Empfänger nicht benutzt.</w:t>
      </w:r>
    </w:p>
    <w:p w14:paraId="06AB2B4A" w14:textId="77777777" w:rsidR="00DF3509" w:rsidRDefault="00DF3509">
      <w:pPr>
        <w:pStyle w:val="ListParagraph"/>
        <w:numPr>
          <w:ilvl w:val="0"/>
          <w:numId w:val="4"/>
        </w:numPr>
        <w:tabs>
          <w:tab w:val="left" w:pos="1560"/>
        </w:tabs>
        <w:kinsoku w:val="0"/>
        <w:overflowPunct w:val="0"/>
        <w:spacing w:before="7"/>
        <w:rPr>
          <w:spacing w:val="-2"/>
          <w:sz w:val="18"/>
          <w:szCs w:val="18"/>
        </w:rPr>
      </w:pPr>
      <w:r>
        <w:rPr>
          <w:sz w:val="18"/>
        </w:rPr>
        <w:t>Wenden Sie sich an den Händler oder einen erfahrenen Rundfunk-/TV-Techniker.</w:t>
      </w:r>
    </w:p>
    <w:p w14:paraId="6FA8628A" w14:textId="77777777" w:rsidR="00DF3509" w:rsidRDefault="00DF3509">
      <w:pPr>
        <w:pStyle w:val="BodyText"/>
        <w:kinsoku w:val="0"/>
        <w:overflowPunct w:val="0"/>
        <w:spacing w:before="10"/>
        <w:rPr>
          <w:sz w:val="19"/>
          <w:szCs w:val="19"/>
        </w:rPr>
      </w:pPr>
    </w:p>
    <w:p w14:paraId="29D92BDD" w14:textId="77777777" w:rsidR="00DF3509" w:rsidRDefault="00DF3509">
      <w:pPr>
        <w:pStyle w:val="Heading3"/>
        <w:kinsoku w:val="0"/>
        <w:overflowPunct w:val="0"/>
        <w:rPr>
          <w:spacing w:val="-2"/>
        </w:rPr>
      </w:pPr>
      <w:bookmarkStart w:id="48" w:name="_bookmark24"/>
      <w:bookmarkStart w:id="49" w:name="_Toc147502467"/>
      <w:bookmarkEnd w:id="48"/>
      <w:r>
        <w:t>Produkte der Klasse A</w:t>
      </w:r>
      <w:bookmarkEnd w:id="49"/>
    </w:p>
    <w:p w14:paraId="0B748E23" w14:textId="77777777" w:rsidR="00B86445" w:rsidRDefault="00DF3509">
      <w:pPr>
        <w:pStyle w:val="BodyText"/>
        <w:kinsoku w:val="0"/>
        <w:overflowPunct w:val="0"/>
        <w:spacing w:before="91" w:line="276" w:lineRule="auto"/>
        <w:ind w:left="840" w:right="873"/>
        <w:sectPr w:rsidR="00B86445">
          <w:pgSz w:w="12240" w:h="15840"/>
          <w:pgMar w:top="1360" w:right="680" w:bottom="1140" w:left="600" w:header="0" w:footer="950" w:gutter="0"/>
          <w:cols w:space="720"/>
          <w:noEndnote/>
        </w:sectPr>
      </w:pPr>
      <w:r>
        <w:t>Das NETGEAR Produkt wurde geprüft und es wurde festgestellt, dass es die Grenzwerte für Digitalgeräte der Klasse A gemäß Teil 15 der FCC-Vorschriften einhält. Diese Grenzwerte sollen einen angemessenen Schutz vor schädlichen Störungen bieten, wenn die Geräte im gewerblichen Rahmen betrieben werden. Dieses Gerät erzeugt und benutzt hochfrequente Energien und kann diese abstrahlen. Wenn es nicht in Übereinstimmung mit den Anleitungen installiert und verwendet wird, kann es den Rundfunkempfang erheblich beeinträchtigen. Beim Betrieb dieses Geräts in einer Wohngegend kommt es wahrscheinlich zu schädlichen Störungen. In diesem Fall ist der Benutzer verpflichtet, auf eigene Kosten Abhilfe zu schaffen.</w:t>
      </w:r>
    </w:p>
    <w:p w14:paraId="117D87D2" w14:textId="77777777" w:rsidR="00DF3509" w:rsidRPr="00FD5374" w:rsidRDefault="00DF3509">
      <w:pPr>
        <w:pStyle w:val="Heading1"/>
        <w:kinsoku w:val="0"/>
        <w:overflowPunct w:val="0"/>
        <w:spacing w:line="276" w:lineRule="auto"/>
        <w:ind w:right="873"/>
        <w:rPr>
          <w:lang w:val="en-IN"/>
        </w:rPr>
      </w:pPr>
      <w:bookmarkStart w:id="50" w:name="_bookmark25"/>
      <w:bookmarkStart w:id="51" w:name="_bookmark26"/>
      <w:bookmarkStart w:id="52" w:name="_Toc147502468"/>
      <w:bookmarkEnd w:id="50"/>
      <w:bookmarkEnd w:id="51"/>
      <w:r w:rsidRPr="00FD5374">
        <w:rPr>
          <w:lang w:val="en-IN"/>
        </w:rPr>
        <w:lastRenderedPageBreak/>
        <w:t>Innovation, Science and Economic Development Canada (ISED)-</w:t>
      </w:r>
      <w:proofErr w:type="spellStart"/>
      <w:r w:rsidRPr="00FD5374">
        <w:rPr>
          <w:lang w:val="en-IN"/>
        </w:rPr>
        <w:t>Verordnungen</w:t>
      </w:r>
      <w:bookmarkEnd w:id="52"/>
      <w:proofErr w:type="spellEnd"/>
    </w:p>
    <w:p w14:paraId="17D0321F" w14:textId="77777777" w:rsidR="00DF3509" w:rsidRDefault="00DF3509">
      <w:pPr>
        <w:pStyle w:val="BodyText"/>
        <w:kinsoku w:val="0"/>
        <w:overflowPunct w:val="0"/>
        <w:spacing w:before="61"/>
        <w:ind w:left="840"/>
        <w:rPr>
          <w:spacing w:val="-2"/>
        </w:rPr>
      </w:pPr>
      <w:r>
        <w:t>Die Informationen in diesem Abschnitt gelten für Produkte, die mit einem der folgenden Hinweise versehen sind:</w:t>
      </w:r>
    </w:p>
    <w:p w14:paraId="291F96E5" w14:textId="77777777" w:rsidR="00DF3509" w:rsidRDefault="00DF3509">
      <w:pPr>
        <w:pStyle w:val="BodyText"/>
        <w:kinsoku w:val="0"/>
        <w:overflowPunct w:val="0"/>
        <w:rPr>
          <w:sz w:val="20"/>
          <w:szCs w:val="20"/>
        </w:rPr>
      </w:pPr>
    </w:p>
    <w:p w14:paraId="3BEC9B8B" w14:textId="77777777" w:rsidR="00DF3509" w:rsidRPr="00FD5374" w:rsidRDefault="00DF3509">
      <w:pPr>
        <w:pStyle w:val="BodyText"/>
        <w:kinsoku w:val="0"/>
        <w:overflowPunct w:val="0"/>
        <w:spacing w:line="415" w:lineRule="auto"/>
        <w:ind w:left="1560" w:right="6522"/>
        <w:rPr>
          <w:spacing w:val="-2"/>
          <w:lang w:val="en-IN"/>
        </w:rPr>
      </w:pPr>
      <w:r w:rsidRPr="00FD5374">
        <w:rPr>
          <w:lang w:val="en-IN"/>
        </w:rPr>
        <w:t>CAN ICES-003(B)/NMB-003(B) CAN ICES-003(A)/NMB-003(A)</w:t>
      </w:r>
    </w:p>
    <w:p w14:paraId="7F1800DA" w14:textId="77777777" w:rsidR="00DF3509" w:rsidRDefault="00DF3509">
      <w:pPr>
        <w:pStyle w:val="BodyText"/>
        <w:kinsoku w:val="0"/>
        <w:overflowPunct w:val="0"/>
        <w:spacing w:line="278" w:lineRule="auto"/>
        <w:ind w:left="1560" w:right="873"/>
      </w:pPr>
      <w:r>
        <w:t>Dieses digitale Gerät überschreitet nicht die Grenzwerte der Klasse B für von digitalen Geräten ausgehende Funkstörungen, wie sie in den Vorschriften zu Funkstörungen des kanadischen Ministeriums für Kommunikation festgelegt sind.</w:t>
      </w:r>
    </w:p>
    <w:p w14:paraId="56E5B7D6" w14:textId="77777777" w:rsidR="00DF3509" w:rsidRDefault="00DF3509">
      <w:pPr>
        <w:pStyle w:val="BodyText"/>
        <w:kinsoku w:val="0"/>
        <w:overflowPunct w:val="0"/>
        <w:rPr>
          <w:sz w:val="17"/>
          <w:szCs w:val="17"/>
        </w:rPr>
      </w:pPr>
    </w:p>
    <w:p w14:paraId="45CA6455" w14:textId="77777777" w:rsidR="00DF3509" w:rsidRDefault="00DF3509">
      <w:pPr>
        <w:pStyle w:val="BodyText"/>
        <w:kinsoku w:val="0"/>
        <w:overflowPunct w:val="0"/>
        <w:spacing w:before="1" w:line="276" w:lineRule="auto"/>
        <w:ind w:left="840" w:right="674"/>
      </w:pPr>
      <w:r>
        <w:t>Alle NETGEAR Produkte entsprechen dem/den ISED RSS-Standard(s) für die Lizenzbefreiung. Der Betrieb unterliegt den folgenden Bedingungen: (1) Diese NETGEAR Produkte dürfen keine schädlichen Störungen verursachen. (2) NETGEAR Produkte müssen alle Störungen vertragen, einschließlich Störungen, die unerwünschte Operationen verursachen können.</w:t>
      </w:r>
    </w:p>
    <w:p w14:paraId="0077F7AF" w14:textId="77777777" w:rsidR="00DF3509" w:rsidRDefault="00DF3509">
      <w:pPr>
        <w:pStyle w:val="BodyText"/>
        <w:kinsoku w:val="0"/>
        <w:overflowPunct w:val="0"/>
        <w:spacing w:before="6"/>
        <w:rPr>
          <w:sz w:val="17"/>
          <w:szCs w:val="17"/>
        </w:rPr>
      </w:pPr>
    </w:p>
    <w:p w14:paraId="1565B025" w14:textId="77777777" w:rsidR="00DF3509" w:rsidRDefault="00DF3509">
      <w:pPr>
        <w:pStyle w:val="Heading2"/>
        <w:kinsoku w:val="0"/>
        <w:overflowPunct w:val="0"/>
        <w:rPr>
          <w:spacing w:val="-2"/>
        </w:rPr>
      </w:pPr>
      <w:bookmarkStart w:id="53" w:name="_bookmark27"/>
      <w:bookmarkStart w:id="54" w:name="_Toc147502469"/>
      <w:bookmarkEnd w:id="53"/>
      <w:r>
        <w:t>Warnungen und Hinweise für Funkfrequenzen</w:t>
      </w:r>
      <w:bookmarkEnd w:id="54"/>
    </w:p>
    <w:p w14:paraId="79233E6D" w14:textId="6065ACBC" w:rsidR="00DF3509" w:rsidRDefault="00DF3509">
      <w:pPr>
        <w:pStyle w:val="BodyText"/>
        <w:kinsoku w:val="0"/>
        <w:overflowPunct w:val="0"/>
        <w:spacing w:before="103" w:line="278" w:lineRule="auto"/>
        <w:ind w:left="840" w:right="779"/>
      </w:pPr>
      <w:r>
        <w:t>Produkte für den Markt in den USA/in Kanada können nur auf den Kanälen 1</w:t>
      </w:r>
      <w:r w:rsidR="00DA37B9">
        <w:t>–</w:t>
      </w:r>
      <w:r>
        <w:t>11 betrieben werden. Die Auswahl anderer Kanäle ist nicht möglich.</w:t>
      </w:r>
    </w:p>
    <w:p w14:paraId="581ECFC6" w14:textId="77777777" w:rsidR="00DF3509" w:rsidRDefault="00DF3509">
      <w:pPr>
        <w:pStyle w:val="BodyText"/>
        <w:kinsoku w:val="0"/>
        <w:overflowPunct w:val="0"/>
        <w:spacing w:before="10"/>
        <w:rPr>
          <w:sz w:val="16"/>
          <w:szCs w:val="16"/>
        </w:rPr>
      </w:pPr>
    </w:p>
    <w:p w14:paraId="3115BE04" w14:textId="77777777" w:rsidR="00DF3509" w:rsidRDefault="00DF3509">
      <w:pPr>
        <w:pStyle w:val="BodyText"/>
        <w:kinsoku w:val="0"/>
        <w:overflowPunct w:val="0"/>
        <w:spacing w:line="280" w:lineRule="auto"/>
        <w:ind w:left="840" w:right="873"/>
      </w:pPr>
      <w:r>
        <w:t>Das Gerät und die zugehörige(n) Antenne(n) dürfen nicht in der Nähe von oder in Verbindung mit anderen Antennen oder Sendern betrieben werden, ausgenommen in Übereinstimmung mit Produktverfahren für IC-Multi-Sender.</w:t>
      </w:r>
    </w:p>
    <w:p w14:paraId="2A276630" w14:textId="77777777" w:rsidR="00DF3509" w:rsidRDefault="00DF3509">
      <w:pPr>
        <w:pStyle w:val="BodyText"/>
        <w:kinsoku w:val="0"/>
        <w:overflowPunct w:val="0"/>
        <w:spacing w:before="9"/>
        <w:rPr>
          <w:sz w:val="16"/>
          <w:szCs w:val="16"/>
        </w:rPr>
      </w:pPr>
    </w:p>
    <w:p w14:paraId="448804E5" w14:textId="77777777" w:rsidR="005F0F0E" w:rsidRDefault="005F0F0E">
      <w:pPr>
        <w:pStyle w:val="BodyText"/>
        <w:kinsoku w:val="0"/>
        <w:overflowPunct w:val="0"/>
        <w:spacing w:line="278" w:lineRule="auto"/>
        <w:ind w:left="840" w:right="873"/>
      </w:pPr>
      <w:r>
        <w:t xml:space="preserve">Das Gerät darf mit den Frequenzbereichen 5150 bis 5250 MHz und 5850 bis 5895 MHz ausschließlich in geschlossenen Räumen eingesetzt werden. Mit dieser Einschränkung soll das Risiko der Störung mobiler Zweikanal-Satellitensysteme und ITS-Geräte gesenkt werden. </w:t>
      </w:r>
    </w:p>
    <w:p w14:paraId="3130ADA5" w14:textId="77777777" w:rsidR="00DF3509" w:rsidRDefault="00DF3509">
      <w:pPr>
        <w:pStyle w:val="BodyText"/>
        <w:kinsoku w:val="0"/>
        <w:overflowPunct w:val="0"/>
        <w:spacing w:before="1"/>
        <w:rPr>
          <w:sz w:val="17"/>
          <w:szCs w:val="17"/>
        </w:rPr>
      </w:pPr>
    </w:p>
    <w:p w14:paraId="33824E5C" w14:textId="77777777" w:rsidR="00DF3509" w:rsidRDefault="00DF3509">
      <w:pPr>
        <w:pStyle w:val="BodyText"/>
        <w:kinsoku w:val="0"/>
        <w:overflowPunct w:val="0"/>
        <w:spacing w:line="276" w:lineRule="auto"/>
        <w:ind w:left="840" w:right="922"/>
        <w:rPr>
          <w:spacing w:val="-2"/>
        </w:rPr>
      </w:pPr>
      <w:r>
        <w:t>Benutzer sollten außerdem beachten, dass hochleistungsfähige Radarsysteme die primären Benutzer für die Frequenzbereiche 5250–5350 MHz und 5650–5850 MHz sind (d. h. sie haben Priorität) und Störungen verursachen und/oder die LE-LAN-Geräte beschädigen können.</w:t>
      </w:r>
    </w:p>
    <w:p w14:paraId="2904FAD6" w14:textId="77777777" w:rsidR="00DF3509" w:rsidRDefault="00DF3509">
      <w:pPr>
        <w:pStyle w:val="BodyText"/>
        <w:kinsoku w:val="0"/>
        <w:overflowPunct w:val="0"/>
        <w:spacing w:before="5"/>
        <w:rPr>
          <w:sz w:val="17"/>
          <w:szCs w:val="17"/>
        </w:rPr>
      </w:pPr>
    </w:p>
    <w:p w14:paraId="3F17AE4C" w14:textId="77777777" w:rsidR="00DF3509" w:rsidRDefault="00DF3509">
      <w:pPr>
        <w:pStyle w:val="BodyText"/>
        <w:kinsoku w:val="0"/>
        <w:overflowPunct w:val="0"/>
        <w:spacing w:line="276" w:lineRule="auto"/>
        <w:ind w:left="840" w:right="674"/>
      </w:pPr>
      <w:r>
        <w:t>Gemäß den ISED-Vorschriften darf dieser Funksender nur mit einer Antenne eines Typs und einer maximalen (oder geringeren) Verstärkung betrieben werden, die von ISED für den Sender genehmigt wurde. Um mögliche Funkstörungen für andere Nutzer zu verringern, sollten der Antennentyp und seine Verstärkung so gewählt werden, dass die äquivalente isotrop abgestrahlte Leistung (EIRP) nicht mehr als für eine erfolgreiche Kommunikation erforderlich ist. Siehe Tabelle 2</w:t>
      </w:r>
    </w:p>
    <w:p w14:paraId="0A866930" w14:textId="77777777" w:rsidR="00DF3509" w:rsidRDefault="00DF3509">
      <w:pPr>
        <w:pStyle w:val="BodyText"/>
        <w:kinsoku w:val="0"/>
        <w:overflowPunct w:val="0"/>
        <w:spacing w:before="4"/>
        <w:rPr>
          <w:sz w:val="17"/>
          <w:szCs w:val="17"/>
        </w:rPr>
      </w:pPr>
    </w:p>
    <w:p w14:paraId="617E062A" w14:textId="77777777" w:rsidR="00DF3509" w:rsidRDefault="00DF3509">
      <w:pPr>
        <w:pStyle w:val="BodyText"/>
        <w:kinsoku w:val="0"/>
        <w:overflowPunct w:val="0"/>
        <w:spacing w:line="278" w:lineRule="auto"/>
        <w:ind w:left="840" w:right="873"/>
      </w:pPr>
      <w:r>
        <w:t>Die maximal zulässige Antennenverstärkung für Geräte in den Frequenzbereichen 5250–5350 MHz und 5470–5725 MHz muss den EIRP-Grenzwert (Equivalent Isotropically Radiated Power, äquivalente isotrope Strahlungsleistung) einhalten.</w:t>
      </w:r>
    </w:p>
    <w:p w14:paraId="3ABF6E26" w14:textId="77777777" w:rsidR="00DF3509" w:rsidRDefault="00DF3509">
      <w:pPr>
        <w:pStyle w:val="BodyText"/>
        <w:kinsoku w:val="0"/>
        <w:overflowPunct w:val="0"/>
        <w:spacing w:before="11"/>
        <w:rPr>
          <w:sz w:val="16"/>
          <w:szCs w:val="16"/>
        </w:rPr>
      </w:pPr>
    </w:p>
    <w:p w14:paraId="5CF16911" w14:textId="77777777" w:rsidR="00DF3509" w:rsidRDefault="00DF3509">
      <w:pPr>
        <w:pStyle w:val="BodyText"/>
        <w:kinsoku w:val="0"/>
        <w:overflowPunct w:val="0"/>
        <w:spacing w:line="278" w:lineRule="auto"/>
        <w:ind w:left="840" w:right="873"/>
        <w:rPr>
          <w:spacing w:val="-2"/>
        </w:rPr>
      </w:pPr>
      <w:r>
        <w:t>Die maximal zulässige Antennenverstärkung für Geräte im Frequenzbereich 5725–5825 MHz muss die für den Punkt-zu-Punkt- bzw. Punkt-zu-Mehrpunkt-Betrieb festgelegten EIRP-Grenzwerte (Equivalent Isotropically Radiated Power, äquivalente isotrope Strahlungsleistung) einhalten.</w:t>
      </w:r>
    </w:p>
    <w:p w14:paraId="34589308" w14:textId="77777777" w:rsidR="00DF3509" w:rsidRDefault="00DF3509">
      <w:pPr>
        <w:pStyle w:val="BodyText"/>
        <w:kinsoku w:val="0"/>
        <w:overflowPunct w:val="0"/>
        <w:spacing w:before="10"/>
        <w:rPr>
          <w:sz w:val="16"/>
          <w:szCs w:val="16"/>
        </w:rPr>
      </w:pPr>
    </w:p>
    <w:p w14:paraId="450D7C4A" w14:textId="77777777" w:rsidR="00DF3509" w:rsidRDefault="00DF3509">
      <w:pPr>
        <w:pStyle w:val="BodyText"/>
        <w:kinsoku w:val="0"/>
        <w:overflowPunct w:val="0"/>
        <w:spacing w:line="278" w:lineRule="auto"/>
        <w:ind w:left="840" w:right="873"/>
      </w:pPr>
      <w:r>
        <w:t>Das Gerät für das Band 5925-6425 MHz ist ausschließlich für den Innenbereich bestimmt. Der Betrieb dieses Geräts auf Ölplattformen, in Autos, Zügen, Booten und Flugzeugen ist verboten, außer in großen Flugzeugen bei einer Flughöhe oberhalb von 10.000 Fuß.</w:t>
      </w:r>
    </w:p>
    <w:p w14:paraId="3165E951" w14:textId="77777777" w:rsidR="00DF3509" w:rsidRDefault="00DF3509">
      <w:pPr>
        <w:pStyle w:val="BodyText"/>
        <w:kinsoku w:val="0"/>
        <w:overflowPunct w:val="0"/>
        <w:spacing w:line="278" w:lineRule="auto"/>
        <w:ind w:left="840" w:right="873"/>
      </w:pPr>
      <w:r>
        <w:t>Es ist nicht gestattet, Sender im Frequenzbereich 5925–6425 MHz zur Steuerung oder Kommunikation mit unbemannten Flugzeugsystemen zu verwenden.</w:t>
      </w:r>
    </w:p>
    <w:p w14:paraId="2DB49860" w14:textId="77777777" w:rsidR="00DF3509" w:rsidRDefault="00DF3509">
      <w:pPr>
        <w:pStyle w:val="BodyText"/>
        <w:kinsoku w:val="0"/>
        <w:overflowPunct w:val="0"/>
        <w:spacing w:line="278" w:lineRule="auto"/>
        <w:ind w:left="840" w:right="873"/>
        <w:sectPr w:rsidR="00DF3509">
          <w:pgSz w:w="12240" w:h="15840"/>
          <w:pgMar w:top="1360" w:right="680" w:bottom="1140" w:left="600" w:header="0" w:footer="950" w:gutter="0"/>
          <w:cols w:space="720"/>
          <w:noEndnote/>
        </w:sectPr>
      </w:pPr>
    </w:p>
    <w:p w14:paraId="04466D73" w14:textId="77777777" w:rsidR="00DF3509" w:rsidRDefault="00DF3509">
      <w:pPr>
        <w:pStyle w:val="Heading2"/>
        <w:kinsoku w:val="0"/>
        <w:overflowPunct w:val="0"/>
        <w:spacing w:before="61"/>
        <w:rPr>
          <w:spacing w:val="-2"/>
        </w:rPr>
      </w:pPr>
      <w:bookmarkStart w:id="55" w:name="_bookmark28"/>
      <w:bookmarkStart w:id="56" w:name="_Toc147502470"/>
      <w:bookmarkEnd w:id="55"/>
      <w:r>
        <w:lastRenderedPageBreak/>
        <w:t>WICHTER HINWEIS: Erklärung zur Strahlenbelastung:</w:t>
      </w:r>
      <w:bookmarkEnd w:id="56"/>
    </w:p>
    <w:p w14:paraId="1CE18EB3" w14:textId="77777777" w:rsidR="00DF3509" w:rsidRDefault="00DF3509">
      <w:pPr>
        <w:pStyle w:val="Heading3"/>
        <w:kinsoku w:val="0"/>
        <w:overflowPunct w:val="0"/>
        <w:spacing w:before="244"/>
        <w:rPr>
          <w:spacing w:val="-2"/>
        </w:rPr>
      </w:pPr>
      <w:bookmarkStart w:id="57" w:name="_bookmark29"/>
      <w:bookmarkStart w:id="58" w:name="_Toc147502471"/>
      <w:bookmarkEnd w:id="57"/>
      <w:r>
        <w:t>SAR-Warnhinweis:</w:t>
      </w:r>
      <w:bookmarkEnd w:id="58"/>
    </w:p>
    <w:p w14:paraId="142C2C2B" w14:textId="77777777" w:rsidR="00DF3509" w:rsidRDefault="00DF3509">
      <w:pPr>
        <w:pStyle w:val="BodyText"/>
        <w:kinsoku w:val="0"/>
        <w:overflowPunct w:val="0"/>
        <w:spacing w:before="91" w:line="278" w:lineRule="auto"/>
        <w:ind w:left="840" w:right="873"/>
      </w:pPr>
      <w:r>
        <w:t>Die Informationen in diesem Abschnitt gelten für NETGEAR WLAN-Produkte, die für den Betrieb in unmittelbarer Nähe des menschlichen Körpers vorgesehen sind.</w:t>
      </w:r>
    </w:p>
    <w:p w14:paraId="7DA71781" w14:textId="77777777" w:rsidR="00DF3509" w:rsidRDefault="00DF3509">
      <w:pPr>
        <w:pStyle w:val="BodyText"/>
        <w:kinsoku w:val="0"/>
        <w:overflowPunct w:val="0"/>
        <w:spacing w:before="10"/>
        <w:rPr>
          <w:sz w:val="16"/>
          <w:szCs w:val="16"/>
        </w:rPr>
      </w:pPr>
    </w:p>
    <w:p w14:paraId="0E3D9E50" w14:textId="77777777" w:rsidR="00DF3509" w:rsidRDefault="00DF3509">
      <w:pPr>
        <w:pStyle w:val="BodyText"/>
        <w:kinsoku w:val="0"/>
        <w:overflowPunct w:val="0"/>
        <w:spacing w:line="278" w:lineRule="auto"/>
        <w:ind w:left="840" w:right="959"/>
        <w:jc w:val="both"/>
      </w:pPr>
      <w:r>
        <w:t>NETGEAR Produkte entsprechen den SAR-Grenzwerten für Privatpersonen / unkontrollierte Exposition gemäß IC RSS-102 und wurden in Übereinstimmung mit den in IEEE 1528 festgelegten Messmethoden und -verfahren getestet. Halten Sie beim Tragen am Körper einen Sicherheitsabstand von mindestens 10 mm ein.</w:t>
      </w:r>
    </w:p>
    <w:p w14:paraId="6CEF0CA5" w14:textId="77777777" w:rsidR="00DF3509" w:rsidRDefault="00DF3509">
      <w:pPr>
        <w:pStyle w:val="BodyText"/>
        <w:kinsoku w:val="0"/>
        <w:overflowPunct w:val="0"/>
        <w:spacing w:before="10"/>
        <w:rPr>
          <w:sz w:val="16"/>
          <w:szCs w:val="16"/>
        </w:rPr>
      </w:pPr>
    </w:p>
    <w:p w14:paraId="29C50EE1" w14:textId="77777777" w:rsidR="00DF3509" w:rsidRDefault="00DF3509">
      <w:pPr>
        <w:pStyle w:val="BodyText"/>
        <w:kinsoku w:val="0"/>
        <w:overflowPunct w:val="0"/>
        <w:spacing w:line="278" w:lineRule="auto"/>
        <w:ind w:left="840" w:right="873"/>
      </w:pPr>
      <w:r>
        <w:t>NETGEAR Produkte erfüllen den kanadischen Grenzwert für HF-Belastung durch tragbare Geräte in einer unkontrollierten Umgebung und sind bei bestimmungsgemäßem Betrieb, wie in der Bedienungsanleitung beschrieben, sicher. Eine weitere Verringerung der HF-Belastung kann dadurch erreicht werden, dass Sie das Gerät so weit wie möglich von Ihrem Körper entfernt halten oder das Gerät auf eine niedrigere Ausgangsleistung einstellen, sofern eine solche Funktion verfügbar ist.</w:t>
      </w:r>
    </w:p>
    <w:p w14:paraId="07D887D0" w14:textId="77777777" w:rsidR="00DF3509" w:rsidRDefault="00DF3509">
      <w:pPr>
        <w:pStyle w:val="BodyText"/>
        <w:kinsoku w:val="0"/>
        <w:overflowPunct w:val="0"/>
        <w:spacing w:before="10"/>
        <w:rPr>
          <w:sz w:val="16"/>
          <w:szCs w:val="16"/>
        </w:rPr>
      </w:pPr>
    </w:p>
    <w:p w14:paraId="18DEE146" w14:textId="2EFC2E3D" w:rsidR="00DF3509" w:rsidRDefault="00DF3509">
      <w:pPr>
        <w:pStyle w:val="BodyText"/>
        <w:kinsoku w:val="0"/>
        <w:overflowPunct w:val="0"/>
        <w:spacing w:before="1" w:line="508" w:lineRule="auto"/>
        <w:ind w:left="840"/>
        <w:rPr>
          <w:color w:val="0000FF"/>
          <w:spacing w:val="-2"/>
        </w:rPr>
      </w:pPr>
      <w:r>
        <w:t xml:space="preserve">Weitere Informationen und den höchsten SAR-Wert, der für dieses Gerät gemessen wurde, finden Sie im Abschnitt über die Strahlenbelastung unter: </w:t>
      </w:r>
      <w:r w:rsidR="00FE3A82">
        <w:fldChar w:fldCharType="begin"/>
      </w:r>
      <w:r w:rsidR="00FE3A82">
        <w:instrText>HYPERLINK "https://www.netgear.com/about/regulatory/"</w:instrText>
      </w:r>
      <w:r w:rsidR="00FE3A82">
        <w:fldChar w:fldCharType="separate"/>
      </w:r>
      <w:r>
        <w:rPr>
          <w:color w:val="0000FF"/>
          <w:u w:val="single"/>
        </w:rPr>
        <w:t>https://www.netgear.com/de/about/regulatory/</w:t>
      </w:r>
      <w:r w:rsidR="00FE3A82">
        <w:rPr>
          <w:color w:val="0000FF"/>
          <w:u w:val="single"/>
        </w:rPr>
        <w:fldChar w:fldCharType="end"/>
      </w:r>
    </w:p>
    <w:p w14:paraId="39750270" w14:textId="6FEC54F8" w:rsidR="00DF3509" w:rsidRDefault="00DF3509">
      <w:pPr>
        <w:pStyle w:val="Heading3"/>
        <w:kinsoku w:val="0"/>
        <w:overflowPunct w:val="0"/>
        <w:spacing w:line="203" w:lineRule="exact"/>
        <w:rPr>
          <w:spacing w:val="-2"/>
        </w:rPr>
      </w:pPr>
      <w:bookmarkStart w:id="59" w:name="_bookmark30"/>
      <w:bookmarkStart w:id="60" w:name="_Toc147502472"/>
      <w:bookmarkEnd w:id="59"/>
      <w:r>
        <w:t>Erklärung zur Maximal zulässige</w:t>
      </w:r>
      <w:r w:rsidR="00B4633B">
        <w:t>n</w:t>
      </w:r>
      <w:r>
        <w:t xml:space="preserve"> Exposition (MPE-Erklärung):</w:t>
      </w:r>
      <w:bookmarkEnd w:id="60"/>
    </w:p>
    <w:p w14:paraId="58EB4B84" w14:textId="77777777" w:rsidR="00DF3509" w:rsidRDefault="00DF3509">
      <w:pPr>
        <w:pStyle w:val="BodyText"/>
        <w:kinsoku w:val="0"/>
        <w:overflowPunct w:val="0"/>
        <w:spacing w:before="93" w:line="278" w:lineRule="auto"/>
        <w:ind w:left="840" w:right="779"/>
      </w:pPr>
      <w:r>
        <w:t>Die Informationen in diesem Abschnitt gelten für NETGEAR WLAN-Produkte, die für den Betrieb in 20 Zentimeter Mindestentfernung vom menschlichen Körper vorgesehen sind.</w:t>
      </w:r>
    </w:p>
    <w:p w14:paraId="55BCF612" w14:textId="77777777" w:rsidR="00DF3509" w:rsidRDefault="00DF3509">
      <w:pPr>
        <w:pStyle w:val="BodyText"/>
        <w:kinsoku w:val="0"/>
        <w:overflowPunct w:val="0"/>
        <w:spacing w:before="10"/>
        <w:rPr>
          <w:sz w:val="16"/>
          <w:szCs w:val="16"/>
        </w:rPr>
      </w:pPr>
    </w:p>
    <w:p w14:paraId="4D38F8B0" w14:textId="77777777" w:rsidR="00DF3509" w:rsidRDefault="00DF3509">
      <w:pPr>
        <w:pStyle w:val="BodyText"/>
        <w:kinsoku w:val="0"/>
        <w:overflowPunct w:val="0"/>
        <w:spacing w:line="278" w:lineRule="auto"/>
        <w:ind w:left="840" w:right="780"/>
      </w:pPr>
      <w:r>
        <w:t>Strahlung von NETGEAR Produkten liegt unter den von der IC festgelegten Grenzwerten für Hochfrequenzstrahlung in einer unkontrollierten Umgebung. NETGEAR Produkte sollten mit einem Mindestabstand von 70 cm zwischen der Strahlungsquelle und Ihrem Körper angebracht und betrieben werden. Weitere Informationen zur Überprüfung des Mindestabstands und zum höchsten für dieses Gerät gemessenen SAR-Wert finden Sie im Abschnitt über die Strahlenbelastung unter:</w:t>
      </w:r>
    </w:p>
    <w:p w14:paraId="1DA96436" w14:textId="77777777" w:rsidR="00DF3509" w:rsidRDefault="00DF3509">
      <w:pPr>
        <w:pStyle w:val="BodyText"/>
        <w:kinsoku w:val="0"/>
        <w:overflowPunct w:val="0"/>
        <w:spacing w:before="10"/>
        <w:rPr>
          <w:sz w:val="16"/>
          <w:szCs w:val="16"/>
        </w:rPr>
      </w:pPr>
    </w:p>
    <w:p w14:paraId="06763128" w14:textId="16F1157D" w:rsidR="00DF3509" w:rsidRDefault="00000000">
      <w:pPr>
        <w:pStyle w:val="BodyText"/>
        <w:kinsoku w:val="0"/>
        <w:overflowPunct w:val="0"/>
        <w:ind w:left="840"/>
        <w:rPr>
          <w:color w:val="0000FF"/>
          <w:spacing w:val="-2"/>
        </w:rPr>
      </w:pPr>
      <w:hyperlink r:id="rId20" w:history="1">
        <w:r w:rsidR="00DF3509">
          <w:rPr>
            <w:color w:val="0000FF"/>
            <w:u w:val="single"/>
          </w:rPr>
          <w:t>https://www.netgear.com/about/regulatory/</w:t>
        </w:r>
      </w:hyperlink>
    </w:p>
    <w:p w14:paraId="7F486E38" w14:textId="77777777" w:rsidR="00DF3509" w:rsidRDefault="00DF3509">
      <w:pPr>
        <w:pStyle w:val="BodyText"/>
        <w:kinsoku w:val="0"/>
        <w:overflowPunct w:val="0"/>
        <w:spacing w:before="2"/>
        <w:rPr>
          <w:sz w:val="20"/>
          <w:szCs w:val="20"/>
        </w:rPr>
      </w:pPr>
    </w:p>
    <w:p w14:paraId="18B95E5F" w14:textId="77777777" w:rsidR="00DF3509" w:rsidRDefault="00DF3509">
      <w:pPr>
        <w:pStyle w:val="BodyText"/>
        <w:kinsoku w:val="0"/>
        <w:overflowPunct w:val="0"/>
        <w:ind w:left="840"/>
        <w:rPr>
          <w:b/>
          <w:bCs/>
          <w:color w:val="0000FF"/>
          <w:sz w:val="26"/>
          <w:szCs w:val="26"/>
        </w:rPr>
      </w:pPr>
      <w:bookmarkStart w:id="61" w:name="_bookmark31"/>
      <w:bookmarkEnd w:id="61"/>
      <w:r>
        <w:rPr>
          <w:b/>
          <w:color w:val="0000FF"/>
          <w:sz w:val="26"/>
          <w:u w:val="single"/>
        </w:rPr>
        <w:t>Ontario Regulation 522/20</w:t>
      </w:r>
    </w:p>
    <w:p w14:paraId="1A661817" w14:textId="4D19ADB8" w:rsidR="00DF3509" w:rsidRDefault="00DF3509">
      <w:pPr>
        <w:pStyle w:val="BodyText"/>
        <w:kinsoku w:val="0"/>
        <w:overflowPunct w:val="0"/>
        <w:spacing w:before="102" w:line="278" w:lineRule="auto"/>
        <w:ind w:left="840" w:right="873"/>
        <w:rPr>
          <w:color w:val="000000"/>
        </w:rPr>
      </w:pPr>
      <w:r>
        <w:t xml:space="preserve">Die Vorschriften für elektronische und elektrische Geräte (EEE) in Ontario gelten ab dem 1. </w:t>
      </w:r>
      <w:proofErr w:type="spellStart"/>
      <w:r w:rsidRPr="00FD5374">
        <w:rPr>
          <w:lang w:val="en-IN"/>
        </w:rPr>
        <w:t>Januar</w:t>
      </w:r>
      <w:proofErr w:type="spellEnd"/>
      <w:r w:rsidRPr="00FD5374">
        <w:rPr>
          <w:lang w:val="en-IN"/>
        </w:rPr>
        <w:t xml:space="preserve"> 2021 auf der </w:t>
      </w:r>
      <w:proofErr w:type="spellStart"/>
      <w:r w:rsidRPr="00FD5374">
        <w:rPr>
          <w:lang w:val="en-IN"/>
        </w:rPr>
        <w:t>Grundlage</w:t>
      </w:r>
      <w:proofErr w:type="spellEnd"/>
      <w:r w:rsidRPr="00FD5374">
        <w:rPr>
          <w:lang w:val="en-IN"/>
        </w:rPr>
        <w:t xml:space="preserve"> des Resource Recovery and Circular Economy Act. </w:t>
      </w:r>
      <w:r>
        <w:t xml:space="preserve">NETGEAR erfüllt seine Verpflichtungen über EPRA Ontario, die Organisation für Herstellerverantwortung, die von NETGEAR ausgewählt wurde. Besuchen Sie die EPRA-Website unter </w:t>
      </w:r>
      <w:hyperlink r:id="rId21" w:history="1">
        <w:r>
          <w:rPr>
            <w:color w:val="0000FF"/>
            <w:u w:val="single"/>
          </w:rPr>
          <w:t>https://EPRAON.ca</w:t>
        </w:r>
      </w:hyperlink>
      <w:r>
        <w:t>, um Informationen über die Rücknahme von Elektro- und Elektronik-Altgeräten und weitere Informationen über das Programm zu erhalten.</w:t>
      </w:r>
    </w:p>
    <w:p w14:paraId="59B6D8F6" w14:textId="77777777" w:rsidR="00DF3509" w:rsidRDefault="00DF3509">
      <w:pPr>
        <w:pStyle w:val="BodyText"/>
        <w:kinsoku w:val="0"/>
        <w:overflowPunct w:val="0"/>
        <w:rPr>
          <w:sz w:val="20"/>
          <w:szCs w:val="20"/>
        </w:rPr>
      </w:pPr>
    </w:p>
    <w:p w14:paraId="56AE2E75" w14:textId="77777777" w:rsidR="00DF3509" w:rsidRDefault="00DF3509">
      <w:pPr>
        <w:pStyle w:val="BodyText"/>
        <w:kinsoku w:val="0"/>
        <w:overflowPunct w:val="0"/>
        <w:spacing w:before="1"/>
        <w:rPr>
          <w:sz w:val="21"/>
          <w:szCs w:val="21"/>
        </w:rPr>
      </w:pPr>
    </w:p>
    <w:p w14:paraId="73391737" w14:textId="77777777" w:rsidR="00DF3509" w:rsidRPr="00E52FAB" w:rsidRDefault="00DF3509">
      <w:pPr>
        <w:pStyle w:val="Heading1"/>
        <w:kinsoku w:val="0"/>
        <w:overflowPunct w:val="0"/>
        <w:spacing w:line="276" w:lineRule="auto"/>
        <w:rPr>
          <w:vanish/>
        </w:rPr>
      </w:pPr>
      <w:bookmarkStart w:id="62" w:name="_bookmark32"/>
      <w:bookmarkEnd w:id="62"/>
      <w:r>
        <w:rPr>
          <w:vanish/>
        </w:rPr>
        <w:t>Réglementations du ministère Innovation, Sciences et Développement économique Canada (ISDE) – français</w:t>
      </w:r>
    </w:p>
    <w:p w14:paraId="703C9B94" w14:textId="77777777" w:rsidR="00DF3509" w:rsidRPr="00E52FAB" w:rsidRDefault="00DF3509">
      <w:pPr>
        <w:pStyle w:val="BodyText"/>
        <w:kinsoku w:val="0"/>
        <w:overflowPunct w:val="0"/>
        <w:spacing w:before="2"/>
        <w:rPr>
          <w:b/>
          <w:bCs/>
          <w:vanish/>
          <w:sz w:val="24"/>
          <w:szCs w:val="24"/>
        </w:rPr>
      </w:pPr>
    </w:p>
    <w:p w14:paraId="60296DAE" w14:textId="77777777" w:rsidR="00DF3509" w:rsidRPr="00E52FAB" w:rsidRDefault="00DF3509">
      <w:pPr>
        <w:pStyle w:val="BodyText"/>
        <w:kinsoku w:val="0"/>
        <w:overflowPunct w:val="0"/>
        <w:spacing w:line="430" w:lineRule="atLeast"/>
        <w:ind w:left="1560" w:right="1746" w:hanging="720"/>
        <w:rPr>
          <w:vanish/>
        </w:rPr>
      </w:pPr>
      <w:r>
        <w:rPr>
          <w:vanish/>
        </w:rPr>
        <w:t>Les informations de cette rubrique s'appliquent aux produits portant l'une des déclarations suivantes : CAN ICES-003 (B)/NMB-003(B)</w:t>
      </w:r>
    </w:p>
    <w:p w14:paraId="3061A239" w14:textId="77777777" w:rsidR="00DF3509" w:rsidRPr="00E52FAB" w:rsidRDefault="00DF3509">
      <w:pPr>
        <w:pStyle w:val="BodyText"/>
        <w:kinsoku w:val="0"/>
        <w:overflowPunct w:val="0"/>
        <w:spacing w:before="158"/>
        <w:ind w:left="1560"/>
        <w:rPr>
          <w:vanish/>
          <w:spacing w:val="-2"/>
        </w:rPr>
      </w:pPr>
      <w:r>
        <w:rPr>
          <w:vanish/>
        </w:rPr>
        <w:t>CAN ICES-003 (A)/NMB-003(A)</w:t>
      </w:r>
    </w:p>
    <w:p w14:paraId="2C9941C5" w14:textId="77777777" w:rsidR="00DF3509" w:rsidRPr="00E52FAB" w:rsidRDefault="00DF3509">
      <w:pPr>
        <w:pStyle w:val="BodyText"/>
        <w:kinsoku w:val="0"/>
        <w:overflowPunct w:val="0"/>
        <w:spacing w:before="150" w:line="278" w:lineRule="auto"/>
        <w:ind w:left="1560" w:right="779"/>
        <w:rPr>
          <w:vanish/>
        </w:rPr>
      </w:pPr>
      <w:r>
        <w:rPr>
          <w:vanish/>
        </w:rPr>
        <w:t>« Cet appareil numérique respecte les restrictions des émissions radio destinées aux appareils numériques de classe B établies par la réglementation canadienne sur les interférences radio.»</w:t>
      </w:r>
    </w:p>
    <w:p w14:paraId="0E7CECF9" w14:textId="77777777" w:rsidR="00DF3509" w:rsidRPr="00E52FAB" w:rsidRDefault="00DF3509">
      <w:pPr>
        <w:pStyle w:val="BodyText"/>
        <w:kinsoku w:val="0"/>
        <w:overflowPunct w:val="0"/>
        <w:spacing w:before="10"/>
        <w:rPr>
          <w:vanish/>
          <w:sz w:val="16"/>
          <w:szCs w:val="16"/>
        </w:rPr>
      </w:pPr>
    </w:p>
    <w:p w14:paraId="699BCE18" w14:textId="77777777" w:rsidR="00DF3509" w:rsidRPr="00E52FAB" w:rsidRDefault="00DF3509">
      <w:pPr>
        <w:pStyle w:val="BodyText"/>
        <w:kinsoku w:val="0"/>
        <w:overflowPunct w:val="0"/>
        <w:spacing w:line="278" w:lineRule="auto"/>
        <w:ind w:left="840" w:right="779"/>
        <w:rPr>
          <w:vanish/>
        </w:rPr>
      </w:pPr>
      <w:r>
        <w:rPr>
          <w:vanish/>
        </w:rPr>
        <w:t xml:space="preserve">Tous les produits NETGEAR sont conformes aux normes RSS exemptes de licence d'ISDE. Le fonctionnement est soumis aux deux conditions suivantes : (1) les produits NETGEAR ne produisent pas d'interférences nuisibles, et (2) </w:t>
      </w:r>
      <w:r>
        <w:rPr>
          <w:vanish/>
        </w:rPr>
        <w:lastRenderedPageBreak/>
        <w:t>les produits NETGEAR doivent accepter toutes les interférences reçues, notamment celles qui peuvent entraîner un fonctionnement non souhaité.</w:t>
      </w:r>
    </w:p>
    <w:p w14:paraId="193E4D0E" w14:textId="77777777" w:rsidR="00DF3509" w:rsidRPr="00E52FAB" w:rsidRDefault="00DF3509">
      <w:pPr>
        <w:pStyle w:val="BodyText"/>
        <w:kinsoku w:val="0"/>
        <w:overflowPunct w:val="0"/>
        <w:spacing w:line="278" w:lineRule="auto"/>
        <w:ind w:left="840" w:right="779"/>
        <w:rPr>
          <w:vanish/>
        </w:rPr>
        <w:sectPr w:rsidR="00DF3509" w:rsidRPr="00E52FAB">
          <w:pgSz w:w="12240" w:h="15840"/>
          <w:pgMar w:top="1380" w:right="680" w:bottom="1140" w:left="600" w:header="0" w:footer="950" w:gutter="0"/>
          <w:cols w:space="720"/>
          <w:noEndnote/>
        </w:sectPr>
      </w:pPr>
    </w:p>
    <w:p w14:paraId="061EDFDE" w14:textId="77777777" w:rsidR="00DF3509" w:rsidRPr="00E52FAB" w:rsidRDefault="00DF3509">
      <w:pPr>
        <w:pStyle w:val="Heading2"/>
        <w:kinsoku w:val="0"/>
        <w:overflowPunct w:val="0"/>
        <w:spacing w:before="61"/>
        <w:rPr>
          <w:vanish/>
          <w:spacing w:val="-2"/>
        </w:rPr>
      </w:pPr>
      <w:bookmarkStart w:id="63" w:name="_bookmark33"/>
      <w:bookmarkEnd w:id="63"/>
      <w:r>
        <w:rPr>
          <w:vanish/>
        </w:rPr>
        <w:lastRenderedPageBreak/>
        <w:t>Avertissements et instructions relatifs aux fréquences radio</w:t>
      </w:r>
    </w:p>
    <w:p w14:paraId="697EE997" w14:textId="77777777" w:rsidR="00DF3509" w:rsidRPr="00E52FAB" w:rsidRDefault="00DF3509">
      <w:pPr>
        <w:pStyle w:val="BodyText"/>
        <w:kinsoku w:val="0"/>
        <w:overflowPunct w:val="0"/>
        <w:spacing w:before="102" w:line="278" w:lineRule="auto"/>
        <w:ind w:left="840" w:right="873"/>
        <w:rPr>
          <w:vanish/>
        </w:rPr>
      </w:pPr>
      <w:r>
        <w:rPr>
          <w:vanish/>
        </w:rPr>
        <w:t>Pour les produits disponibles sur le marché américain ou canadien, seul le canal 1~11 est utilisable. Il n'est pas possible de sélectionner d'autres canaux.</w:t>
      </w:r>
    </w:p>
    <w:p w14:paraId="44D42A8F" w14:textId="77777777" w:rsidR="00DF3509" w:rsidRPr="00E52FAB" w:rsidRDefault="00DF3509">
      <w:pPr>
        <w:pStyle w:val="BodyText"/>
        <w:kinsoku w:val="0"/>
        <w:overflowPunct w:val="0"/>
        <w:spacing w:before="1"/>
        <w:rPr>
          <w:vanish/>
          <w:sz w:val="17"/>
          <w:szCs w:val="17"/>
        </w:rPr>
      </w:pPr>
    </w:p>
    <w:p w14:paraId="1A718E96" w14:textId="77777777" w:rsidR="00DF3509" w:rsidRPr="00E52FAB" w:rsidRDefault="00DF3509">
      <w:pPr>
        <w:pStyle w:val="BodyText"/>
        <w:kinsoku w:val="0"/>
        <w:overflowPunct w:val="0"/>
        <w:spacing w:before="1" w:line="278" w:lineRule="auto"/>
        <w:ind w:left="840" w:right="873"/>
        <w:rPr>
          <w:vanish/>
        </w:rPr>
      </w:pPr>
      <w:r>
        <w:rPr>
          <w:vanish/>
        </w:rPr>
        <w:t>Cet appareil et son (ses) antenne(s) ne doivent pas se trouver à proximité ou fonctionner en combinaison avec d'autres antennes ou émetteurs, sauf en accord avec les procédures d'IC concernant les produits multi-émetteurs.</w:t>
      </w:r>
    </w:p>
    <w:p w14:paraId="1177D3C8" w14:textId="77777777" w:rsidR="00DF3509" w:rsidRPr="00E52FAB" w:rsidRDefault="00DF3509">
      <w:pPr>
        <w:pStyle w:val="BodyText"/>
        <w:kinsoku w:val="0"/>
        <w:overflowPunct w:val="0"/>
        <w:spacing w:before="1"/>
        <w:rPr>
          <w:vanish/>
          <w:sz w:val="17"/>
          <w:szCs w:val="17"/>
        </w:rPr>
      </w:pPr>
    </w:p>
    <w:p w14:paraId="3D04577A" w14:textId="77777777" w:rsidR="00DF3509" w:rsidRPr="00E52FAB" w:rsidRDefault="00DF3509">
      <w:pPr>
        <w:pStyle w:val="BodyText"/>
        <w:kinsoku w:val="0"/>
        <w:overflowPunct w:val="0"/>
        <w:spacing w:line="278" w:lineRule="auto"/>
        <w:ind w:left="840" w:right="873"/>
        <w:rPr>
          <w:vanish/>
        </w:rPr>
      </w:pPr>
      <w:r>
        <w:rPr>
          <w:vanish/>
        </w:rPr>
        <w:t>L'appareil pour la bande 5150-5250 MHz est uniquement destiné à une utilisation en intérieur afin de réduire les risques d'interférences nuisibles pour les systèmes mobiles par satellite à canaux partagés.</w:t>
      </w:r>
    </w:p>
    <w:p w14:paraId="6A9CC985" w14:textId="77777777" w:rsidR="00DF3509" w:rsidRPr="00E52FAB" w:rsidRDefault="00DF3509">
      <w:pPr>
        <w:pStyle w:val="BodyText"/>
        <w:kinsoku w:val="0"/>
        <w:overflowPunct w:val="0"/>
        <w:spacing w:before="10"/>
        <w:rPr>
          <w:vanish/>
          <w:sz w:val="16"/>
          <w:szCs w:val="16"/>
        </w:rPr>
      </w:pPr>
    </w:p>
    <w:p w14:paraId="1BEBEA3B" w14:textId="77777777" w:rsidR="00DF3509" w:rsidRPr="00E52FAB" w:rsidRDefault="00DF3509">
      <w:pPr>
        <w:pStyle w:val="BodyText"/>
        <w:kinsoku w:val="0"/>
        <w:overflowPunct w:val="0"/>
        <w:spacing w:line="278" w:lineRule="auto"/>
        <w:ind w:left="840" w:right="779"/>
        <w:rPr>
          <w:vanish/>
        </w:rPr>
      </w:pPr>
      <w:r>
        <w:rPr>
          <w:vanish/>
        </w:rPr>
        <w:t>Les utilisateurs doivent également être informés que les radars à haute puissance sont attribués comme utilisateurs principaux (c'est-à-dire les utilisateurs prioritaires) des bandes 5250-5350 MHz et 5650-5850 MHz, et que ces radars peuvent causer des interférences et/ou endommager les appareils LE-LAN.</w:t>
      </w:r>
    </w:p>
    <w:p w14:paraId="44859706" w14:textId="77777777" w:rsidR="00DF3509" w:rsidRPr="00E52FAB" w:rsidRDefault="00DF3509">
      <w:pPr>
        <w:pStyle w:val="BodyText"/>
        <w:kinsoku w:val="0"/>
        <w:overflowPunct w:val="0"/>
        <w:spacing w:before="10"/>
        <w:rPr>
          <w:vanish/>
          <w:sz w:val="16"/>
          <w:szCs w:val="16"/>
        </w:rPr>
      </w:pPr>
    </w:p>
    <w:p w14:paraId="53FFA6DB" w14:textId="77777777" w:rsidR="00DF3509" w:rsidRPr="00E52FAB" w:rsidRDefault="00DF3509">
      <w:pPr>
        <w:pStyle w:val="BodyText"/>
        <w:kinsoku w:val="0"/>
        <w:overflowPunct w:val="0"/>
        <w:spacing w:before="1" w:line="276" w:lineRule="auto"/>
        <w:ind w:left="840" w:right="787"/>
        <w:rPr>
          <w:vanish/>
        </w:rPr>
      </w:pPr>
      <w:r>
        <w:rPr>
          <w:vanish/>
        </w:rPr>
        <w:t>En vertu des réglementations d'ISDE, cet émetteur radio ne peut fonctionner qu'avec une antenne d'un type et d'un gain maximum (ou inférieur) approuvés pour l'émetteur par ISDE. Afin de réduire les interférences radio potentielles pour les autres utilisateurs, le type d'antenne et son gain doivent être choisis de telle sorte que la puissance isotrope rayonnée équivalente (PIRE) ne soit pas supérieure à celle nécessaire à la réussite de la communication. Voir tableau 2</w:t>
      </w:r>
    </w:p>
    <w:p w14:paraId="11B10C0F" w14:textId="77777777" w:rsidR="00DF3509" w:rsidRPr="00E52FAB" w:rsidRDefault="00DF3509">
      <w:pPr>
        <w:pStyle w:val="BodyText"/>
        <w:kinsoku w:val="0"/>
        <w:overflowPunct w:val="0"/>
        <w:spacing w:before="3"/>
        <w:rPr>
          <w:vanish/>
          <w:sz w:val="17"/>
          <w:szCs w:val="17"/>
        </w:rPr>
      </w:pPr>
    </w:p>
    <w:p w14:paraId="50284F86" w14:textId="77777777" w:rsidR="00DF3509" w:rsidRPr="00E52FAB" w:rsidRDefault="00DF3509">
      <w:pPr>
        <w:pStyle w:val="BodyText"/>
        <w:kinsoku w:val="0"/>
        <w:overflowPunct w:val="0"/>
        <w:spacing w:before="1" w:line="280" w:lineRule="auto"/>
        <w:ind w:left="840" w:right="873"/>
        <w:rPr>
          <w:vanish/>
        </w:rPr>
      </w:pPr>
      <w:r>
        <w:rPr>
          <w:vanish/>
        </w:rPr>
        <w:t>Le gain d'antenne maximal autorisé pour les appareils des bandes 5250-5350 MHz et 5470-5725 MHz doit être conforme à la limite de PIRE (puissance isotrope rayonnée équivalente).</w:t>
      </w:r>
    </w:p>
    <w:p w14:paraId="357FAABC" w14:textId="77777777" w:rsidR="00DF3509" w:rsidRPr="00E52FAB" w:rsidRDefault="00DF3509">
      <w:pPr>
        <w:pStyle w:val="BodyText"/>
        <w:kinsoku w:val="0"/>
        <w:overflowPunct w:val="0"/>
        <w:spacing w:before="8"/>
        <w:rPr>
          <w:vanish/>
          <w:sz w:val="16"/>
          <w:szCs w:val="16"/>
        </w:rPr>
      </w:pPr>
    </w:p>
    <w:p w14:paraId="7DC5CD14" w14:textId="77777777" w:rsidR="00DF3509" w:rsidRPr="00E52FAB" w:rsidRDefault="00DF3509">
      <w:pPr>
        <w:pStyle w:val="BodyText"/>
        <w:kinsoku w:val="0"/>
        <w:overflowPunct w:val="0"/>
        <w:spacing w:line="278" w:lineRule="auto"/>
        <w:ind w:left="840" w:right="831"/>
        <w:jc w:val="both"/>
        <w:rPr>
          <w:vanish/>
        </w:rPr>
      </w:pPr>
      <w:r>
        <w:rPr>
          <w:vanish/>
        </w:rPr>
        <w:t>Le gain d'antenne maximal autorisé pour les appareils de la bande 5725-5825 MHz doit être conforme aux limites de PIRE (puissance isotrope rayonnée équivalente) spécifiées pour le fonctionnement point à point et point à multipoint, selon le cas.</w:t>
      </w:r>
    </w:p>
    <w:p w14:paraId="28596FDA" w14:textId="77777777" w:rsidR="00DF3509" w:rsidRPr="00E52FAB" w:rsidRDefault="00DF3509">
      <w:pPr>
        <w:pStyle w:val="BodyText"/>
        <w:kinsoku w:val="0"/>
        <w:overflowPunct w:val="0"/>
        <w:spacing w:before="10"/>
        <w:rPr>
          <w:vanish/>
          <w:sz w:val="16"/>
          <w:szCs w:val="16"/>
        </w:rPr>
      </w:pPr>
    </w:p>
    <w:p w14:paraId="0A24D424" w14:textId="77777777" w:rsidR="00DF3509" w:rsidRPr="00E52FAB" w:rsidRDefault="00DF3509">
      <w:pPr>
        <w:pStyle w:val="BodyText"/>
        <w:kinsoku w:val="0"/>
        <w:overflowPunct w:val="0"/>
        <w:spacing w:line="276" w:lineRule="auto"/>
        <w:ind w:left="840" w:right="779"/>
        <w:rPr>
          <w:vanish/>
        </w:rPr>
      </w:pPr>
      <w:r>
        <w:rPr>
          <w:vanish/>
        </w:rPr>
        <w:t>L'appareil pour la bande 5925-6425 MHz est uniquement destiné à une utilisation en intérieur. L'utilisation de cet appareil est interdite à bord des plateformes pétrolières, des voitures, des trains, des bateaux et des aéronefs, à une exception : l'utilisation de cet appareil est autorisée à bord des avions volant à plus de 10 000 pieds d'altitude.</w:t>
      </w:r>
    </w:p>
    <w:p w14:paraId="41EB29AB" w14:textId="77777777" w:rsidR="00DF3509" w:rsidRPr="00E52FAB" w:rsidRDefault="00DF3509">
      <w:pPr>
        <w:pStyle w:val="BodyText"/>
        <w:kinsoku w:val="0"/>
        <w:overflowPunct w:val="0"/>
        <w:spacing w:before="2" w:line="278" w:lineRule="auto"/>
        <w:ind w:left="840" w:right="873"/>
        <w:rPr>
          <w:vanish/>
        </w:rPr>
      </w:pPr>
      <w:r>
        <w:rPr>
          <w:vanish/>
        </w:rPr>
        <w:t>L'utilisation d'émetteurs sur la bande 5925-6425 MHz est interdite pour le contrôle des systèmes d'aéronef sans pilote ou la communication avec ces systèmes.</w:t>
      </w:r>
    </w:p>
    <w:p w14:paraId="75AA4E9F" w14:textId="77777777" w:rsidR="00DF3509" w:rsidRPr="00E52FAB" w:rsidRDefault="00DF3509">
      <w:pPr>
        <w:pStyle w:val="BodyText"/>
        <w:kinsoku w:val="0"/>
        <w:overflowPunct w:val="0"/>
        <w:rPr>
          <w:vanish/>
          <w:sz w:val="17"/>
          <w:szCs w:val="17"/>
        </w:rPr>
      </w:pPr>
    </w:p>
    <w:p w14:paraId="2197313C" w14:textId="77777777" w:rsidR="00DF3509" w:rsidRPr="00E52FAB" w:rsidRDefault="00DF3509">
      <w:pPr>
        <w:pStyle w:val="Heading2"/>
        <w:kinsoku w:val="0"/>
        <w:overflowPunct w:val="0"/>
        <w:spacing w:line="278" w:lineRule="auto"/>
        <w:rPr>
          <w:vanish/>
          <w:spacing w:val="-2"/>
        </w:rPr>
      </w:pPr>
      <w:bookmarkStart w:id="64" w:name="_bookmark34"/>
      <w:bookmarkEnd w:id="64"/>
      <w:r>
        <w:rPr>
          <w:vanish/>
        </w:rPr>
        <w:t>REMARQUE IMPORTANTE : Déclaration concernant l'exposition aux rayonnements</w:t>
      </w:r>
    </w:p>
    <w:p w14:paraId="40488DDC" w14:textId="77777777" w:rsidR="00DF3509" w:rsidRPr="00E52FAB" w:rsidRDefault="00DF3509">
      <w:pPr>
        <w:pStyle w:val="Heading3"/>
        <w:kinsoku w:val="0"/>
        <w:overflowPunct w:val="0"/>
        <w:spacing w:before="195"/>
        <w:rPr>
          <w:vanish/>
          <w:spacing w:val="-10"/>
        </w:rPr>
      </w:pPr>
      <w:bookmarkStart w:id="65" w:name="_bookmark35"/>
      <w:bookmarkEnd w:id="65"/>
      <w:r>
        <w:rPr>
          <w:vanish/>
        </w:rPr>
        <w:t>Avertissement relatif au DAS :</w:t>
      </w:r>
    </w:p>
    <w:p w14:paraId="3A76FA34" w14:textId="77777777" w:rsidR="00DF3509" w:rsidRPr="00E52FAB" w:rsidRDefault="00DF3509">
      <w:pPr>
        <w:pStyle w:val="BodyText"/>
        <w:kinsoku w:val="0"/>
        <w:overflowPunct w:val="0"/>
        <w:spacing w:before="88" w:line="278" w:lineRule="auto"/>
        <w:ind w:left="840" w:right="873"/>
        <w:rPr>
          <w:vanish/>
        </w:rPr>
      </w:pPr>
      <w:r>
        <w:rPr>
          <w:vanish/>
        </w:rPr>
        <w:t>Les informations de cette rubrique s'appliquent aux produits Wifi NETGEAR destinés à être utilisés à proximité du corps humain.</w:t>
      </w:r>
    </w:p>
    <w:p w14:paraId="01696919" w14:textId="77777777" w:rsidR="00DF3509" w:rsidRPr="00E52FAB" w:rsidRDefault="00DF3509">
      <w:pPr>
        <w:pStyle w:val="BodyText"/>
        <w:kinsoku w:val="0"/>
        <w:overflowPunct w:val="0"/>
        <w:spacing w:before="1"/>
        <w:rPr>
          <w:vanish/>
          <w:sz w:val="17"/>
          <w:szCs w:val="17"/>
        </w:rPr>
      </w:pPr>
    </w:p>
    <w:p w14:paraId="43F18D25" w14:textId="77777777" w:rsidR="00DF3509" w:rsidRPr="00E52FAB" w:rsidRDefault="00DF3509">
      <w:pPr>
        <w:pStyle w:val="BodyText"/>
        <w:kinsoku w:val="0"/>
        <w:overflowPunct w:val="0"/>
        <w:spacing w:before="1" w:line="278" w:lineRule="auto"/>
        <w:ind w:left="840" w:right="873"/>
        <w:rPr>
          <w:vanish/>
        </w:rPr>
      </w:pPr>
      <w:r>
        <w:rPr>
          <w:vanish/>
        </w:rPr>
        <w:t>Les produits NETGEAR sont conformes au DAS pour la population générale/aux limites d'exposition non contrôlée de la norme IC RSS-102 et ont été testés dans le respect des procédures et méthodes d'évaluation spécifiées dans la norme IEEE 1528. Maintenez une distance d'au moins 10 mm si l'appareil est porté près du corps.</w:t>
      </w:r>
    </w:p>
    <w:p w14:paraId="24C08C9A" w14:textId="77777777" w:rsidR="00DF3509" w:rsidRPr="00E52FAB" w:rsidRDefault="00DF3509">
      <w:pPr>
        <w:pStyle w:val="BodyText"/>
        <w:kinsoku w:val="0"/>
        <w:overflowPunct w:val="0"/>
        <w:spacing w:before="10"/>
        <w:rPr>
          <w:vanish/>
          <w:sz w:val="16"/>
          <w:szCs w:val="16"/>
        </w:rPr>
      </w:pPr>
    </w:p>
    <w:p w14:paraId="09DEABD1" w14:textId="77777777" w:rsidR="00DF3509" w:rsidRPr="00E52FAB" w:rsidRDefault="00DF3509">
      <w:pPr>
        <w:pStyle w:val="BodyText"/>
        <w:kinsoku w:val="0"/>
        <w:overflowPunct w:val="0"/>
        <w:spacing w:line="276" w:lineRule="auto"/>
        <w:ind w:left="840" w:right="873"/>
        <w:rPr>
          <w:vanish/>
          <w:spacing w:val="-2"/>
        </w:rPr>
      </w:pPr>
      <w:r>
        <w:rPr>
          <w:vanish/>
        </w:rPr>
        <w:t>Les produits NETGEAR sont conformes à la limite d'exposition aux fréquences radio portables du Canada définie pour un environnement non contrôlé et sont sûrs pour l'utilisation prévue, comme décrit dans son manuel. Une réduction supplémentaire de l'exposition aux fréquences radio peut être obtenue en maintenant le produit aussi loin que possible de votre corps ou en réglant l'appareil sur une puissance de sortie inférieure, si une telle fonction est disponible.</w:t>
      </w:r>
    </w:p>
    <w:p w14:paraId="3E72296C" w14:textId="77777777" w:rsidR="00DF3509" w:rsidRPr="00E52FAB" w:rsidRDefault="00DF3509">
      <w:pPr>
        <w:pStyle w:val="BodyText"/>
        <w:kinsoku w:val="0"/>
        <w:overflowPunct w:val="0"/>
        <w:spacing w:before="4"/>
        <w:rPr>
          <w:vanish/>
          <w:sz w:val="17"/>
          <w:szCs w:val="17"/>
        </w:rPr>
      </w:pPr>
    </w:p>
    <w:p w14:paraId="3CABEC6D" w14:textId="77777777" w:rsidR="00DF3509" w:rsidRPr="00E52FAB" w:rsidRDefault="00DF3509">
      <w:pPr>
        <w:pStyle w:val="BodyText"/>
        <w:kinsoku w:val="0"/>
        <w:overflowPunct w:val="0"/>
        <w:spacing w:line="278" w:lineRule="auto"/>
        <w:ind w:left="840" w:right="873"/>
        <w:rPr>
          <w:vanish/>
        </w:rPr>
      </w:pPr>
      <w:r>
        <w:rPr>
          <w:vanish/>
        </w:rPr>
        <w:t>Pour plus de détails et pour connaître le niveau de DAS le plus élevé mesuré pour cet appareil, reportez-vous à la rubrique Exposition radio à l'adresse suivante :</w:t>
      </w:r>
    </w:p>
    <w:p w14:paraId="2A99E36C" w14:textId="77777777" w:rsidR="00DF3509" w:rsidRPr="00E52FAB" w:rsidRDefault="00DF3509">
      <w:pPr>
        <w:pStyle w:val="BodyText"/>
        <w:kinsoku w:val="0"/>
        <w:overflowPunct w:val="0"/>
        <w:spacing w:before="3"/>
        <w:rPr>
          <w:vanish/>
          <w:sz w:val="17"/>
          <w:szCs w:val="17"/>
        </w:rPr>
      </w:pPr>
    </w:p>
    <w:p w14:paraId="6CB66732" w14:textId="0AFC4E06" w:rsidR="00DF3509" w:rsidRPr="00E52FAB" w:rsidRDefault="00000000">
      <w:pPr>
        <w:pStyle w:val="BodyText"/>
        <w:kinsoku w:val="0"/>
        <w:overflowPunct w:val="0"/>
        <w:spacing w:before="1"/>
        <w:ind w:left="840"/>
        <w:rPr>
          <w:vanish/>
          <w:color w:val="0000FF"/>
          <w:spacing w:val="-2"/>
        </w:rPr>
      </w:pPr>
      <w:hyperlink r:id="rId22" w:history="1">
        <w:r w:rsidR="00DF3509">
          <w:rPr>
            <w:vanish/>
            <w:color w:val="0000FF"/>
            <w:u w:val="single"/>
          </w:rPr>
          <w:t>https://www.netgear.com/fr/about/regulatory/</w:t>
        </w:r>
      </w:hyperlink>
    </w:p>
    <w:p w14:paraId="2CA1D583" w14:textId="77777777" w:rsidR="00DF3509" w:rsidRPr="00E52FAB" w:rsidRDefault="00DF3509">
      <w:pPr>
        <w:pStyle w:val="BodyText"/>
        <w:kinsoku w:val="0"/>
        <w:overflowPunct w:val="0"/>
        <w:spacing w:before="1"/>
        <w:ind w:left="840"/>
        <w:rPr>
          <w:vanish/>
          <w:color w:val="0000FF"/>
          <w:spacing w:val="-2"/>
        </w:rPr>
        <w:sectPr w:rsidR="00DF3509" w:rsidRPr="00E52FAB">
          <w:pgSz w:w="12240" w:h="15840"/>
          <w:pgMar w:top="1380" w:right="680" w:bottom="1140" w:left="600" w:header="0" w:footer="950" w:gutter="0"/>
          <w:cols w:space="720"/>
          <w:noEndnote/>
        </w:sectPr>
      </w:pPr>
    </w:p>
    <w:p w14:paraId="5788CF3E" w14:textId="77777777" w:rsidR="00DF3509" w:rsidRPr="00E52FAB" w:rsidRDefault="00DF3509">
      <w:pPr>
        <w:pStyle w:val="Heading3"/>
        <w:kinsoku w:val="0"/>
        <w:overflowPunct w:val="0"/>
        <w:spacing w:before="79"/>
        <w:rPr>
          <w:vanish/>
          <w:spacing w:val="-2"/>
        </w:rPr>
      </w:pPr>
      <w:bookmarkStart w:id="66" w:name="_bookmark36"/>
      <w:bookmarkEnd w:id="66"/>
      <w:r>
        <w:rPr>
          <w:vanish/>
        </w:rPr>
        <w:lastRenderedPageBreak/>
        <w:t>Déclaration de limite d'exposition maximale admissible</w:t>
      </w:r>
    </w:p>
    <w:p w14:paraId="36835065" w14:textId="77777777" w:rsidR="00DF3509" w:rsidRPr="00E52FAB" w:rsidRDefault="00DF3509">
      <w:pPr>
        <w:pStyle w:val="BodyText"/>
        <w:kinsoku w:val="0"/>
        <w:overflowPunct w:val="0"/>
        <w:spacing w:before="91" w:line="278" w:lineRule="auto"/>
        <w:ind w:left="840" w:right="1045"/>
        <w:rPr>
          <w:vanish/>
        </w:rPr>
      </w:pPr>
      <w:r>
        <w:rPr>
          <w:vanish/>
        </w:rPr>
        <w:t>Les informations de cette rubrique s'appliquent aux produits Wifi NETGEAR conçus pour être utilisés à au moins 20 cm du corps humain.</w:t>
      </w:r>
    </w:p>
    <w:p w14:paraId="66B0087B" w14:textId="77777777" w:rsidR="00DF3509" w:rsidRPr="00E52FAB" w:rsidRDefault="00DF3509">
      <w:pPr>
        <w:pStyle w:val="BodyText"/>
        <w:kinsoku w:val="0"/>
        <w:overflowPunct w:val="0"/>
        <w:spacing w:before="1"/>
        <w:rPr>
          <w:vanish/>
          <w:sz w:val="17"/>
          <w:szCs w:val="17"/>
        </w:rPr>
      </w:pPr>
    </w:p>
    <w:p w14:paraId="0A425611" w14:textId="77777777" w:rsidR="00DF3509" w:rsidRPr="00E52FAB" w:rsidRDefault="00DF3509">
      <w:pPr>
        <w:pStyle w:val="BodyText"/>
        <w:kinsoku w:val="0"/>
        <w:overflowPunct w:val="0"/>
        <w:spacing w:line="276" w:lineRule="auto"/>
        <w:ind w:left="840" w:right="787"/>
        <w:rPr>
          <w:vanish/>
        </w:rPr>
      </w:pPr>
      <w:r>
        <w:rPr>
          <w:vanish/>
        </w:rPr>
        <w:t>Les produits NETGEAR sont conformes aux limites d'exposition aux rayonnements IC définies pour un environnement non contrôlé. Lorsque vous installez et utilisez des produits NETGEAR, maintenez une distance minimale de 70 cm entre l'élément rayonnant et votre corps. Pour vérifier la distance minimale, pour plus d'informations et pour connaître le niveau de DAS le plus élevé mesuré pour cet appareil, reportez-vous à la rubrique Exposition radio à l'adresse suivante :</w:t>
      </w:r>
    </w:p>
    <w:p w14:paraId="2DEC7590" w14:textId="77777777" w:rsidR="00DF3509" w:rsidRPr="00E52FAB" w:rsidRDefault="00DF3509">
      <w:pPr>
        <w:pStyle w:val="BodyText"/>
        <w:kinsoku w:val="0"/>
        <w:overflowPunct w:val="0"/>
        <w:spacing w:before="6"/>
        <w:rPr>
          <w:vanish/>
          <w:sz w:val="17"/>
          <w:szCs w:val="17"/>
        </w:rPr>
      </w:pPr>
    </w:p>
    <w:p w14:paraId="6366CF4E" w14:textId="0C78C653" w:rsidR="00DF3509" w:rsidRPr="00E52FAB" w:rsidRDefault="00000000">
      <w:pPr>
        <w:pStyle w:val="BodyText"/>
        <w:kinsoku w:val="0"/>
        <w:overflowPunct w:val="0"/>
        <w:ind w:left="840"/>
        <w:rPr>
          <w:vanish/>
          <w:color w:val="0000FF"/>
          <w:spacing w:val="-2"/>
        </w:rPr>
      </w:pPr>
      <w:hyperlink r:id="rId23" w:history="1">
        <w:r w:rsidR="00DF3509">
          <w:rPr>
            <w:vanish/>
            <w:color w:val="0000FF"/>
            <w:u w:val="single"/>
          </w:rPr>
          <w:t>https://www.netgear.com/fr/about/regulatory/</w:t>
        </w:r>
      </w:hyperlink>
    </w:p>
    <w:p w14:paraId="7A2BD3CD" w14:textId="77777777" w:rsidR="00DF3509" w:rsidRPr="00E52FAB" w:rsidRDefault="00DF3509">
      <w:pPr>
        <w:pStyle w:val="BodyText"/>
        <w:kinsoku w:val="0"/>
        <w:overflowPunct w:val="0"/>
        <w:spacing w:before="2"/>
        <w:rPr>
          <w:vanish/>
          <w:sz w:val="20"/>
          <w:szCs w:val="20"/>
        </w:rPr>
      </w:pPr>
    </w:p>
    <w:p w14:paraId="7E6951F6" w14:textId="77777777" w:rsidR="00DF3509" w:rsidRPr="00E52FAB" w:rsidRDefault="00DF3509">
      <w:pPr>
        <w:pStyle w:val="BodyText"/>
        <w:kinsoku w:val="0"/>
        <w:overflowPunct w:val="0"/>
        <w:ind w:left="840"/>
        <w:rPr>
          <w:b/>
          <w:bCs/>
          <w:vanish/>
          <w:color w:val="0000FF"/>
          <w:sz w:val="26"/>
          <w:szCs w:val="26"/>
        </w:rPr>
      </w:pPr>
      <w:bookmarkStart w:id="67" w:name="_bookmark37"/>
      <w:bookmarkEnd w:id="67"/>
      <w:r>
        <w:rPr>
          <w:b/>
          <w:vanish/>
          <w:color w:val="0000FF"/>
          <w:sz w:val="26"/>
          <w:u w:val="single"/>
        </w:rPr>
        <w:t>Règlement 522/20 de l'Ontario</w:t>
      </w:r>
    </w:p>
    <w:p w14:paraId="297A3930" w14:textId="608DBBB9" w:rsidR="00DF3509" w:rsidRPr="00E52FAB" w:rsidRDefault="00DF3509">
      <w:pPr>
        <w:pStyle w:val="BodyText"/>
        <w:kinsoku w:val="0"/>
        <w:overflowPunct w:val="0"/>
        <w:spacing w:before="102" w:line="276" w:lineRule="auto"/>
        <w:ind w:left="840" w:right="873"/>
        <w:rPr>
          <w:vanish/>
          <w:color w:val="000000"/>
        </w:rPr>
      </w:pPr>
      <w:r>
        <w:rPr>
          <w:vanish/>
        </w:rPr>
        <w:t xml:space="preserve">Les réglementations de l'Ontario sur les équipements électroniques et électriques (EEE) sont en vigueur à compter du 1er janvier 2021, en vertu de la loi sur le rétablissement des ressources et l'économie circulaire. NETGEAR s'acquitte de ses obligations par l'intermédiaire d'EPRA Ontario, son organisme de responsabilité des producteurs sélectionné. Visitez le site web d'EPRA à l'adresse </w:t>
      </w:r>
      <w:hyperlink r:id="rId24" w:history="1">
        <w:r>
          <w:rPr>
            <w:vanish/>
            <w:color w:val="0000FF"/>
            <w:u w:val="single"/>
          </w:rPr>
          <w:t>https://EPRAON.ca</w:t>
        </w:r>
      </w:hyperlink>
      <w:r>
        <w:rPr>
          <w:vanish/>
          <w:color w:val="0000FF"/>
        </w:rPr>
        <w:t xml:space="preserve"> </w:t>
      </w:r>
      <w:r>
        <w:rPr>
          <w:vanish/>
          <w:color w:val="000000"/>
        </w:rPr>
        <w:t>pour obtenir des informations sur la collecte des appareils électroniques en fin de vie et en savoir plus sur le programme.</w:t>
      </w:r>
    </w:p>
    <w:p w14:paraId="50F0B2CA" w14:textId="77777777" w:rsidR="00DF3509" w:rsidRDefault="00DF3509">
      <w:pPr>
        <w:pStyle w:val="BodyText"/>
        <w:kinsoku w:val="0"/>
        <w:overflowPunct w:val="0"/>
        <w:spacing w:before="7"/>
        <w:rPr>
          <w:sz w:val="17"/>
          <w:szCs w:val="17"/>
        </w:rPr>
      </w:pPr>
    </w:p>
    <w:p w14:paraId="3D07CCBE" w14:textId="77777777" w:rsidR="00DF3509" w:rsidRDefault="00DF3509">
      <w:pPr>
        <w:pStyle w:val="Heading2"/>
        <w:kinsoku w:val="0"/>
        <w:overflowPunct w:val="0"/>
        <w:rPr>
          <w:spacing w:val="-4"/>
        </w:rPr>
      </w:pPr>
      <w:bookmarkStart w:id="68" w:name="_bookmark38"/>
      <w:bookmarkStart w:id="69" w:name="_Toc147502473"/>
      <w:bookmarkEnd w:id="68"/>
      <w:r>
        <w:t>Tabelle für die Reduzierung von Funkstörungen</w:t>
      </w:r>
      <w:bookmarkEnd w:id="69"/>
    </w:p>
    <w:p w14:paraId="6F467B4C" w14:textId="77777777" w:rsidR="00DF3509" w:rsidRDefault="00DF3509" w:rsidP="00FE3A82">
      <w:pPr>
        <w:pStyle w:val="BodyText"/>
        <w:kinsoku w:val="0"/>
        <w:overflowPunct w:val="0"/>
        <w:spacing w:before="102" w:line="280" w:lineRule="auto"/>
        <w:ind w:left="840" w:right="340"/>
      </w:pPr>
      <w:r>
        <w:t>In der nachfolgenden Tabelle wird der empfohlene Mindestabstand zwischen NETGEAR-Geräten und -Haushaltsgeräten zur Reduzierung von Funkstörungen angegeben (in Metern und Fuß).</w:t>
      </w:r>
    </w:p>
    <w:p w14:paraId="7DF5107C" w14:textId="77777777" w:rsidR="00DF3509" w:rsidRDefault="00DF3509">
      <w:pPr>
        <w:pStyle w:val="BodyText"/>
        <w:kinsoku w:val="0"/>
        <w:overflowPunct w:val="0"/>
        <w:spacing w:before="9" w:after="1"/>
        <w:rPr>
          <w:sz w:val="16"/>
          <w:szCs w:val="16"/>
        </w:rPr>
      </w:pPr>
    </w:p>
    <w:tbl>
      <w:tblPr>
        <w:tblW w:w="0" w:type="auto"/>
        <w:tblInd w:w="850" w:type="dxa"/>
        <w:tblLayout w:type="fixed"/>
        <w:tblCellMar>
          <w:left w:w="0" w:type="dxa"/>
          <w:right w:w="0" w:type="dxa"/>
        </w:tblCellMar>
        <w:tblLook w:val="0000" w:firstRow="0" w:lastRow="0" w:firstColumn="0" w:lastColumn="0" w:noHBand="0" w:noVBand="0"/>
      </w:tblPr>
      <w:tblGrid>
        <w:gridCol w:w="2629"/>
        <w:gridCol w:w="4861"/>
      </w:tblGrid>
      <w:tr w:rsidR="00DF3509" w:rsidRPr="001F545D" w14:paraId="1DDE4340"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D866B3E" w14:textId="77777777" w:rsidR="00DF3509" w:rsidRPr="001F545D" w:rsidRDefault="00DF3509">
            <w:pPr>
              <w:pStyle w:val="TableParagraph"/>
              <w:kinsoku w:val="0"/>
              <w:overflowPunct w:val="0"/>
              <w:spacing w:line="186" w:lineRule="exact"/>
              <w:rPr>
                <w:rFonts w:eastAsia="Times New Roman"/>
                <w:b/>
                <w:bCs/>
                <w:spacing w:val="-2"/>
                <w:sz w:val="18"/>
                <w:szCs w:val="18"/>
              </w:rPr>
            </w:pPr>
            <w:r>
              <w:rPr>
                <w:b/>
                <w:sz w:val="18"/>
              </w:rPr>
              <w:t>Haushaltsgerät</w:t>
            </w:r>
          </w:p>
        </w:tc>
        <w:tc>
          <w:tcPr>
            <w:tcW w:w="4861" w:type="dxa"/>
            <w:tcBorders>
              <w:top w:val="single" w:sz="4" w:space="0" w:color="000000"/>
              <w:left w:val="single" w:sz="4" w:space="0" w:color="000000"/>
              <w:bottom w:val="single" w:sz="4" w:space="0" w:color="000000"/>
              <w:right w:val="single" w:sz="4" w:space="0" w:color="000000"/>
            </w:tcBorders>
          </w:tcPr>
          <w:p w14:paraId="68CD0FA6" w14:textId="77777777" w:rsidR="00DF3509" w:rsidRPr="001F545D" w:rsidRDefault="00DF3509">
            <w:pPr>
              <w:pStyle w:val="TableParagraph"/>
              <w:kinsoku w:val="0"/>
              <w:overflowPunct w:val="0"/>
              <w:spacing w:line="186" w:lineRule="exact"/>
              <w:rPr>
                <w:rFonts w:eastAsia="Times New Roman"/>
                <w:b/>
                <w:bCs/>
                <w:spacing w:val="-2"/>
                <w:sz w:val="18"/>
                <w:szCs w:val="18"/>
              </w:rPr>
            </w:pPr>
            <w:r>
              <w:rPr>
                <w:b/>
                <w:sz w:val="18"/>
              </w:rPr>
              <w:t>Empfohlener Mindestabstand (in Metern und Fuß)</w:t>
            </w:r>
          </w:p>
        </w:tc>
      </w:tr>
      <w:tr w:rsidR="00DF3509" w:rsidRPr="001F545D" w14:paraId="3D387124"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72C6AFF6" w14:textId="77777777" w:rsidR="00DF3509" w:rsidRPr="001F545D" w:rsidRDefault="00DF3509">
            <w:pPr>
              <w:pStyle w:val="TableParagraph"/>
              <w:kinsoku w:val="0"/>
              <w:overflowPunct w:val="0"/>
              <w:spacing w:before="1" w:line="187" w:lineRule="exact"/>
              <w:rPr>
                <w:rFonts w:eastAsia="Times New Roman"/>
                <w:spacing w:val="-4"/>
                <w:sz w:val="18"/>
                <w:szCs w:val="18"/>
              </w:rPr>
            </w:pPr>
            <w:r>
              <w:rPr>
                <w:sz w:val="18"/>
              </w:rPr>
              <w:t>Mikrowellengeräte</w:t>
            </w:r>
          </w:p>
        </w:tc>
        <w:tc>
          <w:tcPr>
            <w:tcW w:w="4861" w:type="dxa"/>
            <w:tcBorders>
              <w:top w:val="single" w:sz="4" w:space="0" w:color="000000"/>
              <w:left w:val="single" w:sz="4" w:space="0" w:color="000000"/>
              <w:bottom w:val="single" w:sz="4" w:space="0" w:color="000000"/>
              <w:right w:val="single" w:sz="4" w:space="0" w:color="000000"/>
            </w:tcBorders>
          </w:tcPr>
          <w:p w14:paraId="4B5955AB" w14:textId="77777777" w:rsidR="00DF3509" w:rsidRPr="001F545D" w:rsidRDefault="00DF3509">
            <w:pPr>
              <w:pStyle w:val="TableParagraph"/>
              <w:kinsoku w:val="0"/>
              <w:overflowPunct w:val="0"/>
              <w:spacing w:before="1" w:line="187" w:lineRule="exact"/>
              <w:rPr>
                <w:rFonts w:eastAsia="Times New Roman"/>
                <w:spacing w:val="-2"/>
                <w:sz w:val="18"/>
                <w:szCs w:val="18"/>
              </w:rPr>
            </w:pPr>
            <w:r>
              <w:rPr>
                <w:sz w:val="18"/>
              </w:rPr>
              <w:t>9 m (30 ft)</w:t>
            </w:r>
          </w:p>
        </w:tc>
      </w:tr>
      <w:tr w:rsidR="00DF3509" w:rsidRPr="001F545D" w14:paraId="6055EE6C"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39593AC2"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Babyfon – analog</w:t>
            </w:r>
          </w:p>
        </w:tc>
        <w:tc>
          <w:tcPr>
            <w:tcW w:w="4861" w:type="dxa"/>
            <w:tcBorders>
              <w:top w:val="single" w:sz="4" w:space="0" w:color="000000"/>
              <w:left w:val="single" w:sz="4" w:space="0" w:color="000000"/>
              <w:bottom w:val="single" w:sz="4" w:space="0" w:color="000000"/>
              <w:right w:val="single" w:sz="4" w:space="0" w:color="000000"/>
            </w:tcBorders>
          </w:tcPr>
          <w:p w14:paraId="2F3005A9"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 (20 ft)</w:t>
            </w:r>
          </w:p>
        </w:tc>
      </w:tr>
      <w:tr w:rsidR="00DF3509" w:rsidRPr="001F545D" w14:paraId="0A07F7FE"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5BA890C1"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Babyfon – digital</w:t>
            </w:r>
          </w:p>
        </w:tc>
        <w:tc>
          <w:tcPr>
            <w:tcW w:w="4861" w:type="dxa"/>
            <w:tcBorders>
              <w:top w:val="single" w:sz="4" w:space="0" w:color="000000"/>
              <w:left w:val="single" w:sz="4" w:space="0" w:color="000000"/>
              <w:bottom w:val="single" w:sz="4" w:space="0" w:color="000000"/>
              <w:right w:val="single" w:sz="4" w:space="0" w:color="000000"/>
            </w:tcBorders>
          </w:tcPr>
          <w:p w14:paraId="6CC62F0D"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12 m (40 ft)</w:t>
            </w:r>
          </w:p>
        </w:tc>
      </w:tr>
      <w:tr w:rsidR="00DF3509" w:rsidRPr="001F545D" w14:paraId="5421A567" w14:textId="77777777">
        <w:trPr>
          <w:trHeight w:val="206"/>
        </w:trPr>
        <w:tc>
          <w:tcPr>
            <w:tcW w:w="2629" w:type="dxa"/>
            <w:tcBorders>
              <w:top w:val="single" w:sz="4" w:space="0" w:color="000000"/>
              <w:left w:val="single" w:sz="4" w:space="0" w:color="000000"/>
              <w:bottom w:val="single" w:sz="4" w:space="0" w:color="000000"/>
              <w:right w:val="single" w:sz="4" w:space="0" w:color="000000"/>
            </w:tcBorders>
          </w:tcPr>
          <w:p w14:paraId="6EC17EE6"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Schnurloses Telefon – analog</w:t>
            </w:r>
          </w:p>
        </w:tc>
        <w:tc>
          <w:tcPr>
            <w:tcW w:w="4861" w:type="dxa"/>
            <w:tcBorders>
              <w:top w:val="single" w:sz="4" w:space="0" w:color="000000"/>
              <w:left w:val="single" w:sz="4" w:space="0" w:color="000000"/>
              <w:bottom w:val="single" w:sz="4" w:space="0" w:color="000000"/>
              <w:right w:val="single" w:sz="4" w:space="0" w:color="000000"/>
            </w:tcBorders>
          </w:tcPr>
          <w:p w14:paraId="102E1D2B"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 (20 ft)</w:t>
            </w:r>
          </w:p>
        </w:tc>
      </w:tr>
      <w:tr w:rsidR="00DF3509" w:rsidRPr="001F545D" w14:paraId="76DFD291"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29D355C2"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Schnurloses Telefon – digital</w:t>
            </w:r>
          </w:p>
        </w:tc>
        <w:tc>
          <w:tcPr>
            <w:tcW w:w="4861" w:type="dxa"/>
            <w:tcBorders>
              <w:top w:val="single" w:sz="4" w:space="0" w:color="000000"/>
              <w:left w:val="single" w:sz="4" w:space="0" w:color="000000"/>
              <w:bottom w:val="single" w:sz="4" w:space="0" w:color="000000"/>
              <w:right w:val="single" w:sz="4" w:space="0" w:color="000000"/>
            </w:tcBorders>
          </w:tcPr>
          <w:p w14:paraId="2B8DB830" w14:textId="77777777" w:rsidR="00DF3509" w:rsidRPr="001F545D" w:rsidRDefault="00DF3509">
            <w:pPr>
              <w:pStyle w:val="TableParagraph"/>
              <w:kinsoku w:val="0"/>
              <w:overflowPunct w:val="0"/>
              <w:spacing w:line="189" w:lineRule="exact"/>
              <w:rPr>
                <w:rFonts w:eastAsia="Times New Roman"/>
                <w:spacing w:val="-2"/>
                <w:sz w:val="18"/>
                <w:szCs w:val="18"/>
              </w:rPr>
            </w:pPr>
            <w:r>
              <w:rPr>
                <w:sz w:val="18"/>
              </w:rPr>
              <w:t>9 m (30 ft)</w:t>
            </w:r>
          </w:p>
        </w:tc>
      </w:tr>
      <w:tr w:rsidR="00DF3509" w:rsidRPr="001F545D" w14:paraId="5A2A26A4" w14:textId="77777777">
        <w:trPr>
          <w:trHeight w:val="205"/>
        </w:trPr>
        <w:tc>
          <w:tcPr>
            <w:tcW w:w="2629" w:type="dxa"/>
            <w:tcBorders>
              <w:top w:val="single" w:sz="4" w:space="0" w:color="000000"/>
              <w:left w:val="single" w:sz="4" w:space="0" w:color="000000"/>
              <w:bottom w:val="single" w:sz="4" w:space="0" w:color="000000"/>
              <w:right w:val="single" w:sz="4" w:space="0" w:color="000000"/>
            </w:tcBorders>
          </w:tcPr>
          <w:p w14:paraId="039DE94F"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Bluetooth-Geräte</w:t>
            </w:r>
          </w:p>
        </w:tc>
        <w:tc>
          <w:tcPr>
            <w:tcW w:w="4861" w:type="dxa"/>
            <w:tcBorders>
              <w:top w:val="single" w:sz="4" w:space="0" w:color="000000"/>
              <w:left w:val="single" w:sz="4" w:space="0" w:color="000000"/>
              <w:bottom w:val="single" w:sz="4" w:space="0" w:color="000000"/>
              <w:right w:val="single" w:sz="4" w:space="0" w:color="000000"/>
            </w:tcBorders>
          </w:tcPr>
          <w:p w14:paraId="5C0C2D13" w14:textId="77777777" w:rsidR="00DF3509" w:rsidRPr="001F545D" w:rsidRDefault="00DF3509">
            <w:pPr>
              <w:pStyle w:val="TableParagraph"/>
              <w:kinsoku w:val="0"/>
              <w:overflowPunct w:val="0"/>
              <w:spacing w:line="186" w:lineRule="exact"/>
              <w:rPr>
                <w:rFonts w:eastAsia="Times New Roman"/>
                <w:spacing w:val="-2"/>
                <w:sz w:val="18"/>
                <w:szCs w:val="18"/>
              </w:rPr>
            </w:pPr>
            <w:r>
              <w:rPr>
                <w:sz w:val="18"/>
              </w:rPr>
              <w:t>6 m (20 ft)</w:t>
            </w:r>
          </w:p>
        </w:tc>
      </w:tr>
      <w:tr w:rsidR="00DF3509" w:rsidRPr="001F545D" w14:paraId="27CA5F1B" w14:textId="77777777">
        <w:trPr>
          <w:trHeight w:val="208"/>
        </w:trPr>
        <w:tc>
          <w:tcPr>
            <w:tcW w:w="2629" w:type="dxa"/>
            <w:tcBorders>
              <w:top w:val="single" w:sz="4" w:space="0" w:color="000000"/>
              <w:left w:val="single" w:sz="4" w:space="0" w:color="000000"/>
              <w:bottom w:val="single" w:sz="4" w:space="0" w:color="000000"/>
              <w:right w:val="single" w:sz="4" w:space="0" w:color="000000"/>
            </w:tcBorders>
          </w:tcPr>
          <w:p w14:paraId="1E193B45"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ZigBee</w:t>
            </w:r>
          </w:p>
        </w:tc>
        <w:tc>
          <w:tcPr>
            <w:tcW w:w="4861" w:type="dxa"/>
            <w:tcBorders>
              <w:top w:val="single" w:sz="4" w:space="0" w:color="000000"/>
              <w:left w:val="single" w:sz="4" w:space="0" w:color="000000"/>
              <w:bottom w:val="single" w:sz="4" w:space="0" w:color="000000"/>
              <w:right w:val="single" w:sz="4" w:space="0" w:color="000000"/>
            </w:tcBorders>
          </w:tcPr>
          <w:p w14:paraId="490389CD" w14:textId="77777777" w:rsidR="00DF3509" w:rsidRPr="001F545D" w:rsidRDefault="00DF3509">
            <w:pPr>
              <w:pStyle w:val="TableParagraph"/>
              <w:kinsoku w:val="0"/>
              <w:overflowPunct w:val="0"/>
              <w:spacing w:line="188" w:lineRule="exact"/>
              <w:rPr>
                <w:rFonts w:eastAsia="Times New Roman"/>
                <w:spacing w:val="-2"/>
                <w:sz w:val="18"/>
                <w:szCs w:val="18"/>
              </w:rPr>
            </w:pPr>
            <w:r>
              <w:rPr>
                <w:sz w:val="18"/>
              </w:rPr>
              <w:t>6 m (20 ft)</w:t>
            </w:r>
          </w:p>
        </w:tc>
      </w:tr>
    </w:tbl>
    <w:p w14:paraId="19AF5C4A" w14:textId="77777777" w:rsidR="009F6DAC" w:rsidRDefault="009F6DAC">
      <w:pPr>
        <w:pStyle w:val="BodyText"/>
        <w:kinsoku w:val="0"/>
        <w:overflowPunct w:val="0"/>
        <w:rPr>
          <w:sz w:val="20"/>
          <w:szCs w:val="20"/>
        </w:rPr>
        <w:sectPr w:rsidR="009F6DAC">
          <w:pgSz w:w="12240" w:h="15840"/>
          <w:pgMar w:top="1360" w:right="680" w:bottom="1140" w:left="600" w:header="0" w:footer="950" w:gutter="0"/>
          <w:cols w:space="720"/>
          <w:noEndnote/>
        </w:sectPr>
      </w:pPr>
    </w:p>
    <w:p w14:paraId="46B0978A" w14:textId="77777777" w:rsidR="00DF3509" w:rsidRDefault="00DF3509">
      <w:pPr>
        <w:pStyle w:val="Heading1"/>
        <w:kinsoku w:val="0"/>
        <w:overflowPunct w:val="0"/>
        <w:spacing w:line="276" w:lineRule="auto"/>
        <w:rPr>
          <w:spacing w:val="-2"/>
        </w:rPr>
      </w:pPr>
      <w:bookmarkStart w:id="70" w:name="_bookmark39"/>
      <w:bookmarkStart w:id="71" w:name="_bookmark56"/>
      <w:bookmarkStart w:id="72" w:name="_Toc147502474"/>
      <w:bookmarkEnd w:id="70"/>
      <w:bookmarkEnd w:id="71"/>
      <w:r>
        <w:lastRenderedPageBreak/>
        <w:t>ANFORDERUNGEN AN DIE VERPACKUNG VON LITHIUM-IONEN-AKKUS UND LITHIUM-METALL-BATTERIEN</w:t>
      </w:r>
      <w:bookmarkEnd w:id="72"/>
    </w:p>
    <w:p w14:paraId="7FB26D75" w14:textId="77777777" w:rsidR="00DF3509" w:rsidRDefault="00DF3509">
      <w:pPr>
        <w:pStyle w:val="BodyText"/>
        <w:kinsoku w:val="0"/>
        <w:overflowPunct w:val="0"/>
        <w:spacing w:before="59" w:line="280" w:lineRule="auto"/>
        <w:ind w:left="840" w:right="873"/>
      </w:pPr>
      <w:r>
        <w:t>Aufgrund der Bedenken hinsichtlich des Versands von Produkten mit Li-Ionen-Akkus und Li-Metall-Batterien hat die UNO Richtlinien für die ordnungsgemäße Prüfung, Verpackung und Kennzeichnung dieser Geräte entwickelt.</w:t>
      </w:r>
    </w:p>
    <w:p w14:paraId="7B1E2A05" w14:textId="77777777" w:rsidR="00DF3509" w:rsidRDefault="00DF3509">
      <w:pPr>
        <w:pStyle w:val="BodyText"/>
        <w:kinsoku w:val="0"/>
        <w:overflowPunct w:val="0"/>
        <w:spacing w:before="8"/>
        <w:rPr>
          <w:sz w:val="16"/>
          <w:szCs w:val="16"/>
        </w:rPr>
      </w:pPr>
    </w:p>
    <w:p w14:paraId="4F3F0038" w14:textId="77777777" w:rsidR="00DF3509" w:rsidRDefault="00DF3509">
      <w:pPr>
        <w:pStyle w:val="Heading3"/>
        <w:kinsoku w:val="0"/>
        <w:overflowPunct w:val="0"/>
        <w:rPr>
          <w:spacing w:val="-2"/>
        </w:rPr>
      </w:pPr>
      <w:bookmarkStart w:id="73" w:name="_bookmark57"/>
      <w:bookmarkStart w:id="74" w:name="_Toc147502475"/>
      <w:bookmarkEnd w:id="73"/>
      <w:r>
        <w:t>Li-Ionen-Akkus und Li-Metall-Batterien</w:t>
      </w:r>
      <w:bookmarkEnd w:id="74"/>
    </w:p>
    <w:p w14:paraId="3EF84EAB" w14:textId="77777777" w:rsidR="00DF3509" w:rsidRDefault="00DF3509">
      <w:pPr>
        <w:pStyle w:val="BodyText"/>
        <w:kinsoku w:val="0"/>
        <w:overflowPunct w:val="0"/>
        <w:spacing w:before="91" w:line="278" w:lineRule="auto"/>
        <w:ind w:left="840" w:right="873"/>
      </w:pPr>
      <w:r>
        <w:t>Li-Ionen-Akkus sind in der Regel wiederaufladbar, während Li-Metall-Batterien normalerweise nicht wiederaufladbar sind. Beide Akku-/Batterietypen können bei Beschädigung oder unsachgemäßer Verpackung eine Brandgefahr verursachen.</w:t>
      </w:r>
    </w:p>
    <w:p w14:paraId="56EEC64B" w14:textId="77777777" w:rsidR="00DF3509" w:rsidRDefault="00DF3509">
      <w:pPr>
        <w:pStyle w:val="BodyText"/>
        <w:kinsoku w:val="0"/>
        <w:overflowPunct w:val="0"/>
        <w:spacing w:before="1"/>
        <w:rPr>
          <w:sz w:val="17"/>
          <w:szCs w:val="17"/>
        </w:rPr>
      </w:pPr>
    </w:p>
    <w:p w14:paraId="213A12B9" w14:textId="77777777" w:rsidR="00DF3509" w:rsidRDefault="00DF3509">
      <w:pPr>
        <w:pStyle w:val="Heading3"/>
        <w:kinsoku w:val="0"/>
        <w:overflowPunct w:val="0"/>
        <w:rPr>
          <w:spacing w:val="-2"/>
        </w:rPr>
      </w:pPr>
      <w:bookmarkStart w:id="75" w:name="_bookmark58"/>
      <w:bookmarkStart w:id="76" w:name="_Toc147502476"/>
      <w:bookmarkEnd w:id="75"/>
      <w:r>
        <w:t>Kennzeichnungsanforderungen für Li-Ionen-Akkus und Li-Metall-Batterien</w:t>
      </w:r>
      <w:bookmarkEnd w:id="76"/>
    </w:p>
    <w:p w14:paraId="4BED1720" w14:textId="77777777" w:rsidR="00DF3509" w:rsidRDefault="00DF3509">
      <w:pPr>
        <w:pStyle w:val="BodyText"/>
        <w:kinsoku w:val="0"/>
        <w:overflowPunct w:val="0"/>
        <w:spacing w:before="91" w:line="278" w:lineRule="auto"/>
        <w:ind w:left="840" w:right="779"/>
      </w:pPr>
      <w:r>
        <w:t>Die vorgeschriebenen Kennzeichnungen müssen auf den jeweiligen Paletten und dem Umkarton vorhanden sein. Darüber hinaus muss ein Dokument wie z. B. ein Luftfrachtbrief oder ein anderes Dokument vorliegen, das folgende Angaben enthält (Lithium Battery Guidance Document 2014):</w:t>
      </w:r>
    </w:p>
    <w:p w14:paraId="619D113F" w14:textId="77777777" w:rsidR="00DF3509" w:rsidRDefault="00DF3509">
      <w:pPr>
        <w:pStyle w:val="BodyText"/>
        <w:kinsoku w:val="0"/>
        <w:overflowPunct w:val="0"/>
        <w:spacing w:before="1"/>
        <w:rPr>
          <w:sz w:val="17"/>
          <w:szCs w:val="17"/>
        </w:rPr>
      </w:pPr>
    </w:p>
    <w:p w14:paraId="61AB89EE" w14:textId="77777777" w:rsidR="00DF3509" w:rsidRDefault="00DF3509">
      <w:pPr>
        <w:pStyle w:val="ListParagraph"/>
        <w:numPr>
          <w:ilvl w:val="0"/>
          <w:numId w:val="2"/>
        </w:numPr>
        <w:tabs>
          <w:tab w:val="left" w:pos="1560"/>
        </w:tabs>
        <w:kinsoku w:val="0"/>
        <w:overflowPunct w:val="0"/>
        <w:rPr>
          <w:spacing w:val="-2"/>
          <w:sz w:val="18"/>
          <w:szCs w:val="18"/>
        </w:rPr>
      </w:pPr>
      <w:r>
        <w:rPr>
          <w:sz w:val="18"/>
        </w:rPr>
        <w:t>Die Verpackung enthält Lithium-Ionen-Zellen oder -Akkus/-Batterien;</w:t>
      </w:r>
    </w:p>
    <w:p w14:paraId="0CD76CD2"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Die Verpackung muss vorsichtig angepackt werden, und es besteht die Gefahr der Entflammbarkeit, wenn das Versandstück beschädigt wird.</w:t>
      </w:r>
    </w:p>
    <w:p w14:paraId="3F766358"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Besondere Verfahren, die im Falle einer Beschädigung der Verpackung einzuhalten sind</w:t>
      </w:r>
    </w:p>
    <w:p w14:paraId="3BCE0381" w14:textId="77777777" w:rsidR="00DF3509" w:rsidRDefault="00DF3509">
      <w:pPr>
        <w:pStyle w:val="ListParagraph"/>
        <w:numPr>
          <w:ilvl w:val="0"/>
          <w:numId w:val="2"/>
        </w:numPr>
        <w:tabs>
          <w:tab w:val="left" w:pos="1560"/>
        </w:tabs>
        <w:kinsoku w:val="0"/>
        <w:overflowPunct w:val="0"/>
        <w:spacing w:before="34"/>
        <w:rPr>
          <w:spacing w:val="-2"/>
          <w:sz w:val="18"/>
          <w:szCs w:val="18"/>
        </w:rPr>
      </w:pPr>
      <w:r>
        <w:rPr>
          <w:sz w:val="18"/>
        </w:rPr>
        <w:t>Kontaktinformationen</w:t>
      </w:r>
    </w:p>
    <w:p w14:paraId="69695237" w14:textId="77777777" w:rsidR="00DF3509" w:rsidRDefault="00DF3509">
      <w:pPr>
        <w:pStyle w:val="BodyText"/>
        <w:kinsoku w:val="0"/>
        <w:overflowPunct w:val="0"/>
        <w:spacing w:before="7"/>
        <w:rPr>
          <w:sz w:val="19"/>
          <w:szCs w:val="19"/>
        </w:rPr>
      </w:pPr>
    </w:p>
    <w:p w14:paraId="0883E678" w14:textId="77777777" w:rsidR="00DF3509" w:rsidRDefault="00DF3509">
      <w:pPr>
        <w:pStyle w:val="BodyText"/>
        <w:kinsoku w:val="0"/>
        <w:overflowPunct w:val="0"/>
        <w:spacing w:before="1" w:line="278" w:lineRule="auto"/>
        <w:ind w:left="840" w:right="873"/>
      </w:pPr>
      <w:r>
        <w:t>Laut den IATA-Gefahrgutvorschriften gelten unterschiedliche Kennzeichnungen für unterschiedliche Wattstunden für Li-Ion und unterschiedliche Masse für Li-Metall. Die Berechnung für Watt-Stunden erfolgt folgendermaßen:</w:t>
      </w:r>
    </w:p>
    <w:p w14:paraId="472D3EF1" w14:textId="77777777" w:rsidR="00DF3509" w:rsidRDefault="00DF3509">
      <w:pPr>
        <w:pStyle w:val="BodyText"/>
        <w:kinsoku w:val="0"/>
        <w:overflowPunct w:val="0"/>
        <w:spacing w:before="3"/>
        <w:rPr>
          <w:sz w:val="17"/>
          <w:szCs w:val="17"/>
        </w:rPr>
      </w:pPr>
    </w:p>
    <w:p w14:paraId="39F6D151" w14:textId="77777777" w:rsidR="00FE3A82" w:rsidRDefault="00DF3509" w:rsidP="00FE3A82">
      <w:pPr>
        <w:pStyle w:val="BodyText"/>
        <w:kinsoku w:val="0"/>
        <w:overflowPunct w:val="0"/>
        <w:spacing w:line="508" w:lineRule="auto"/>
        <w:ind w:left="840" w:right="3940" w:firstLine="719"/>
      </w:pPr>
      <w:r>
        <w:t xml:space="preserve">Nennspannung x Nennkapazität (Ah) = Wattstunden. </w:t>
      </w:r>
    </w:p>
    <w:p w14:paraId="0E66AAAE" w14:textId="77777777" w:rsidR="00FE3A82" w:rsidRDefault="00DF3509" w:rsidP="00FE3A82">
      <w:pPr>
        <w:pStyle w:val="BodyText"/>
        <w:kinsoku w:val="0"/>
        <w:overflowPunct w:val="0"/>
        <w:spacing w:line="508" w:lineRule="auto"/>
        <w:ind w:left="840" w:right="2590"/>
      </w:pPr>
      <w:r>
        <w:t xml:space="preserve">Die Volt- und Ampere-Angaben sind im Datenblatt des Akkus/der Batterie zu finden. </w:t>
      </w:r>
    </w:p>
    <w:p w14:paraId="2DD489FB" w14:textId="07882E58" w:rsidR="00DF3509" w:rsidRDefault="00DF3509" w:rsidP="00FE3A82">
      <w:pPr>
        <w:pStyle w:val="BodyText"/>
        <w:kinsoku w:val="0"/>
        <w:overflowPunct w:val="0"/>
        <w:spacing w:line="508" w:lineRule="auto"/>
        <w:ind w:left="840" w:right="2590"/>
      </w:pPr>
      <w:r>
        <w:t>Welche Kennzeichnung zu verwenden ist, entnehmen Sie bitte der nachstehenden Tabelle.</w:t>
      </w: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DF3509" w:rsidRPr="001F545D" w14:paraId="120F5206" w14:textId="77777777">
        <w:trPr>
          <w:trHeight w:val="439"/>
        </w:trPr>
        <w:tc>
          <w:tcPr>
            <w:tcW w:w="10735" w:type="dxa"/>
            <w:gridSpan w:val="4"/>
            <w:tcBorders>
              <w:top w:val="single" w:sz="4" w:space="0" w:color="000000"/>
              <w:left w:val="single" w:sz="4" w:space="0" w:color="000000"/>
              <w:bottom w:val="single" w:sz="4" w:space="0" w:color="000000"/>
              <w:right w:val="single" w:sz="4" w:space="0" w:color="000000"/>
            </w:tcBorders>
          </w:tcPr>
          <w:p w14:paraId="4DBE2146" w14:textId="77777777" w:rsidR="00DF3509" w:rsidRPr="001F545D" w:rsidRDefault="00DF3509">
            <w:pPr>
              <w:pStyle w:val="TableParagraph"/>
              <w:kinsoku w:val="0"/>
              <w:overflowPunct w:val="0"/>
              <w:spacing w:line="207" w:lineRule="exact"/>
              <w:rPr>
                <w:rFonts w:eastAsia="Times New Roman"/>
                <w:spacing w:val="-2"/>
                <w:sz w:val="18"/>
                <w:szCs w:val="18"/>
              </w:rPr>
            </w:pPr>
            <w:r>
              <w:rPr>
                <w:sz w:val="18"/>
              </w:rPr>
              <w:t>Erforderliche Kennzeichnungen für den Batterietransport (UN Handbuch Prüfungen und Kriterien Teil III Unterabschnitt 38.3)</w:t>
            </w:r>
          </w:p>
        </w:tc>
      </w:tr>
      <w:tr w:rsidR="00DF3509" w:rsidRPr="001F545D" w14:paraId="214F3F55"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70CA709E" w14:textId="77777777" w:rsidR="00DF3509" w:rsidRPr="001F545D" w:rsidRDefault="00DF3509">
            <w:pPr>
              <w:pStyle w:val="TableParagraph"/>
              <w:kinsoku w:val="0"/>
              <w:overflowPunct w:val="0"/>
              <w:spacing w:line="204" w:lineRule="exact"/>
              <w:ind w:left="3910" w:right="3902"/>
              <w:jc w:val="center"/>
              <w:rPr>
                <w:rFonts w:eastAsia="Times New Roman"/>
                <w:spacing w:val="-2"/>
                <w:sz w:val="18"/>
                <w:szCs w:val="18"/>
              </w:rPr>
            </w:pPr>
            <w:r>
              <w:rPr>
                <w:sz w:val="18"/>
              </w:rPr>
              <w:t>Anforderungen an die Kennzeichnung von Li-Ionen-Akkus</w:t>
            </w:r>
          </w:p>
        </w:tc>
      </w:tr>
      <w:tr w:rsidR="00DF3509" w:rsidRPr="001F545D" w14:paraId="570AC986" w14:textId="77777777">
        <w:trPr>
          <w:trHeight w:val="436"/>
        </w:trPr>
        <w:tc>
          <w:tcPr>
            <w:tcW w:w="2657" w:type="dxa"/>
            <w:tcBorders>
              <w:top w:val="single" w:sz="4" w:space="0" w:color="000000"/>
              <w:left w:val="single" w:sz="4" w:space="0" w:color="000000"/>
              <w:bottom w:val="single" w:sz="4" w:space="0" w:color="000000"/>
              <w:right w:val="single" w:sz="4" w:space="0" w:color="000000"/>
            </w:tcBorders>
          </w:tcPr>
          <w:p w14:paraId="783D62F0" w14:textId="77777777" w:rsidR="00DF3509" w:rsidRPr="001F545D" w:rsidRDefault="00DF3509">
            <w:pPr>
              <w:pStyle w:val="TableParagraph"/>
              <w:kinsoku w:val="0"/>
              <w:overflowPunct w:val="0"/>
              <w:spacing w:line="204" w:lineRule="exact"/>
              <w:rPr>
                <w:rFonts w:eastAsia="Times New Roman"/>
                <w:b/>
                <w:bCs/>
                <w:spacing w:val="-2"/>
                <w:sz w:val="18"/>
                <w:szCs w:val="18"/>
              </w:rPr>
            </w:pPr>
            <w:r>
              <w:rPr>
                <w:b/>
                <w:sz w:val="18"/>
              </w:rPr>
              <w:t>Versand der Batterie / des Akkus</w:t>
            </w:r>
          </w:p>
        </w:tc>
        <w:tc>
          <w:tcPr>
            <w:tcW w:w="3135" w:type="dxa"/>
            <w:tcBorders>
              <w:top w:val="single" w:sz="4" w:space="0" w:color="000000"/>
              <w:left w:val="single" w:sz="4" w:space="0" w:color="000000"/>
              <w:bottom w:val="single" w:sz="4" w:space="0" w:color="000000"/>
              <w:right w:val="single" w:sz="4" w:space="0" w:color="000000"/>
            </w:tcBorders>
          </w:tcPr>
          <w:p w14:paraId="660980D4" w14:textId="77777777" w:rsidR="00DF3509" w:rsidRPr="001F545D" w:rsidRDefault="00DF3509">
            <w:pPr>
              <w:pStyle w:val="TableParagraph"/>
              <w:kinsoku w:val="0"/>
              <w:overflowPunct w:val="0"/>
              <w:spacing w:line="204" w:lineRule="exact"/>
              <w:rPr>
                <w:rFonts w:eastAsia="Times New Roman"/>
                <w:b/>
                <w:bCs/>
                <w:spacing w:val="-2"/>
                <w:sz w:val="18"/>
                <w:szCs w:val="18"/>
              </w:rPr>
            </w:pPr>
            <w:r>
              <w:rPr>
                <w:b/>
                <w:sz w:val="18"/>
              </w:rPr>
              <w:t>Wh (Wattstunde)</w:t>
            </w:r>
          </w:p>
        </w:tc>
        <w:tc>
          <w:tcPr>
            <w:tcW w:w="1840" w:type="dxa"/>
            <w:tcBorders>
              <w:top w:val="single" w:sz="4" w:space="0" w:color="000000"/>
              <w:left w:val="single" w:sz="4" w:space="0" w:color="000000"/>
              <w:bottom w:val="single" w:sz="4" w:space="0" w:color="000000"/>
              <w:right w:val="single" w:sz="4" w:space="0" w:color="000000"/>
            </w:tcBorders>
          </w:tcPr>
          <w:p w14:paraId="15A037BC" w14:textId="77777777" w:rsidR="00DF3509" w:rsidRPr="001F545D" w:rsidRDefault="00DF3509">
            <w:pPr>
              <w:pStyle w:val="TableParagraph"/>
              <w:kinsoku w:val="0"/>
              <w:overflowPunct w:val="0"/>
              <w:spacing w:line="204" w:lineRule="exact"/>
              <w:ind w:left="108"/>
              <w:rPr>
                <w:rFonts w:eastAsia="Times New Roman"/>
                <w:b/>
                <w:bCs/>
                <w:spacing w:val="-2"/>
                <w:sz w:val="18"/>
                <w:szCs w:val="18"/>
              </w:rPr>
            </w:pPr>
            <w:r>
              <w:rPr>
                <w:b/>
                <w:sz w:val="18"/>
              </w:rPr>
              <w:t>Beschriftung</w:t>
            </w:r>
          </w:p>
        </w:tc>
        <w:tc>
          <w:tcPr>
            <w:tcW w:w="3103" w:type="dxa"/>
            <w:tcBorders>
              <w:top w:val="single" w:sz="4" w:space="0" w:color="000000"/>
              <w:left w:val="single" w:sz="4" w:space="0" w:color="000000"/>
              <w:bottom w:val="single" w:sz="4" w:space="0" w:color="000000"/>
              <w:right w:val="single" w:sz="4" w:space="0" w:color="000000"/>
            </w:tcBorders>
          </w:tcPr>
          <w:p w14:paraId="3E86DE4B" w14:textId="77777777" w:rsidR="00DF3509" w:rsidRPr="001F545D" w:rsidRDefault="00DF3509">
            <w:pPr>
              <w:pStyle w:val="TableParagraph"/>
              <w:kinsoku w:val="0"/>
              <w:overflowPunct w:val="0"/>
              <w:spacing w:line="204" w:lineRule="exact"/>
              <w:ind w:left="109"/>
              <w:rPr>
                <w:rFonts w:eastAsia="Times New Roman"/>
                <w:b/>
                <w:bCs/>
                <w:spacing w:val="-2"/>
                <w:sz w:val="18"/>
                <w:szCs w:val="18"/>
              </w:rPr>
            </w:pPr>
            <w:r>
              <w:rPr>
                <w:b/>
                <w:sz w:val="18"/>
              </w:rPr>
              <w:t>Grenzwert Batterie- bzw. Akkugewicht / Packstück</w:t>
            </w:r>
          </w:p>
        </w:tc>
      </w:tr>
      <w:tr w:rsidR="00DF3509" w:rsidRPr="001F545D" w14:paraId="626C8CEA"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53E1F132" w14:textId="77777777" w:rsidR="00DF3509" w:rsidRPr="001F545D" w:rsidRDefault="00DF3509">
            <w:pPr>
              <w:pStyle w:val="TableParagraph"/>
              <w:kinsoku w:val="0"/>
              <w:overflowPunct w:val="0"/>
              <w:spacing w:line="278" w:lineRule="auto"/>
              <w:rPr>
                <w:rFonts w:eastAsia="Times New Roman"/>
                <w:sz w:val="18"/>
                <w:szCs w:val="18"/>
              </w:rPr>
            </w:pPr>
            <w:r>
              <w:rPr>
                <w:sz w:val="18"/>
              </w:rPr>
              <w:t>Im Gerät enthalten (im Gerät eingebaut)</w:t>
            </w:r>
          </w:p>
        </w:tc>
        <w:tc>
          <w:tcPr>
            <w:tcW w:w="3135" w:type="dxa"/>
            <w:tcBorders>
              <w:top w:val="single" w:sz="4" w:space="0" w:color="000000"/>
              <w:left w:val="single" w:sz="4" w:space="0" w:color="000000"/>
              <w:bottom w:val="single" w:sz="4" w:space="0" w:color="000000"/>
              <w:right w:val="single" w:sz="4" w:space="0" w:color="000000"/>
            </w:tcBorders>
          </w:tcPr>
          <w:p w14:paraId="1DEEEB00" w14:textId="77777777" w:rsidR="00DF3509" w:rsidRPr="001F545D" w:rsidRDefault="00DF3509">
            <w:pPr>
              <w:pStyle w:val="TableParagraph"/>
              <w:kinsoku w:val="0"/>
              <w:overflowPunct w:val="0"/>
              <w:spacing w:line="206" w:lineRule="exact"/>
              <w:rPr>
                <w:rFonts w:eastAsia="Times New Roman"/>
                <w:spacing w:val="-4"/>
                <w:sz w:val="18"/>
                <w:szCs w:val="18"/>
              </w:rPr>
            </w:pPr>
            <w:r>
              <w:rPr>
                <w:sz w:val="18"/>
              </w:rPr>
              <w:t>Gleich oder kleiner als 100 Wh</w:t>
            </w:r>
          </w:p>
        </w:tc>
        <w:tc>
          <w:tcPr>
            <w:tcW w:w="1840" w:type="dxa"/>
            <w:tcBorders>
              <w:top w:val="single" w:sz="4" w:space="0" w:color="000000"/>
              <w:left w:val="single" w:sz="4" w:space="0" w:color="000000"/>
              <w:bottom w:val="single" w:sz="4" w:space="0" w:color="000000"/>
              <w:right w:val="single" w:sz="4" w:space="0" w:color="000000"/>
            </w:tcBorders>
          </w:tcPr>
          <w:p w14:paraId="71BA1EB0" w14:textId="77777777" w:rsidR="00DF3509" w:rsidRPr="001F545D" w:rsidRDefault="00DF3509">
            <w:pPr>
              <w:pStyle w:val="TableParagraph"/>
              <w:kinsoku w:val="0"/>
              <w:overflowPunct w:val="0"/>
              <w:spacing w:line="206" w:lineRule="exact"/>
              <w:ind w:left="108"/>
              <w:rPr>
                <w:rFonts w:eastAsia="Times New Roman"/>
                <w:spacing w:val="-5"/>
                <w:sz w:val="18"/>
                <w:szCs w:val="18"/>
              </w:rPr>
            </w:pPr>
            <w:r>
              <w:rPr>
                <w:sz w:val="18"/>
              </w:rPr>
              <w:t>Abbildung 1</w:t>
            </w:r>
          </w:p>
        </w:tc>
        <w:tc>
          <w:tcPr>
            <w:tcW w:w="3103" w:type="dxa"/>
            <w:tcBorders>
              <w:top w:val="single" w:sz="4" w:space="0" w:color="000000"/>
              <w:left w:val="single" w:sz="4" w:space="0" w:color="000000"/>
              <w:bottom w:val="single" w:sz="4" w:space="0" w:color="000000"/>
              <w:right w:val="single" w:sz="4" w:space="0" w:color="000000"/>
            </w:tcBorders>
          </w:tcPr>
          <w:p w14:paraId="0C382EEA" w14:textId="77777777" w:rsidR="00DF3509" w:rsidRPr="001F545D" w:rsidRDefault="00DF3509">
            <w:pPr>
              <w:pStyle w:val="TableParagraph"/>
              <w:kinsoku w:val="0"/>
              <w:overflowPunct w:val="0"/>
              <w:spacing w:line="278" w:lineRule="auto"/>
              <w:ind w:left="109" w:right="1745"/>
              <w:rPr>
                <w:rFonts w:eastAsia="Times New Roman"/>
                <w:spacing w:val="-5"/>
                <w:sz w:val="18"/>
                <w:szCs w:val="18"/>
              </w:rPr>
            </w:pPr>
            <w:r>
              <w:rPr>
                <w:sz w:val="18"/>
              </w:rPr>
              <w:t>PAX = 5 kg CAO = 5 kg</w:t>
            </w:r>
          </w:p>
        </w:tc>
      </w:tr>
    </w:tbl>
    <w:p w14:paraId="7966D8E7" w14:textId="77777777" w:rsidR="00DF3509" w:rsidRDefault="00DF3509">
      <w:pPr>
        <w:rPr>
          <w:sz w:val="18"/>
          <w:szCs w:val="18"/>
        </w:rPr>
        <w:sectPr w:rsidR="00DF3509">
          <w:pgSz w:w="12240" w:h="15840"/>
          <w:pgMar w:top="1400" w:right="680" w:bottom="1140" w:left="600" w:header="0" w:footer="950" w:gutter="0"/>
          <w:cols w:space="720"/>
          <w:noEndnote/>
        </w:sectPr>
      </w:pPr>
    </w:p>
    <w:tbl>
      <w:tblPr>
        <w:tblW w:w="0" w:type="auto"/>
        <w:tblInd w:w="123" w:type="dxa"/>
        <w:tblLayout w:type="fixed"/>
        <w:tblCellMar>
          <w:left w:w="0" w:type="dxa"/>
          <w:right w:w="0" w:type="dxa"/>
        </w:tblCellMar>
        <w:tblLook w:val="0000" w:firstRow="0" w:lastRow="0" w:firstColumn="0" w:lastColumn="0" w:noHBand="0" w:noVBand="0"/>
      </w:tblPr>
      <w:tblGrid>
        <w:gridCol w:w="2657"/>
        <w:gridCol w:w="3135"/>
        <w:gridCol w:w="1840"/>
        <w:gridCol w:w="3103"/>
      </w:tblGrid>
      <w:tr w:rsidR="00496E31" w:rsidRPr="001F545D" w14:paraId="19E63A20"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799C0555" w14:textId="77777777" w:rsidR="00496E31" w:rsidRPr="001F545D" w:rsidRDefault="00496E31" w:rsidP="00496E31">
            <w:pPr>
              <w:pStyle w:val="TableParagraph"/>
              <w:kinsoku w:val="0"/>
              <w:overflowPunct w:val="0"/>
              <w:spacing w:before="1"/>
              <w:rPr>
                <w:rFonts w:eastAsia="Times New Roman"/>
                <w:spacing w:val="-2"/>
                <w:sz w:val="18"/>
                <w:szCs w:val="18"/>
              </w:rPr>
            </w:pPr>
            <w:r>
              <w:rPr>
                <w:sz w:val="18"/>
              </w:rPr>
              <w:lastRenderedPageBreak/>
              <w:t>Eigenständig</w:t>
            </w:r>
          </w:p>
        </w:tc>
        <w:tc>
          <w:tcPr>
            <w:tcW w:w="3135" w:type="dxa"/>
            <w:tcBorders>
              <w:top w:val="single" w:sz="4" w:space="0" w:color="000000"/>
              <w:left w:val="single" w:sz="4" w:space="0" w:color="000000"/>
              <w:bottom w:val="single" w:sz="4" w:space="0" w:color="000000"/>
              <w:right w:val="single" w:sz="4" w:space="0" w:color="000000"/>
            </w:tcBorders>
          </w:tcPr>
          <w:p w14:paraId="718591FA" w14:textId="77777777" w:rsidR="00496E31" w:rsidRPr="001F545D" w:rsidRDefault="00496E31" w:rsidP="00496E31">
            <w:pPr>
              <w:pStyle w:val="TableParagraph"/>
              <w:kinsoku w:val="0"/>
              <w:overflowPunct w:val="0"/>
              <w:spacing w:before="1"/>
              <w:rPr>
                <w:rFonts w:eastAsia="Times New Roman"/>
                <w:spacing w:val="-4"/>
                <w:sz w:val="18"/>
                <w:szCs w:val="18"/>
              </w:rPr>
            </w:pPr>
            <w:r>
              <w:rPr>
                <w:sz w:val="18"/>
              </w:rPr>
              <w:t>Gleich oder kleiner als 100 Wh</w:t>
            </w:r>
          </w:p>
        </w:tc>
        <w:tc>
          <w:tcPr>
            <w:tcW w:w="1840" w:type="dxa"/>
            <w:tcBorders>
              <w:top w:val="single" w:sz="4" w:space="0" w:color="000000"/>
              <w:left w:val="single" w:sz="4" w:space="0" w:color="000000"/>
              <w:bottom w:val="single" w:sz="4" w:space="0" w:color="000000"/>
              <w:right w:val="single" w:sz="4" w:space="0" w:color="000000"/>
            </w:tcBorders>
          </w:tcPr>
          <w:p w14:paraId="2C3E06A7"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Abbildung 1</w:t>
            </w:r>
          </w:p>
        </w:tc>
        <w:tc>
          <w:tcPr>
            <w:tcW w:w="3103" w:type="dxa"/>
            <w:tcBorders>
              <w:top w:val="single" w:sz="4" w:space="0" w:color="000000"/>
              <w:left w:val="single" w:sz="4" w:space="0" w:color="000000"/>
              <w:bottom w:val="single" w:sz="4" w:space="0" w:color="000000"/>
              <w:right w:val="single" w:sz="4" w:space="0" w:color="000000"/>
            </w:tcBorders>
          </w:tcPr>
          <w:p w14:paraId="6291FE9F" w14:textId="77777777" w:rsidR="00496E31" w:rsidRPr="001F545D" w:rsidRDefault="00496E31" w:rsidP="00496E31">
            <w:pPr>
              <w:pStyle w:val="TableParagraph"/>
              <w:kinsoku w:val="0"/>
              <w:overflowPunct w:val="0"/>
              <w:spacing w:before="1" w:line="508" w:lineRule="auto"/>
              <w:ind w:left="109"/>
              <w:rPr>
                <w:rFonts w:eastAsia="Times New Roman"/>
                <w:spacing w:val="-6"/>
                <w:sz w:val="18"/>
                <w:szCs w:val="18"/>
              </w:rPr>
            </w:pPr>
            <w:r>
              <w:rPr>
                <w:sz w:val="18"/>
              </w:rPr>
              <w:t>Gleich oder kleiner als 2,7 Wh = 2,5 kg</w:t>
            </w:r>
          </w:p>
          <w:p w14:paraId="15E1FE52" w14:textId="77777777" w:rsidR="00496E31" w:rsidRPr="001F545D" w:rsidRDefault="00496E31" w:rsidP="00496E31">
            <w:pPr>
              <w:pStyle w:val="TableParagraph"/>
              <w:kinsoku w:val="0"/>
              <w:overflowPunct w:val="0"/>
              <w:spacing w:line="278" w:lineRule="auto"/>
              <w:ind w:left="109"/>
              <w:rPr>
                <w:rFonts w:eastAsia="Times New Roman"/>
                <w:sz w:val="18"/>
                <w:szCs w:val="18"/>
              </w:rPr>
            </w:pPr>
            <w:r>
              <w:rPr>
                <w:sz w:val="18"/>
              </w:rPr>
              <w:t>Größer als 2,7 Wh, aber kleiner als 100 Wh = 2 Akkus/Batterien</w:t>
            </w:r>
          </w:p>
        </w:tc>
      </w:tr>
      <w:tr w:rsidR="00496E31" w:rsidRPr="001F545D" w14:paraId="6C6A485F"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3050A927" w14:textId="77777777" w:rsidR="00496E31" w:rsidRPr="001F545D" w:rsidRDefault="00496E31" w:rsidP="00496E31">
            <w:pPr>
              <w:pStyle w:val="TableParagraph"/>
              <w:kinsoku w:val="0"/>
              <w:overflowPunct w:val="0"/>
              <w:spacing w:line="276" w:lineRule="auto"/>
              <w:rPr>
                <w:rFonts w:eastAsia="Times New Roman"/>
                <w:spacing w:val="-2"/>
                <w:sz w:val="18"/>
                <w:szCs w:val="18"/>
              </w:rPr>
            </w:pPr>
            <w:r>
              <w:rPr>
                <w:sz w:val="18"/>
              </w:rPr>
              <w:t>Separat mit dem Gerät verpackt (nicht im Gerät eingebaut)</w:t>
            </w:r>
          </w:p>
        </w:tc>
        <w:tc>
          <w:tcPr>
            <w:tcW w:w="3135" w:type="dxa"/>
            <w:tcBorders>
              <w:top w:val="single" w:sz="4" w:space="0" w:color="000000"/>
              <w:left w:val="single" w:sz="4" w:space="0" w:color="000000"/>
              <w:bottom w:val="single" w:sz="4" w:space="0" w:color="000000"/>
              <w:right w:val="single" w:sz="4" w:space="0" w:color="000000"/>
            </w:tcBorders>
          </w:tcPr>
          <w:p w14:paraId="21761A9B" w14:textId="77777777" w:rsidR="00496E31" w:rsidRPr="001F545D" w:rsidRDefault="00496E31" w:rsidP="00496E31">
            <w:pPr>
              <w:pStyle w:val="TableParagraph"/>
              <w:kinsoku w:val="0"/>
              <w:overflowPunct w:val="0"/>
              <w:spacing w:before="1"/>
              <w:rPr>
                <w:rFonts w:eastAsia="Times New Roman"/>
                <w:spacing w:val="-4"/>
                <w:sz w:val="18"/>
                <w:szCs w:val="18"/>
              </w:rPr>
            </w:pPr>
            <w:r>
              <w:rPr>
                <w:sz w:val="18"/>
              </w:rPr>
              <w:t>Gleich oder kleiner als 100 Wh</w:t>
            </w:r>
          </w:p>
        </w:tc>
        <w:tc>
          <w:tcPr>
            <w:tcW w:w="1840" w:type="dxa"/>
            <w:tcBorders>
              <w:top w:val="single" w:sz="4" w:space="0" w:color="000000"/>
              <w:left w:val="single" w:sz="4" w:space="0" w:color="000000"/>
              <w:bottom w:val="single" w:sz="4" w:space="0" w:color="000000"/>
              <w:right w:val="single" w:sz="4" w:space="0" w:color="000000"/>
            </w:tcBorders>
          </w:tcPr>
          <w:p w14:paraId="4AE77331"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Abbildung 1</w:t>
            </w:r>
          </w:p>
        </w:tc>
        <w:tc>
          <w:tcPr>
            <w:tcW w:w="3103" w:type="dxa"/>
            <w:tcBorders>
              <w:top w:val="single" w:sz="4" w:space="0" w:color="000000"/>
              <w:left w:val="single" w:sz="4" w:space="0" w:color="000000"/>
              <w:bottom w:val="single" w:sz="4" w:space="0" w:color="000000"/>
              <w:right w:val="single" w:sz="4" w:space="0" w:color="000000"/>
            </w:tcBorders>
          </w:tcPr>
          <w:p w14:paraId="2C3AF233" w14:textId="77777777" w:rsidR="00496E31" w:rsidRPr="001F545D" w:rsidRDefault="00496E31" w:rsidP="00496E31">
            <w:pPr>
              <w:pStyle w:val="TableParagraph"/>
              <w:kinsoku w:val="0"/>
              <w:overflowPunct w:val="0"/>
              <w:spacing w:line="278" w:lineRule="auto"/>
              <w:ind w:left="109" w:right="1745"/>
              <w:rPr>
                <w:rFonts w:eastAsia="Times New Roman"/>
                <w:spacing w:val="-5"/>
                <w:sz w:val="18"/>
                <w:szCs w:val="18"/>
              </w:rPr>
            </w:pPr>
            <w:r>
              <w:rPr>
                <w:sz w:val="18"/>
              </w:rPr>
              <w:t>PAX = 5 kg CAO = 5 kg</w:t>
            </w:r>
          </w:p>
        </w:tc>
      </w:tr>
      <w:tr w:rsidR="00DF3509" w:rsidRPr="001F545D" w14:paraId="491D4571" w14:textId="77777777">
        <w:trPr>
          <w:trHeight w:val="438"/>
        </w:trPr>
        <w:tc>
          <w:tcPr>
            <w:tcW w:w="10735" w:type="dxa"/>
            <w:gridSpan w:val="4"/>
            <w:tcBorders>
              <w:top w:val="single" w:sz="4" w:space="0" w:color="000000"/>
              <w:left w:val="single" w:sz="4" w:space="0" w:color="000000"/>
              <w:bottom w:val="single" w:sz="4" w:space="0" w:color="000000"/>
              <w:right w:val="single" w:sz="4" w:space="0" w:color="000000"/>
            </w:tcBorders>
          </w:tcPr>
          <w:p w14:paraId="4467470B" w14:textId="77777777" w:rsidR="00DF3509" w:rsidRPr="001F545D" w:rsidRDefault="00DF3509">
            <w:pPr>
              <w:pStyle w:val="TableParagraph"/>
              <w:kinsoku w:val="0"/>
              <w:overflowPunct w:val="0"/>
              <w:spacing w:before="1"/>
              <w:ind w:left="3912" w:right="3902"/>
              <w:jc w:val="center"/>
              <w:rPr>
                <w:rFonts w:eastAsia="Times New Roman"/>
                <w:spacing w:val="-2"/>
                <w:sz w:val="18"/>
                <w:szCs w:val="18"/>
              </w:rPr>
            </w:pPr>
            <w:r>
              <w:rPr>
                <w:sz w:val="18"/>
              </w:rPr>
              <w:t>Anforderungen an die Kennzeichnung von Li- Metall-Batterien</w:t>
            </w:r>
          </w:p>
        </w:tc>
      </w:tr>
      <w:tr w:rsidR="00DF3509" w:rsidRPr="001F545D" w14:paraId="6A930C4D" w14:textId="77777777">
        <w:trPr>
          <w:trHeight w:val="674"/>
        </w:trPr>
        <w:tc>
          <w:tcPr>
            <w:tcW w:w="2657" w:type="dxa"/>
            <w:tcBorders>
              <w:top w:val="single" w:sz="4" w:space="0" w:color="000000"/>
              <w:left w:val="single" w:sz="4" w:space="0" w:color="000000"/>
              <w:bottom w:val="single" w:sz="4" w:space="0" w:color="000000"/>
              <w:right w:val="single" w:sz="4" w:space="0" w:color="000000"/>
            </w:tcBorders>
          </w:tcPr>
          <w:p w14:paraId="02FDCEBB" w14:textId="77777777" w:rsidR="00DF3509" w:rsidRPr="001F545D" w:rsidRDefault="00DF3509">
            <w:pPr>
              <w:pStyle w:val="TableParagraph"/>
              <w:kinsoku w:val="0"/>
              <w:overflowPunct w:val="0"/>
              <w:spacing w:before="1"/>
              <w:rPr>
                <w:rFonts w:eastAsia="Times New Roman"/>
                <w:b/>
                <w:bCs/>
                <w:spacing w:val="-2"/>
                <w:sz w:val="18"/>
                <w:szCs w:val="18"/>
              </w:rPr>
            </w:pPr>
            <w:r>
              <w:rPr>
                <w:b/>
                <w:sz w:val="18"/>
              </w:rPr>
              <w:t>Versand der Batterie / des Akkus</w:t>
            </w:r>
          </w:p>
        </w:tc>
        <w:tc>
          <w:tcPr>
            <w:tcW w:w="3135" w:type="dxa"/>
            <w:tcBorders>
              <w:top w:val="single" w:sz="4" w:space="0" w:color="000000"/>
              <w:left w:val="single" w:sz="4" w:space="0" w:color="000000"/>
              <w:bottom w:val="single" w:sz="4" w:space="0" w:color="000000"/>
              <w:right w:val="single" w:sz="4" w:space="0" w:color="000000"/>
            </w:tcBorders>
          </w:tcPr>
          <w:p w14:paraId="5DF084C5" w14:textId="77777777" w:rsidR="00DF3509" w:rsidRPr="001F545D" w:rsidRDefault="00DF3509">
            <w:pPr>
              <w:pStyle w:val="TableParagraph"/>
              <w:kinsoku w:val="0"/>
              <w:overflowPunct w:val="0"/>
              <w:spacing w:line="278" w:lineRule="auto"/>
              <w:ind w:right="71"/>
              <w:rPr>
                <w:rFonts w:eastAsia="Times New Roman"/>
                <w:b/>
                <w:bCs/>
                <w:spacing w:val="-2"/>
                <w:sz w:val="18"/>
                <w:szCs w:val="18"/>
              </w:rPr>
            </w:pPr>
            <w:r>
              <w:rPr>
                <w:b/>
                <w:sz w:val="18"/>
              </w:rPr>
              <w:t>Masse des Lithiummetalls der Batterie</w:t>
            </w:r>
          </w:p>
        </w:tc>
        <w:tc>
          <w:tcPr>
            <w:tcW w:w="1840" w:type="dxa"/>
            <w:tcBorders>
              <w:top w:val="single" w:sz="4" w:space="0" w:color="000000"/>
              <w:left w:val="single" w:sz="4" w:space="0" w:color="000000"/>
              <w:bottom w:val="single" w:sz="4" w:space="0" w:color="000000"/>
              <w:right w:val="single" w:sz="4" w:space="0" w:color="000000"/>
            </w:tcBorders>
          </w:tcPr>
          <w:p w14:paraId="6F22532E" w14:textId="77777777" w:rsidR="00DF3509" w:rsidRPr="001F545D" w:rsidRDefault="00DF3509">
            <w:pPr>
              <w:pStyle w:val="TableParagraph"/>
              <w:kinsoku w:val="0"/>
              <w:overflowPunct w:val="0"/>
              <w:spacing w:before="1"/>
              <w:ind w:left="108"/>
              <w:rPr>
                <w:rFonts w:eastAsia="Times New Roman"/>
                <w:b/>
                <w:bCs/>
                <w:spacing w:val="-2"/>
                <w:sz w:val="18"/>
                <w:szCs w:val="18"/>
              </w:rPr>
            </w:pPr>
            <w:r>
              <w:rPr>
                <w:b/>
                <w:sz w:val="18"/>
              </w:rPr>
              <w:t>Beschriftung</w:t>
            </w:r>
          </w:p>
        </w:tc>
        <w:tc>
          <w:tcPr>
            <w:tcW w:w="3103" w:type="dxa"/>
            <w:tcBorders>
              <w:top w:val="single" w:sz="4" w:space="0" w:color="000000"/>
              <w:left w:val="single" w:sz="4" w:space="0" w:color="000000"/>
              <w:bottom w:val="single" w:sz="4" w:space="0" w:color="000000"/>
              <w:right w:val="single" w:sz="4" w:space="0" w:color="000000"/>
            </w:tcBorders>
          </w:tcPr>
          <w:p w14:paraId="12DE05D9" w14:textId="77777777" w:rsidR="00DF3509" w:rsidRPr="001F545D" w:rsidRDefault="00DF3509">
            <w:pPr>
              <w:pStyle w:val="TableParagraph"/>
              <w:kinsoku w:val="0"/>
              <w:overflowPunct w:val="0"/>
              <w:spacing w:before="1"/>
              <w:ind w:left="109"/>
              <w:rPr>
                <w:rFonts w:eastAsia="Times New Roman"/>
                <w:b/>
                <w:bCs/>
                <w:spacing w:val="-2"/>
                <w:sz w:val="18"/>
                <w:szCs w:val="18"/>
              </w:rPr>
            </w:pPr>
            <w:r>
              <w:rPr>
                <w:b/>
                <w:sz w:val="18"/>
              </w:rPr>
              <w:t>Grenzwert Batterie- bzw. Akkugewicht / Packstück</w:t>
            </w:r>
          </w:p>
        </w:tc>
      </w:tr>
      <w:tr w:rsidR="00DF3509" w:rsidRPr="001F545D" w14:paraId="34FE0B66"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264BE833" w14:textId="77777777" w:rsidR="00DF3509" w:rsidRPr="001F545D" w:rsidRDefault="00DF3509">
            <w:pPr>
              <w:pStyle w:val="TableParagraph"/>
              <w:kinsoku w:val="0"/>
              <w:overflowPunct w:val="0"/>
              <w:spacing w:before="1" w:line="278" w:lineRule="auto"/>
              <w:rPr>
                <w:rFonts w:eastAsia="Times New Roman"/>
                <w:sz w:val="18"/>
                <w:szCs w:val="18"/>
              </w:rPr>
            </w:pPr>
            <w:r>
              <w:rPr>
                <w:sz w:val="18"/>
              </w:rPr>
              <w:t>Im Gerät enthalten (im Gerät eingebaut)</w:t>
            </w:r>
          </w:p>
        </w:tc>
        <w:tc>
          <w:tcPr>
            <w:tcW w:w="3135" w:type="dxa"/>
            <w:tcBorders>
              <w:top w:val="single" w:sz="4" w:space="0" w:color="000000"/>
              <w:left w:val="single" w:sz="4" w:space="0" w:color="000000"/>
              <w:bottom w:val="single" w:sz="4" w:space="0" w:color="000000"/>
              <w:right w:val="single" w:sz="4" w:space="0" w:color="000000"/>
            </w:tcBorders>
          </w:tcPr>
          <w:p w14:paraId="4917BA87" w14:textId="77777777" w:rsidR="00DF3509" w:rsidRPr="001F545D" w:rsidRDefault="00DF3509">
            <w:pPr>
              <w:pStyle w:val="TableParagraph"/>
              <w:kinsoku w:val="0"/>
              <w:overflowPunct w:val="0"/>
              <w:spacing w:before="3"/>
              <w:rPr>
                <w:rFonts w:eastAsia="Times New Roman"/>
                <w:spacing w:val="-5"/>
                <w:sz w:val="18"/>
                <w:szCs w:val="18"/>
              </w:rPr>
            </w:pPr>
            <w:r>
              <w:rPr>
                <w:sz w:val="18"/>
              </w:rPr>
              <w:t>Gleich oder kleiner als 2 g</w:t>
            </w:r>
          </w:p>
        </w:tc>
        <w:tc>
          <w:tcPr>
            <w:tcW w:w="1840" w:type="dxa"/>
            <w:tcBorders>
              <w:top w:val="single" w:sz="4" w:space="0" w:color="000000"/>
              <w:left w:val="single" w:sz="4" w:space="0" w:color="000000"/>
              <w:bottom w:val="single" w:sz="4" w:space="0" w:color="000000"/>
              <w:right w:val="single" w:sz="4" w:space="0" w:color="000000"/>
            </w:tcBorders>
          </w:tcPr>
          <w:p w14:paraId="2E5BAA41" w14:textId="77777777" w:rsidR="00DF3509" w:rsidRPr="001F545D" w:rsidRDefault="00496E31">
            <w:pPr>
              <w:pStyle w:val="TableParagraph"/>
              <w:kinsoku w:val="0"/>
              <w:overflowPunct w:val="0"/>
              <w:spacing w:before="3"/>
              <w:ind w:left="108"/>
              <w:rPr>
                <w:rFonts w:eastAsia="Times New Roman"/>
                <w:spacing w:val="-5"/>
                <w:sz w:val="18"/>
                <w:szCs w:val="18"/>
              </w:rPr>
            </w:pPr>
            <w:r>
              <w:rPr>
                <w:sz w:val="18"/>
              </w:rPr>
              <w:t>Abbildung 1</w:t>
            </w:r>
          </w:p>
        </w:tc>
        <w:tc>
          <w:tcPr>
            <w:tcW w:w="3103" w:type="dxa"/>
            <w:tcBorders>
              <w:top w:val="single" w:sz="4" w:space="0" w:color="000000"/>
              <w:left w:val="single" w:sz="4" w:space="0" w:color="000000"/>
              <w:bottom w:val="single" w:sz="4" w:space="0" w:color="000000"/>
              <w:right w:val="single" w:sz="4" w:space="0" w:color="000000"/>
            </w:tcBorders>
          </w:tcPr>
          <w:p w14:paraId="0D9F57F5" w14:textId="77777777" w:rsidR="00DF3509" w:rsidRPr="001F545D" w:rsidRDefault="00DF3509">
            <w:pPr>
              <w:pStyle w:val="TableParagraph"/>
              <w:kinsoku w:val="0"/>
              <w:overflowPunct w:val="0"/>
              <w:spacing w:before="1" w:line="278" w:lineRule="auto"/>
              <w:ind w:left="1101" w:right="1083"/>
              <w:jc w:val="center"/>
              <w:rPr>
                <w:rFonts w:eastAsia="Times New Roman"/>
                <w:spacing w:val="-5"/>
                <w:sz w:val="18"/>
                <w:szCs w:val="18"/>
              </w:rPr>
            </w:pPr>
            <w:r>
              <w:rPr>
                <w:sz w:val="18"/>
              </w:rPr>
              <w:t>PAX = 5 kg CAO = 5 kg</w:t>
            </w:r>
          </w:p>
        </w:tc>
      </w:tr>
      <w:tr w:rsidR="00DF3509" w:rsidRPr="001F545D" w14:paraId="44B60CFC" w14:textId="77777777">
        <w:trPr>
          <w:trHeight w:val="676"/>
        </w:trPr>
        <w:tc>
          <w:tcPr>
            <w:tcW w:w="2657" w:type="dxa"/>
            <w:tcBorders>
              <w:top w:val="single" w:sz="4" w:space="0" w:color="000000"/>
              <w:left w:val="single" w:sz="4" w:space="0" w:color="000000"/>
              <w:bottom w:val="single" w:sz="4" w:space="0" w:color="000000"/>
              <w:right w:val="single" w:sz="4" w:space="0" w:color="000000"/>
            </w:tcBorders>
          </w:tcPr>
          <w:p w14:paraId="11082724" w14:textId="77777777" w:rsidR="00DF3509" w:rsidRPr="001F545D" w:rsidRDefault="00DF3509">
            <w:pPr>
              <w:pStyle w:val="TableParagraph"/>
              <w:kinsoku w:val="0"/>
              <w:overflowPunct w:val="0"/>
              <w:spacing w:before="1"/>
              <w:rPr>
                <w:rFonts w:eastAsia="Times New Roman"/>
                <w:b/>
                <w:bCs/>
                <w:spacing w:val="-2"/>
                <w:sz w:val="18"/>
                <w:szCs w:val="18"/>
              </w:rPr>
            </w:pPr>
            <w:r>
              <w:rPr>
                <w:b/>
                <w:sz w:val="18"/>
              </w:rPr>
              <w:t>Versand der Batterie / des Akkus</w:t>
            </w:r>
          </w:p>
        </w:tc>
        <w:tc>
          <w:tcPr>
            <w:tcW w:w="3135" w:type="dxa"/>
            <w:tcBorders>
              <w:top w:val="single" w:sz="4" w:space="0" w:color="000000"/>
              <w:left w:val="single" w:sz="4" w:space="0" w:color="000000"/>
              <w:bottom w:val="single" w:sz="4" w:space="0" w:color="000000"/>
              <w:right w:val="single" w:sz="4" w:space="0" w:color="000000"/>
            </w:tcBorders>
          </w:tcPr>
          <w:p w14:paraId="00D256D1" w14:textId="77777777" w:rsidR="00DF3509" w:rsidRPr="001F545D" w:rsidRDefault="00DF3509">
            <w:pPr>
              <w:pStyle w:val="TableParagraph"/>
              <w:kinsoku w:val="0"/>
              <w:overflowPunct w:val="0"/>
              <w:spacing w:line="280" w:lineRule="auto"/>
              <w:ind w:right="71"/>
              <w:rPr>
                <w:rFonts w:eastAsia="Times New Roman"/>
                <w:b/>
                <w:bCs/>
                <w:spacing w:val="-2"/>
                <w:sz w:val="18"/>
                <w:szCs w:val="18"/>
              </w:rPr>
            </w:pPr>
            <w:r>
              <w:rPr>
                <w:b/>
                <w:sz w:val="18"/>
              </w:rPr>
              <w:t>Masse des Lithiummetalls der Batterie</w:t>
            </w:r>
          </w:p>
        </w:tc>
        <w:tc>
          <w:tcPr>
            <w:tcW w:w="1840" w:type="dxa"/>
            <w:tcBorders>
              <w:top w:val="single" w:sz="4" w:space="0" w:color="000000"/>
              <w:left w:val="single" w:sz="4" w:space="0" w:color="000000"/>
              <w:bottom w:val="single" w:sz="4" w:space="0" w:color="000000"/>
              <w:right w:val="single" w:sz="4" w:space="0" w:color="000000"/>
            </w:tcBorders>
          </w:tcPr>
          <w:p w14:paraId="20592F06" w14:textId="77777777" w:rsidR="00DF3509" w:rsidRPr="001F545D" w:rsidRDefault="00DF3509">
            <w:pPr>
              <w:pStyle w:val="TableParagraph"/>
              <w:kinsoku w:val="0"/>
              <w:overflowPunct w:val="0"/>
              <w:spacing w:before="1"/>
              <w:ind w:left="108"/>
              <w:rPr>
                <w:rFonts w:eastAsia="Times New Roman"/>
                <w:b/>
                <w:bCs/>
                <w:spacing w:val="-2"/>
                <w:sz w:val="18"/>
                <w:szCs w:val="18"/>
              </w:rPr>
            </w:pPr>
            <w:r>
              <w:rPr>
                <w:b/>
                <w:sz w:val="18"/>
              </w:rPr>
              <w:t>Beschriftung</w:t>
            </w:r>
          </w:p>
        </w:tc>
        <w:tc>
          <w:tcPr>
            <w:tcW w:w="3103" w:type="dxa"/>
            <w:tcBorders>
              <w:top w:val="single" w:sz="4" w:space="0" w:color="000000"/>
              <w:left w:val="single" w:sz="4" w:space="0" w:color="000000"/>
              <w:bottom w:val="single" w:sz="4" w:space="0" w:color="000000"/>
              <w:right w:val="single" w:sz="4" w:space="0" w:color="000000"/>
            </w:tcBorders>
          </w:tcPr>
          <w:p w14:paraId="186DBB45" w14:textId="77777777" w:rsidR="00DF3509" w:rsidRPr="001F545D" w:rsidRDefault="00DF3509">
            <w:pPr>
              <w:pStyle w:val="TableParagraph"/>
              <w:kinsoku w:val="0"/>
              <w:overflowPunct w:val="0"/>
              <w:spacing w:before="1"/>
              <w:ind w:left="109"/>
              <w:rPr>
                <w:rFonts w:eastAsia="Times New Roman"/>
                <w:b/>
                <w:bCs/>
                <w:spacing w:val="-2"/>
                <w:sz w:val="18"/>
                <w:szCs w:val="18"/>
              </w:rPr>
            </w:pPr>
            <w:r>
              <w:rPr>
                <w:b/>
                <w:sz w:val="18"/>
              </w:rPr>
              <w:t>Grenzwert Batterie- bzw. Akkugewicht / Packstück</w:t>
            </w:r>
          </w:p>
        </w:tc>
      </w:tr>
      <w:tr w:rsidR="00496E31" w:rsidRPr="001F545D" w14:paraId="65C8B34A" w14:textId="77777777">
        <w:trPr>
          <w:trHeight w:val="1552"/>
        </w:trPr>
        <w:tc>
          <w:tcPr>
            <w:tcW w:w="2657" w:type="dxa"/>
            <w:tcBorders>
              <w:top w:val="single" w:sz="4" w:space="0" w:color="000000"/>
              <w:left w:val="single" w:sz="4" w:space="0" w:color="000000"/>
              <w:bottom w:val="single" w:sz="4" w:space="0" w:color="000000"/>
              <w:right w:val="single" w:sz="4" w:space="0" w:color="000000"/>
            </w:tcBorders>
          </w:tcPr>
          <w:p w14:paraId="171D099C" w14:textId="77777777" w:rsidR="00496E31" w:rsidRPr="001F545D" w:rsidRDefault="00496E31" w:rsidP="00496E31">
            <w:pPr>
              <w:pStyle w:val="TableParagraph"/>
              <w:kinsoku w:val="0"/>
              <w:overflowPunct w:val="0"/>
              <w:spacing w:before="1"/>
              <w:rPr>
                <w:rFonts w:eastAsia="Times New Roman"/>
                <w:spacing w:val="-2"/>
                <w:sz w:val="18"/>
                <w:szCs w:val="18"/>
              </w:rPr>
            </w:pPr>
            <w:r>
              <w:rPr>
                <w:sz w:val="18"/>
              </w:rPr>
              <w:t>Eigenständig</w:t>
            </w:r>
          </w:p>
        </w:tc>
        <w:tc>
          <w:tcPr>
            <w:tcW w:w="3135" w:type="dxa"/>
            <w:tcBorders>
              <w:top w:val="single" w:sz="4" w:space="0" w:color="000000"/>
              <w:left w:val="single" w:sz="4" w:space="0" w:color="000000"/>
              <w:bottom w:val="single" w:sz="4" w:space="0" w:color="000000"/>
              <w:right w:val="single" w:sz="4" w:space="0" w:color="000000"/>
            </w:tcBorders>
          </w:tcPr>
          <w:p w14:paraId="50067099" w14:textId="77777777" w:rsidR="00496E31" w:rsidRPr="001F545D" w:rsidRDefault="00496E31" w:rsidP="00496E31">
            <w:pPr>
              <w:pStyle w:val="TableParagraph"/>
              <w:kinsoku w:val="0"/>
              <w:overflowPunct w:val="0"/>
              <w:spacing w:before="1"/>
              <w:rPr>
                <w:rFonts w:eastAsia="Times New Roman"/>
                <w:spacing w:val="-5"/>
                <w:sz w:val="18"/>
                <w:szCs w:val="18"/>
              </w:rPr>
            </w:pPr>
            <w:r>
              <w:rPr>
                <w:sz w:val="18"/>
              </w:rPr>
              <w:t>Gleich oder kleiner als 2 g</w:t>
            </w:r>
          </w:p>
        </w:tc>
        <w:tc>
          <w:tcPr>
            <w:tcW w:w="1840" w:type="dxa"/>
            <w:tcBorders>
              <w:top w:val="single" w:sz="4" w:space="0" w:color="000000"/>
              <w:left w:val="single" w:sz="4" w:space="0" w:color="000000"/>
              <w:bottom w:val="single" w:sz="4" w:space="0" w:color="000000"/>
              <w:right w:val="single" w:sz="4" w:space="0" w:color="000000"/>
            </w:tcBorders>
          </w:tcPr>
          <w:p w14:paraId="221A9000"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Abbildung 1</w:t>
            </w:r>
          </w:p>
        </w:tc>
        <w:tc>
          <w:tcPr>
            <w:tcW w:w="3103" w:type="dxa"/>
            <w:tcBorders>
              <w:top w:val="single" w:sz="4" w:space="0" w:color="000000"/>
              <w:left w:val="single" w:sz="4" w:space="0" w:color="000000"/>
              <w:bottom w:val="single" w:sz="4" w:space="0" w:color="000000"/>
              <w:right w:val="single" w:sz="4" w:space="0" w:color="000000"/>
            </w:tcBorders>
          </w:tcPr>
          <w:p w14:paraId="7013117C" w14:textId="77777777" w:rsidR="00496E31" w:rsidRPr="001F545D" w:rsidRDefault="00496E31" w:rsidP="00496E31">
            <w:pPr>
              <w:pStyle w:val="TableParagraph"/>
              <w:kinsoku w:val="0"/>
              <w:overflowPunct w:val="0"/>
              <w:spacing w:before="1" w:line="508" w:lineRule="auto"/>
              <w:ind w:left="109" w:right="196"/>
              <w:rPr>
                <w:rFonts w:eastAsia="Times New Roman"/>
                <w:spacing w:val="-6"/>
                <w:sz w:val="18"/>
                <w:szCs w:val="18"/>
              </w:rPr>
            </w:pPr>
            <w:r>
              <w:rPr>
                <w:sz w:val="18"/>
              </w:rPr>
              <w:t>Gleich oder kleiner als 0,3 g = 2,5 kg ODER</w:t>
            </w:r>
          </w:p>
          <w:p w14:paraId="2692B8CF" w14:textId="77777777" w:rsidR="00496E31" w:rsidRPr="001F545D" w:rsidRDefault="00496E31" w:rsidP="00496E31">
            <w:pPr>
              <w:pStyle w:val="TableParagraph"/>
              <w:kinsoku w:val="0"/>
              <w:overflowPunct w:val="0"/>
              <w:spacing w:line="280" w:lineRule="auto"/>
              <w:ind w:left="109" w:right="196"/>
              <w:rPr>
                <w:rFonts w:eastAsia="Times New Roman"/>
                <w:sz w:val="18"/>
                <w:szCs w:val="18"/>
              </w:rPr>
            </w:pPr>
            <w:r>
              <w:rPr>
                <w:sz w:val="18"/>
              </w:rPr>
              <w:t>Größer als 0,3 g, aber kleiner als 2 g = 2 Akkus/Batterien</w:t>
            </w:r>
          </w:p>
        </w:tc>
      </w:tr>
      <w:tr w:rsidR="00496E31" w:rsidRPr="001F545D" w14:paraId="4D6BAFF1" w14:textId="77777777">
        <w:trPr>
          <w:trHeight w:val="914"/>
        </w:trPr>
        <w:tc>
          <w:tcPr>
            <w:tcW w:w="2657" w:type="dxa"/>
            <w:tcBorders>
              <w:top w:val="single" w:sz="4" w:space="0" w:color="000000"/>
              <w:left w:val="single" w:sz="4" w:space="0" w:color="000000"/>
              <w:bottom w:val="single" w:sz="4" w:space="0" w:color="000000"/>
              <w:right w:val="single" w:sz="4" w:space="0" w:color="000000"/>
            </w:tcBorders>
          </w:tcPr>
          <w:p w14:paraId="5F9312C5" w14:textId="77777777" w:rsidR="00496E31" w:rsidRPr="001F545D" w:rsidRDefault="00496E31" w:rsidP="00496E31">
            <w:pPr>
              <w:pStyle w:val="TableParagraph"/>
              <w:kinsoku w:val="0"/>
              <w:overflowPunct w:val="0"/>
              <w:spacing w:line="278" w:lineRule="auto"/>
              <w:rPr>
                <w:rFonts w:eastAsia="Times New Roman"/>
                <w:spacing w:val="-2"/>
                <w:sz w:val="18"/>
                <w:szCs w:val="18"/>
              </w:rPr>
            </w:pPr>
            <w:r>
              <w:rPr>
                <w:sz w:val="18"/>
              </w:rPr>
              <w:t>Separat mit dem Gerät verpackt (nicht im Gerät eingebaut)</w:t>
            </w:r>
          </w:p>
        </w:tc>
        <w:tc>
          <w:tcPr>
            <w:tcW w:w="3135" w:type="dxa"/>
            <w:tcBorders>
              <w:top w:val="single" w:sz="4" w:space="0" w:color="000000"/>
              <w:left w:val="single" w:sz="4" w:space="0" w:color="000000"/>
              <w:bottom w:val="single" w:sz="4" w:space="0" w:color="000000"/>
              <w:right w:val="single" w:sz="4" w:space="0" w:color="000000"/>
            </w:tcBorders>
          </w:tcPr>
          <w:p w14:paraId="2843F732" w14:textId="77777777" w:rsidR="00496E31" w:rsidRPr="001F545D" w:rsidRDefault="00496E31" w:rsidP="00496E31">
            <w:pPr>
              <w:pStyle w:val="TableParagraph"/>
              <w:kinsoku w:val="0"/>
              <w:overflowPunct w:val="0"/>
              <w:spacing w:before="1"/>
              <w:rPr>
                <w:rFonts w:eastAsia="Times New Roman"/>
                <w:spacing w:val="-5"/>
                <w:sz w:val="18"/>
                <w:szCs w:val="18"/>
              </w:rPr>
            </w:pPr>
            <w:r>
              <w:rPr>
                <w:sz w:val="18"/>
              </w:rPr>
              <w:t>Gleich oder kleiner als 2 g</w:t>
            </w:r>
          </w:p>
        </w:tc>
        <w:tc>
          <w:tcPr>
            <w:tcW w:w="1840" w:type="dxa"/>
            <w:tcBorders>
              <w:top w:val="single" w:sz="4" w:space="0" w:color="000000"/>
              <w:left w:val="single" w:sz="4" w:space="0" w:color="000000"/>
              <w:bottom w:val="single" w:sz="4" w:space="0" w:color="000000"/>
              <w:right w:val="single" w:sz="4" w:space="0" w:color="000000"/>
            </w:tcBorders>
          </w:tcPr>
          <w:p w14:paraId="526EF4A8" w14:textId="77777777" w:rsidR="00496E31" w:rsidRPr="001F545D" w:rsidRDefault="00496E31" w:rsidP="00496E31">
            <w:pPr>
              <w:pStyle w:val="TableParagraph"/>
              <w:kinsoku w:val="0"/>
              <w:overflowPunct w:val="0"/>
              <w:spacing w:before="1"/>
              <w:ind w:left="108"/>
              <w:rPr>
                <w:rFonts w:eastAsia="Times New Roman"/>
                <w:spacing w:val="-5"/>
                <w:sz w:val="18"/>
                <w:szCs w:val="18"/>
              </w:rPr>
            </w:pPr>
            <w:r>
              <w:rPr>
                <w:sz w:val="18"/>
              </w:rPr>
              <w:t>Abbildung 1</w:t>
            </w:r>
          </w:p>
        </w:tc>
        <w:tc>
          <w:tcPr>
            <w:tcW w:w="3103" w:type="dxa"/>
            <w:tcBorders>
              <w:top w:val="single" w:sz="4" w:space="0" w:color="000000"/>
              <w:left w:val="single" w:sz="4" w:space="0" w:color="000000"/>
              <w:bottom w:val="single" w:sz="4" w:space="0" w:color="000000"/>
              <w:right w:val="single" w:sz="4" w:space="0" w:color="000000"/>
            </w:tcBorders>
          </w:tcPr>
          <w:p w14:paraId="05ACB36A" w14:textId="77777777" w:rsidR="00496E31" w:rsidRPr="001F545D" w:rsidRDefault="00496E31" w:rsidP="00496E31">
            <w:pPr>
              <w:pStyle w:val="TableParagraph"/>
              <w:kinsoku w:val="0"/>
              <w:overflowPunct w:val="0"/>
              <w:spacing w:line="278" w:lineRule="auto"/>
              <w:ind w:left="1101" w:right="1083"/>
              <w:jc w:val="center"/>
              <w:rPr>
                <w:rFonts w:eastAsia="Times New Roman"/>
                <w:spacing w:val="-5"/>
                <w:sz w:val="18"/>
                <w:szCs w:val="18"/>
              </w:rPr>
            </w:pPr>
            <w:r>
              <w:rPr>
                <w:sz w:val="18"/>
              </w:rPr>
              <w:t>PAX = 5 kg CAO = 5 kg</w:t>
            </w:r>
          </w:p>
        </w:tc>
      </w:tr>
    </w:tbl>
    <w:p w14:paraId="37498080" w14:textId="77777777" w:rsidR="00DF3509" w:rsidRDefault="00DF3509">
      <w:pPr>
        <w:pStyle w:val="BodyText"/>
        <w:kinsoku w:val="0"/>
        <w:overflowPunct w:val="0"/>
        <w:rPr>
          <w:sz w:val="20"/>
          <w:szCs w:val="20"/>
        </w:rPr>
      </w:pPr>
    </w:p>
    <w:p w14:paraId="19D38113" w14:textId="77777777" w:rsidR="00DF3509" w:rsidRDefault="00DF3509">
      <w:pPr>
        <w:pStyle w:val="BodyText"/>
        <w:kinsoku w:val="0"/>
        <w:overflowPunct w:val="0"/>
        <w:spacing w:before="1"/>
        <w:rPr>
          <w:sz w:val="20"/>
          <w:szCs w:val="20"/>
        </w:rPr>
      </w:pPr>
    </w:p>
    <w:p w14:paraId="620B6FD2" w14:textId="77777777" w:rsidR="00DF3509" w:rsidRDefault="00DF3509">
      <w:pPr>
        <w:pStyle w:val="BodyText"/>
        <w:kinsoku w:val="0"/>
        <w:overflowPunct w:val="0"/>
        <w:spacing w:before="1" w:line="278" w:lineRule="auto"/>
        <w:ind w:left="840"/>
      </w:pPr>
      <w:r>
        <w:t>Wenn die Leistung des Lithium-Ionen-Akkus mehr als 100 Wh beträgt und die Masse des Lithium-Metalls mehr als 2 g beträgt, wenden Sie sich bitte an den Umweltbeauftragten, um Informationen über die zu verwendende Kennzeichnung zu erhalten.</w:t>
      </w:r>
    </w:p>
    <w:p w14:paraId="6BCDB4C9" w14:textId="77777777" w:rsidR="00DF3509" w:rsidRDefault="00DF3509">
      <w:pPr>
        <w:pStyle w:val="BodyText"/>
        <w:kinsoku w:val="0"/>
        <w:overflowPunct w:val="0"/>
        <w:rPr>
          <w:sz w:val="17"/>
          <w:szCs w:val="17"/>
        </w:rPr>
      </w:pPr>
    </w:p>
    <w:p w14:paraId="4D9D79A1" w14:textId="77777777" w:rsidR="00DF3509" w:rsidRDefault="00DF3509">
      <w:pPr>
        <w:pStyle w:val="BodyText"/>
        <w:kinsoku w:val="0"/>
        <w:overflowPunct w:val="0"/>
        <w:spacing w:before="1"/>
        <w:ind w:left="840"/>
        <w:rPr>
          <w:spacing w:val="-2"/>
        </w:rPr>
      </w:pPr>
      <w:r>
        <w:t>Abbildung 1: Anforderung an den Inhalt der Kennzeichnung für den Versand von Batterien/Akkus:</w:t>
      </w:r>
    </w:p>
    <w:p w14:paraId="2D500402" w14:textId="6FDF8683" w:rsidR="00DF3509" w:rsidRDefault="0052779B">
      <w:pPr>
        <w:pStyle w:val="BodyText"/>
        <w:kinsoku w:val="0"/>
        <w:overflowPunct w:val="0"/>
        <w:spacing w:before="9"/>
        <w:rPr>
          <w:sz w:val="17"/>
          <w:szCs w:val="17"/>
        </w:rPr>
      </w:pPr>
      <w:r>
        <w:rPr>
          <w:noProof/>
        </w:rPr>
        <mc:AlternateContent>
          <mc:Choice Requires="wps">
            <w:drawing>
              <wp:anchor distT="0" distB="0" distL="0" distR="0" simplePos="0" relativeHeight="251664384" behindDoc="0" locked="0" layoutInCell="0" allowOverlap="1" wp14:anchorId="05D6F1A7" wp14:editId="7E1111A9">
                <wp:simplePos x="0" y="0"/>
                <wp:positionH relativeFrom="page">
                  <wp:posOffset>2695575</wp:posOffset>
                </wp:positionH>
                <wp:positionV relativeFrom="paragraph">
                  <wp:posOffset>145415</wp:posOffset>
                </wp:positionV>
                <wp:extent cx="2349500" cy="2006600"/>
                <wp:effectExtent l="0" t="0" r="0" b="0"/>
                <wp:wrapTopAndBottom/>
                <wp:docPr id="179802879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A470B" w14:textId="15FCCF23" w:rsidR="00BE289B" w:rsidRDefault="0052779B">
                            <w:pPr>
                              <w:widowControl/>
                              <w:autoSpaceDE/>
                              <w:autoSpaceDN/>
                              <w:adjustRightInd/>
                              <w:spacing w:line="3160" w:lineRule="atLeast"/>
                              <w:rPr>
                                <w:noProof/>
                              </w:rPr>
                            </w:pPr>
                            <w:r>
                              <w:rPr>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6F1A7" id="Rectangle 20" o:spid="_x0000_s1030" style="position:absolute;margin-left:212.25pt;margin-top:11.45pt;width:185pt;height:15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O+0gEAAI8DAAAOAAAAZHJzL2Uyb0RvYy54bWysU1Fv1DAMfkfiP0R559o7xgTV9aZp0xDS&#10;gEljPyBN0zaijYOdu/b49Tjp9QbjDfES2U782f78ZXs1Db04GCQLrpTrVS6FcRpq69pSPn27e/Ne&#10;CgrK1aoHZ0p5NCSvdq9fbUdfmA100NcGBYM4KkZfyi4EX2QZ6c4MilbgjePLBnBQgV1ssxrVyOhD&#10;n23y/DIbAWuPoA0RR2/nS7lL+E1jdPjaNGSC6EvJvYV0YjqreGa7rSpaVL6z+tSG+ocuBmUdFz1D&#10;3aqgxB7tX1CD1QgETVhpGDJoGqtNmoGnWecvpnnslDdpFiaH/Jkm+n+w+svh0T9gbJ38PejvJBzc&#10;dMq15hoRxs6omsutI1HZ6Kk4J0SHOFVU42eoebVqHyBxMDU4RECeTkyJ6uOZajMFoTm4eXvx4V3O&#10;G9F8Fxd5yU6soYol3SOFjwYGEY1SIu8ywavDPYX56fIkVnNwZ/s+7bN3fwQYM0ZS+7HjKA4qwlRN&#10;wtalvIh1Y6SC+sjzIMwqYVWz0QH+lGJkhZSSfuwVGin6T445iXJaDFyMajGU05xayiDFbN6EWXZ7&#10;j7btGHmdpnFwzbw1Nk303MWpXd564uSk0Cir3/306vkf7X4BAAD//wMAUEsDBBQABgAIAAAAIQA4&#10;LiNM4QAAAAoBAAAPAAAAZHJzL2Rvd25yZXYueG1sTI/LTsMwEEX3SPyDNUjsqENaaBwyqSoeapfQ&#10;Virs3HhIIvyIYrcJfD3uCpYzc3Tn3GIxGs1O1PvWWYTbSQKMbOVUa2uE3fblJgPmg7RKamcJ4Zs8&#10;LMrLi0Lmyg32jU6bULMYYn0uEZoQupxzXzVkpJ+4jmy8fbreyBDHvuaql0MMN5qnSXLPjWxt/NDI&#10;jh4bqr42R4Owyrrl+9r9DLV+/ljtX/fiaSsC4vXVuHwAFmgMfzCc9aM6lNHp4I5WeaYRZunsLqII&#10;aSqARWAuzosDwnSaCeBlwf9XKH8BAAD//wMAUEsBAi0AFAAGAAgAAAAhALaDOJL+AAAA4QEAABMA&#10;AAAAAAAAAAAAAAAAAAAAAFtDb250ZW50X1R5cGVzXS54bWxQSwECLQAUAAYACAAAACEAOP0h/9YA&#10;AACUAQAACwAAAAAAAAAAAAAAAAAvAQAAX3JlbHMvLnJlbHNQSwECLQAUAAYACAAAACEASCLjvtIB&#10;AACPAwAADgAAAAAAAAAAAAAAAAAuAgAAZHJzL2Uyb0RvYy54bWxQSwECLQAUAAYACAAAACEAOC4j&#10;TOEAAAAKAQAADwAAAAAAAAAAAAAAAAAsBAAAZHJzL2Rvd25yZXYueG1sUEsFBgAAAAAEAAQA8wAA&#10;ADoFAAAAAA==&#10;" o:allowincell="f" filled="f" stroked="f">
                <v:textbox inset="0,0,0,0">
                  <w:txbxContent>
                    <w:p w14:paraId="655A470B" w14:textId="15FCCF23" w:rsidR="00BE289B" w:rsidRDefault="0052779B">
                      <w:pPr>
                        <w:widowControl/>
                        <w:autoSpaceDE/>
                        <w:autoSpaceDN/>
                        <w:adjustRightInd/>
                        <w:spacing w:line="3160" w:lineRule="atLeast"/>
                        <w:rPr>
                          <w:noProof/>
                        </w:rPr>
                      </w:pPr>
                      <w:r>
                        <w:rPr>
                          <w:noProof/>
                        </w:rPr>
                        <w:drawing>
                          <wp:inline distT="0" distB="0" distL="0" distR="0" wp14:anchorId="5E844606" wp14:editId="7F5C60DC">
                            <wp:extent cx="1975485" cy="1992630"/>
                            <wp:effectExtent l="0" t="0" r="0" b="0"/>
                            <wp:docPr id="1622794519" name="Picture 162279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75485" cy="1992630"/>
                                    </a:xfrm>
                                    <a:prstGeom prst="rect">
                                      <a:avLst/>
                                    </a:prstGeom>
                                    <a:noFill/>
                                    <a:ln>
                                      <a:noFill/>
                                    </a:ln>
                                  </pic:spPr>
                                </pic:pic>
                              </a:graphicData>
                            </a:graphic>
                          </wp:inline>
                        </w:drawing>
                      </w:r>
                    </w:p>
                    <w:p w14:paraId="53644FA1" w14:textId="77777777" w:rsidR="006300C8" w:rsidRDefault="006300C8">
                      <w:pPr>
                        <w:widowControl/>
                        <w:autoSpaceDE/>
                        <w:autoSpaceDN/>
                        <w:adjustRightInd/>
                        <w:spacing w:line="3160" w:lineRule="atLeast"/>
                        <w:rPr>
                          <w:noProof/>
                        </w:rPr>
                      </w:pPr>
                    </w:p>
                    <w:p w14:paraId="4A4FBD23" w14:textId="77777777" w:rsidR="006300C8" w:rsidRDefault="006300C8">
                      <w:pPr>
                        <w:widowControl/>
                        <w:autoSpaceDE/>
                        <w:autoSpaceDN/>
                        <w:adjustRightInd/>
                        <w:spacing w:line="3160" w:lineRule="atLeast"/>
                        <w:rPr>
                          <w:rFonts w:ascii="Times New Roman" w:hAnsi="Times New Roman" w:cs="Times New Roman"/>
                          <w:sz w:val="24"/>
                          <w:szCs w:val="24"/>
                        </w:rPr>
                      </w:pPr>
                    </w:p>
                    <w:p w14:paraId="7017C5E6" w14:textId="77777777" w:rsidR="00BE289B" w:rsidRDefault="00BE289B">
                      <w:pPr>
                        <w:rPr>
                          <w:rFonts w:ascii="Times New Roman" w:hAnsi="Times New Roman" w:cs="Times New Roman"/>
                          <w:sz w:val="24"/>
                          <w:szCs w:val="24"/>
                        </w:rPr>
                      </w:pPr>
                    </w:p>
                  </w:txbxContent>
                </v:textbox>
                <w10:wrap type="topAndBottom" anchorx="page"/>
              </v:rect>
            </w:pict>
          </mc:Fallback>
        </mc:AlternateContent>
      </w:r>
    </w:p>
    <w:p w14:paraId="71B6977E" w14:textId="77777777" w:rsidR="006300C8" w:rsidRDefault="006300C8" w:rsidP="006300C8">
      <w:pPr>
        <w:pStyle w:val="BodyText"/>
        <w:kinsoku w:val="0"/>
        <w:overflowPunct w:val="0"/>
        <w:spacing w:before="3"/>
        <w:ind w:left="1440"/>
      </w:pPr>
      <w:r>
        <w:t>* Platz für UN-Nummer(n), d. h. UN 3090, UN 3091, UN 3480 und/oder UN 3481, falls zutreffend.</w:t>
      </w:r>
    </w:p>
    <w:p w14:paraId="04DEA3A7" w14:textId="77777777" w:rsidR="006300C8" w:rsidRDefault="006300C8">
      <w:pPr>
        <w:pStyle w:val="BodyText"/>
        <w:kinsoku w:val="0"/>
        <w:overflowPunct w:val="0"/>
        <w:spacing w:before="8"/>
        <w:sectPr w:rsidR="006300C8">
          <w:pgSz w:w="12240" w:h="15840"/>
          <w:pgMar w:top="1440" w:right="680" w:bottom="1140" w:left="600" w:header="0" w:footer="950" w:gutter="0"/>
          <w:cols w:space="720"/>
          <w:noEndnote/>
        </w:sectPr>
      </w:pPr>
    </w:p>
    <w:p w14:paraId="6C390047" w14:textId="77777777" w:rsidR="00DF3509" w:rsidRDefault="00DF3509">
      <w:pPr>
        <w:pStyle w:val="Heading3"/>
        <w:kinsoku w:val="0"/>
        <w:overflowPunct w:val="0"/>
        <w:spacing w:before="94"/>
        <w:rPr>
          <w:spacing w:val="-2"/>
        </w:rPr>
      </w:pPr>
      <w:bookmarkStart w:id="77" w:name="_bookmark59"/>
      <w:bookmarkStart w:id="78" w:name="_Toc147502477"/>
      <w:bookmarkEnd w:id="77"/>
      <w:r>
        <w:lastRenderedPageBreak/>
        <w:t>Ausnahmen von der Kennzeichnungspflicht</w:t>
      </w:r>
      <w:bookmarkEnd w:id="78"/>
    </w:p>
    <w:p w14:paraId="61CC8FFD" w14:textId="3AE1417E" w:rsidR="00DF3509" w:rsidRDefault="00DF3509">
      <w:pPr>
        <w:pStyle w:val="BodyText"/>
        <w:kinsoku w:val="0"/>
        <w:overflowPunct w:val="0"/>
        <w:spacing w:before="92" w:line="278" w:lineRule="auto"/>
        <w:ind w:left="840" w:right="873"/>
      </w:pPr>
      <w:r>
        <w:t xml:space="preserve">Eine Kennzeichnung zum Umgang mit Lithium-Ionen-Akkus ist nicht erforderlich, wenn ein Versandstück nicht mehr als 2 </w:t>
      </w:r>
      <w:r w:rsidR="00BF6065">
        <w:t xml:space="preserve">Akkus </w:t>
      </w:r>
      <w:r>
        <w:t>enthält, die in dem Gerät verbaut sind. Für im Gerät verbaute Lithium-Metall-Batterien ist keine Kennzeichnung zum Umgang mit Lithium-Batterien erforderlich.</w:t>
      </w:r>
    </w:p>
    <w:p w14:paraId="7FBCC1D6" w14:textId="77777777" w:rsidR="00DF3509" w:rsidRDefault="00DF3509">
      <w:pPr>
        <w:pStyle w:val="BodyText"/>
        <w:kinsoku w:val="0"/>
        <w:overflowPunct w:val="0"/>
        <w:spacing w:before="1"/>
        <w:rPr>
          <w:sz w:val="17"/>
          <w:szCs w:val="17"/>
        </w:rPr>
      </w:pPr>
    </w:p>
    <w:p w14:paraId="07652249" w14:textId="77777777" w:rsidR="00DF3509" w:rsidRDefault="00DF3509">
      <w:pPr>
        <w:pStyle w:val="Heading3"/>
        <w:kinsoku w:val="0"/>
        <w:overflowPunct w:val="0"/>
        <w:rPr>
          <w:spacing w:val="-2"/>
        </w:rPr>
      </w:pPr>
      <w:bookmarkStart w:id="79" w:name="_bookmark60"/>
      <w:bookmarkStart w:id="80" w:name="_Toc147502478"/>
      <w:bookmarkEnd w:id="79"/>
      <w:r>
        <w:t>Hinweis zur Produktentsorgung</w:t>
      </w:r>
      <w:bookmarkEnd w:id="80"/>
    </w:p>
    <w:p w14:paraId="4DE10197" w14:textId="77777777" w:rsidR="00DF3509" w:rsidRDefault="00DF3509">
      <w:pPr>
        <w:pStyle w:val="BodyText"/>
        <w:kinsoku w:val="0"/>
        <w:overflowPunct w:val="0"/>
        <w:spacing w:before="90" w:line="276" w:lineRule="auto"/>
        <w:ind w:left="840" w:right="779"/>
        <w:rPr>
          <w:spacing w:val="-4"/>
        </w:rPr>
      </w:pPr>
      <w:r>
        <w:t>NETGEAR Produkte dürfen nicht zusammen mit Hausmüll entsorgt werden. NETGEAR Produkte müssen an einem Ort entsorgt werden, der für das Recycling von elektrischen und elektronischen Geräten zugelassen ist. Durch das Sammeln und Recyceln von Abfällen tragen Sie zur Schonung der natürlichen Ressourcen bei und stellen sicher, dass das Produkt auf umweltfreundliche und gesunde Weise entsorgt wird.</w:t>
      </w:r>
    </w:p>
    <w:p w14:paraId="4C06EB1A" w14:textId="77777777" w:rsidR="00DF3509" w:rsidRDefault="00DF3509">
      <w:pPr>
        <w:pStyle w:val="BodyText"/>
        <w:kinsoku w:val="0"/>
        <w:overflowPunct w:val="0"/>
        <w:rPr>
          <w:sz w:val="20"/>
          <w:szCs w:val="20"/>
        </w:rPr>
      </w:pPr>
    </w:p>
    <w:p w14:paraId="407617D7" w14:textId="77777777" w:rsidR="00DF3509" w:rsidRDefault="00DF3509">
      <w:pPr>
        <w:pStyle w:val="BodyText"/>
        <w:kinsoku w:val="0"/>
        <w:overflowPunct w:val="0"/>
        <w:spacing w:before="9"/>
        <w:rPr>
          <w:sz w:val="21"/>
          <w:szCs w:val="21"/>
        </w:rPr>
      </w:pPr>
    </w:p>
    <w:p w14:paraId="0D7D7351" w14:textId="77777777" w:rsidR="00DF3509" w:rsidRDefault="00DF3509">
      <w:pPr>
        <w:pStyle w:val="Heading1"/>
        <w:kinsoku w:val="0"/>
        <w:overflowPunct w:val="0"/>
        <w:spacing w:line="276" w:lineRule="auto"/>
        <w:ind w:right="873"/>
        <w:rPr>
          <w:spacing w:val="-2"/>
        </w:rPr>
      </w:pPr>
      <w:bookmarkStart w:id="81" w:name="_bookmark61"/>
      <w:bookmarkStart w:id="82" w:name="_Toc147502479"/>
      <w:bookmarkEnd w:id="81"/>
      <w:r>
        <w:t>Informationen zur Sicherheit und EMV-Hinweis für Powerline Geräte und Pass-Through-Steckdose</w:t>
      </w:r>
      <w:bookmarkEnd w:id="82"/>
    </w:p>
    <w:p w14:paraId="20BDA698" w14:textId="77777777" w:rsidR="00DF3509" w:rsidRDefault="00DF3509">
      <w:pPr>
        <w:pStyle w:val="BodyText"/>
        <w:kinsoku w:val="0"/>
        <w:overflowPunct w:val="0"/>
        <w:spacing w:before="60" w:line="278" w:lineRule="auto"/>
        <w:ind w:left="840" w:right="873"/>
        <w:rPr>
          <w:spacing w:val="-2"/>
        </w:rPr>
      </w:pPr>
      <w:r>
        <w:t>Beachten Sie die folgenden Sicherheitsrichtlinien, um Ihre eigene persönliche Sicherheit zu gewährleisten und Ihr System vor möglichen Schäden zu schützen.</w:t>
      </w:r>
    </w:p>
    <w:p w14:paraId="26ACE997" w14:textId="77777777" w:rsidR="00DF3509" w:rsidRDefault="00DF3509">
      <w:pPr>
        <w:pStyle w:val="BodyText"/>
        <w:kinsoku w:val="0"/>
        <w:overflowPunct w:val="0"/>
        <w:rPr>
          <w:sz w:val="17"/>
          <w:szCs w:val="17"/>
        </w:rPr>
      </w:pPr>
    </w:p>
    <w:p w14:paraId="528A0D90" w14:textId="77777777" w:rsidR="00DF3509" w:rsidRDefault="00DF3509">
      <w:pPr>
        <w:pStyle w:val="ListParagraph"/>
        <w:numPr>
          <w:ilvl w:val="0"/>
          <w:numId w:val="2"/>
        </w:numPr>
        <w:tabs>
          <w:tab w:val="left" w:pos="1560"/>
        </w:tabs>
        <w:kinsoku w:val="0"/>
        <w:overflowPunct w:val="0"/>
        <w:spacing w:before="1" w:line="273" w:lineRule="auto"/>
        <w:ind w:right="1049"/>
        <w:rPr>
          <w:sz w:val="18"/>
          <w:szCs w:val="18"/>
        </w:rPr>
      </w:pPr>
      <w:r>
        <w:rPr>
          <w:sz w:val="18"/>
        </w:rPr>
        <w:t>Für nationale Zulassungen (andere Zulassungsmethoden als CB) müssen erforderliche nationale Standards für Stecker, Steckdosen und direkte Einschubeinheiten (z. B. US) auch während eines Tests und einer Zulassung solcher Produkte nach den nationalen Standards eingeholt werden.</w:t>
      </w:r>
    </w:p>
    <w:p w14:paraId="153720A3" w14:textId="77777777" w:rsidR="00DF3509" w:rsidRDefault="00DF3509">
      <w:pPr>
        <w:pStyle w:val="ListParagraph"/>
        <w:numPr>
          <w:ilvl w:val="0"/>
          <w:numId w:val="2"/>
        </w:numPr>
        <w:tabs>
          <w:tab w:val="left" w:pos="1560"/>
        </w:tabs>
        <w:kinsoku w:val="0"/>
        <w:overflowPunct w:val="0"/>
        <w:spacing w:before="1" w:line="273" w:lineRule="auto"/>
        <w:ind w:right="1151"/>
        <w:rPr>
          <w:sz w:val="18"/>
          <w:szCs w:val="18"/>
        </w:rPr>
      </w:pPr>
      <w:r>
        <w:rPr>
          <w:sz w:val="18"/>
        </w:rPr>
        <w:t>Überprüfen Sie die Stromstärke für jedes Gerät, das Sie an die gefilterte Steckdose anschließen. Stellen Sie sicher, dass Sie die Heim- und Produktdaten sowie die elektrischen Anforderungen nicht überschreiten.</w:t>
      </w:r>
    </w:p>
    <w:p w14:paraId="7EEBC016" w14:textId="77777777" w:rsidR="00DF3509" w:rsidRDefault="00DF3509">
      <w:pPr>
        <w:pStyle w:val="ListParagraph"/>
        <w:numPr>
          <w:ilvl w:val="0"/>
          <w:numId w:val="2"/>
        </w:numPr>
        <w:tabs>
          <w:tab w:val="left" w:pos="1560"/>
        </w:tabs>
        <w:kinsoku w:val="0"/>
        <w:overflowPunct w:val="0"/>
        <w:spacing w:before="29" w:line="273" w:lineRule="auto"/>
        <w:ind w:right="819"/>
        <w:rPr>
          <w:sz w:val="18"/>
          <w:szCs w:val="18"/>
        </w:rPr>
      </w:pPr>
      <w:r>
        <w:rPr>
          <w:sz w:val="18"/>
        </w:rPr>
        <w:t>Es dürfen ausschließlich Netzkabel in die gefilterte Steckdose eingesteckt werden. Das Gerät darf sich nicht mehr als 1 m von der Auflagefläche entfernt befinden und die verwendeten Stromkabel müssen mindestens 1 m lang sein und eine Querschnittfläche von maximal 1,5 mm² haben.</w:t>
      </w:r>
    </w:p>
    <w:p w14:paraId="35351902" w14:textId="77777777" w:rsidR="00DF3509" w:rsidRDefault="00DF3509">
      <w:pPr>
        <w:pStyle w:val="ListParagraph"/>
        <w:numPr>
          <w:ilvl w:val="0"/>
          <w:numId w:val="2"/>
        </w:numPr>
        <w:tabs>
          <w:tab w:val="left" w:pos="1560"/>
        </w:tabs>
        <w:kinsoku w:val="0"/>
        <w:overflowPunct w:val="0"/>
        <w:spacing w:before="4" w:line="273" w:lineRule="auto"/>
        <w:ind w:right="839"/>
        <w:rPr>
          <w:sz w:val="18"/>
          <w:szCs w:val="18"/>
        </w:rPr>
      </w:pPr>
      <w:r>
        <w:rPr>
          <w:sz w:val="18"/>
        </w:rPr>
        <w:t>Schließen Sie keine Geräte an die über den Powerline Pass Thru-Adapter geschaltete Netzsteckdose an, die die Nennwerte des Produkts überschreiten. Die Ausgangsspannung der geschalteten Steckdose ist dieselbe wie die der Steckdose, in welche der Powerline-Adapter eingesteckt wird. Um Beschädigungen Ihres Systems zu verhindern, sollten Sie sicherstellen, dass die elektrischen Daten der angeschlossenen Geräte der verfügbaren Netzspannung entsprechen.</w:t>
      </w:r>
    </w:p>
    <w:p w14:paraId="510D35DF" w14:textId="77777777" w:rsidR="00DF3509" w:rsidRDefault="00DF3509">
      <w:pPr>
        <w:pStyle w:val="ListParagraph"/>
        <w:numPr>
          <w:ilvl w:val="0"/>
          <w:numId w:val="2"/>
        </w:numPr>
        <w:tabs>
          <w:tab w:val="left" w:pos="1560"/>
        </w:tabs>
        <w:kinsoku w:val="0"/>
        <w:overflowPunct w:val="0"/>
        <w:spacing w:before="4" w:line="273" w:lineRule="auto"/>
        <w:ind w:right="917"/>
        <w:rPr>
          <w:sz w:val="18"/>
          <w:szCs w:val="18"/>
        </w:rPr>
      </w:pPr>
      <w:r>
        <w:rPr>
          <w:sz w:val="18"/>
        </w:rPr>
        <w:t>Beträgt die Eingangsspannung der Steckdose weniger als 100 V, kann die Leistungsfähigkeit des Geräts, das an die gefilterte Steckdose des Powerline-Adapters angeschlossen ist, eingeschränkt sein.</w:t>
      </w:r>
    </w:p>
    <w:p w14:paraId="02D8852E" w14:textId="77777777" w:rsidR="00DF3509" w:rsidRDefault="00DF3509">
      <w:pPr>
        <w:pStyle w:val="ListParagraph"/>
        <w:numPr>
          <w:ilvl w:val="0"/>
          <w:numId w:val="2"/>
        </w:numPr>
        <w:tabs>
          <w:tab w:val="left" w:pos="1560"/>
        </w:tabs>
        <w:kinsoku w:val="0"/>
        <w:overflowPunct w:val="0"/>
        <w:spacing w:before="2" w:line="273" w:lineRule="auto"/>
        <w:ind w:right="1085"/>
        <w:jc w:val="both"/>
        <w:rPr>
          <w:sz w:val="18"/>
          <w:szCs w:val="18"/>
        </w:rPr>
      </w:pPr>
      <w:r>
        <w:rPr>
          <w:sz w:val="18"/>
        </w:rPr>
        <w:t>SCHLIESSEN SIE KEINE GRÖSSEREN HAUSHALTSGERÄTE an die gefilterte Steckdose oder an eine daran angeschlossene Steckdosenleiste an. Das Gerät ist nicht für die Verwendung mit Haushaltsgeräten wie Klimaanlagen, Elektrowerkzeuge, Heizgeräte, Ventilatoren, Haartrockner, Öfen oder Kühlschränke konzipiert.</w:t>
      </w:r>
    </w:p>
    <w:p w14:paraId="4779EF08" w14:textId="77777777" w:rsidR="00DF3509" w:rsidRDefault="00DF3509">
      <w:pPr>
        <w:pStyle w:val="ListParagraph"/>
        <w:numPr>
          <w:ilvl w:val="0"/>
          <w:numId w:val="2"/>
        </w:numPr>
        <w:tabs>
          <w:tab w:val="left" w:pos="1560"/>
        </w:tabs>
        <w:kinsoku w:val="0"/>
        <w:overflowPunct w:val="0"/>
        <w:spacing w:before="2" w:line="276" w:lineRule="auto"/>
        <w:ind w:right="1026"/>
        <w:rPr>
          <w:sz w:val="18"/>
          <w:szCs w:val="18"/>
        </w:rPr>
      </w:pPr>
      <w:r>
        <w:rPr>
          <w:sz w:val="18"/>
        </w:rPr>
        <w:t>Achten Sie auf die Nennwerte von Verlängerungskabeln und Steckerleisten. Stellen Sie sicher, dass die Gesamtamperezahl aller an das Verlängerungskabel oder Steckerleiste angeschlossenen Produkte 80 % der Ampere-Wertbeschränkung für das Verlängerungskabel und die Steckdosenleiste nicht überschreitet.</w:t>
      </w:r>
    </w:p>
    <w:p w14:paraId="79F96E08" w14:textId="156347E8" w:rsidR="009F6DAC" w:rsidRPr="00FE3A82" w:rsidRDefault="00DF3509" w:rsidP="00FE3A82">
      <w:pPr>
        <w:pStyle w:val="ListParagraph"/>
        <w:numPr>
          <w:ilvl w:val="0"/>
          <w:numId w:val="2"/>
        </w:numPr>
        <w:tabs>
          <w:tab w:val="left" w:pos="1560"/>
        </w:tabs>
        <w:kinsoku w:val="0"/>
        <w:overflowPunct w:val="0"/>
        <w:spacing w:line="273" w:lineRule="auto"/>
        <w:ind w:right="842"/>
        <w:rPr>
          <w:sz w:val="18"/>
          <w:szCs w:val="18"/>
        </w:rPr>
      </w:pPr>
      <w:r>
        <w:rPr>
          <w:sz w:val="18"/>
        </w:rPr>
        <w:t>Der tatsächliche Datendurchsatz hängt von verschiedenen Faktoren ab. Netzwerkbedingungen und Umwelteinflüsse wie Umfang des Datenverkehrs, Baustoffe und Gebäudestruktur sowie Netzwerk-Overhead können die Durchsatzrate beeinträchtigen.</w:t>
      </w:r>
    </w:p>
    <w:p w14:paraId="70FF31A6" w14:textId="77777777" w:rsidR="00DF3509" w:rsidRDefault="00DF3509">
      <w:pPr>
        <w:pStyle w:val="BodyText"/>
        <w:kinsoku w:val="0"/>
        <w:overflowPunct w:val="0"/>
        <w:spacing w:before="79" w:line="278" w:lineRule="auto"/>
        <w:ind w:left="840" w:right="779"/>
      </w:pPr>
      <w:r>
        <w:t>NETGEAR Powerline Produkte bieten eine Alternative zur Erweiterung Ihres Netzwerks über die vorhandene Stromverkabelung. Im Falle von Funkstörungen beachten Sie bitte diese Hinweise:</w:t>
      </w:r>
    </w:p>
    <w:p w14:paraId="09209A2E" w14:textId="77777777" w:rsidR="00DF3509" w:rsidRDefault="00DF3509">
      <w:pPr>
        <w:pStyle w:val="BodyText"/>
        <w:kinsoku w:val="0"/>
        <w:overflowPunct w:val="0"/>
        <w:spacing w:before="1"/>
        <w:rPr>
          <w:sz w:val="17"/>
          <w:szCs w:val="17"/>
        </w:rPr>
      </w:pPr>
    </w:p>
    <w:p w14:paraId="42C78757" w14:textId="77777777" w:rsidR="00DF3509" w:rsidRDefault="00DF3509">
      <w:pPr>
        <w:pStyle w:val="ListParagraph"/>
        <w:numPr>
          <w:ilvl w:val="0"/>
          <w:numId w:val="2"/>
        </w:numPr>
        <w:tabs>
          <w:tab w:val="left" w:pos="1560"/>
        </w:tabs>
        <w:kinsoku w:val="0"/>
        <w:overflowPunct w:val="0"/>
        <w:rPr>
          <w:spacing w:val="-2"/>
          <w:sz w:val="18"/>
          <w:szCs w:val="18"/>
        </w:rPr>
      </w:pPr>
      <w:r>
        <w:rPr>
          <w:sz w:val="18"/>
        </w:rPr>
        <w:t>Stecken Sie Powerline-Adapter in Steckdosen, die sich nicht in der Nähe von Ladegeräten für Mobiltelefone und Basisstationen für schnurlose Telefone befinden</w:t>
      </w:r>
    </w:p>
    <w:p w14:paraId="7B9FEA0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Stellen Sie sicher, dass Powerline-Adapter nicht in der Nähe von Geräten mit Motor (z. B. Ventilator, Staubsauger usw.) verwendet werden</w:t>
      </w:r>
    </w:p>
    <w:p w14:paraId="40E1C4B7" w14:textId="77777777" w:rsidR="00DF3509" w:rsidRDefault="00DF3509">
      <w:pPr>
        <w:pStyle w:val="ListParagraph"/>
        <w:numPr>
          <w:ilvl w:val="0"/>
          <w:numId w:val="2"/>
        </w:numPr>
        <w:tabs>
          <w:tab w:val="left" w:pos="1560"/>
        </w:tabs>
        <w:kinsoku w:val="0"/>
        <w:overflowPunct w:val="0"/>
        <w:spacing w:before="32"/>
        <w:rPr>
          <w:spacing w:val="-2"/>
          <w:sz w:val="18"/>
          <w:szCs w:val="18"/>
        </w:rPr>
      </w:pPr>
      <w:r>
        <w:rPr>
          <w:sz w:val="18"/>
        </w:rPr>
        <w:t>Achten Sie darauf, dass Powerline-Adapter nicht in der Nähe von Audiogeräten wie z. B. Radioempfängern platziert werden</w:t>
      </w:r>
    </w:p>
    <w:p w14:paraId="304486E9" w14:textId="77777777" w:rsidR="009F6DAC" w:rsidRDefault="009F6DAC">
      <w:pPr>
        <w:pStyle w:val="BodyText"/>
        <w:kinsoku w:val="0"/>
        <w:overflowPunct w:val="0"/>
        <w:rPr>
          <w:sz w:val="20"/>
          <w:szCs w:val="20"/>
        </w:rPr>
        <w:sectPr w:rsidR="009F6DAC">
          <w:pgSz w:w="12240" w:h="15840"/>
          <w:pgMar w:top="1420" w:right="680" w:bottom="1140" w:left="600" w:header="0" w:footer="950" w:gutter="0"/>
          <w:cols w:space="720"/>
          <w:noEndnote/>
        </w:sectPr>
      </w:pPr>
    </w:p>
    <w:p w14:paraId="4FF857BC" w14:textId="77777777" w:rsidR="00DF3509" w:rsidRDefault="00DF3509">
      <w:pPr>
        <w:pStyle w:val="Heading2"/>
        <w:kinsoku w:val="0"/>
        <w:overflowPunct w:val="0"/>
        <w:rPr>
          <w:spacing w:val="-2"/>
        </w:rPr>
      </w:pPr>
      <w:bookmarkStart w:id="83" w:name="_bookmark62"/>
      <w:bookmarkStart w:id="84" w:name="_Toc147502480"/>
      <w:bookmarkEnd w:id="83"/>
      <w:r>
        <w:lastRenderedPageBreak/>
        <w:t>Allgemeine Hinweise für alle Produkte</w:t>
      </w:r>
      <w:bookmarkEnd w:id="84"/>
    </w:p>
    <w:p w14:paraId="054A9EE4" w14:textId="77777777" w:rsidR="00DF3509" w:rsidRDefault="00DF3509">
      <w:pPr>
        <w:pStyle w:val="ListParagraph"/>
        <w:numPr>
          <w:ilvl w:val="0"/>
          <w:numId w:val="2"/>
        </w:numPr>
        <w:tabs>
          <w:tab w:val="left" w:pos="1560"/>
        </w:tabs>
        <w:kinsoku w:val="0"/>
        <w:overflowPunct w:val="0"/>
        <w:spacing w:before="102"/>
        <w:rPr>
          <w:spacing w:val="-2"/>
          <w:sz w:val="18"/>
          <w:szCs w:val="18"/>
        </w:rPr>
      </w:pPr>
      <w:r>
        <w:rPr>
          <w:sz w:val="18"/>
        </w:rPr>
        <w:t>Verwenden Sie das Produkt nur mit zugelassenen Geräten.</w:t>
      </w:r>
    </w:p>
    <w:p w14:paraId="1ABE5145" w14:textId="77777777" w:rsidR="00DF3509" w:rsidRDefault="00DF3509">
      <w:pPr>
        <w:pStyle w:val="ListParagraph"/>
        <w:numPr>
          <w:ilvl w:val="0"/>
          <w:numId w:val="2"/>
        </w:numPr>
        <w:tabs>
          <w:tab w:val="left" w:pos="1560"/>
        </w:tabs>
        <w:kinsoku w:val="0"/>
        <w:overflowPunct w:val="0"/>
        <w:spacing w:before="29"/>
        <w:rPr>
          <w:spacing w:val="-2"/>
          <w:sz w:val="18"/>
          <w:szCs w:val="18"/>
        </w:rPr>
      </w:pPr>
      <w:r>
        <w:rPr>
          <w:sz w:val="18"/>
        </w:rPr>
        <w:t>Lassen Sie die Produkte abkühlen, bevor Sie Abdeckungen entfernen oder interne Komponenten berühren.</w:t>
      </w:r>
    </w:p>
    <w:p w14:paraId="12407FA3" w14:textId="77777777" w:rsidR="00DF3509" w:rsidRDefault="00DF3509">
      <w:pPr>
        <w:pStyle w:val="ListParagraph"/>
        <w:numPr>
          <w:ilvl w:val="0"/>
          <w:numId w:val="2"/>
        </w:numPr>
        <w:tabs>
          <w:tab w:val="left" w:pos="1560"/>
        </w:tabs>
        <w:kinsoku w:val="0"/>
        <w:overflowPunct w:val="0"/>
        <w:spacing w:before="30" w:line="273" w:lineRule="auto"/>
        <w:ind w:right="1074"/>
        <w:rPr>
          <w:sz w:val="18"/>
          <w:szCs w:val="18"/>
        </w:rPr>
      </w:pPr>
      <w:r>
        <w:rPr>
          <w:sz w:val="18"/>
        </w:rPr>
        <w:t>Um eine Beschädigung Ihres Systems zu vermeiden, achten Sie darauf, dass der Spannungswahlschalter (falls vorhanden) am Netzteil auf die verfügbare Leistung an Ihrem Standort eingestellt ist:</w:t>
      </w:r>
    </w:p>
    <w:p w14:paraId="4F6D5333" w14:textId="77777777" w:rsidR="00DF3509" w:rsidRDefault="00DF3509">
      <w:pPr>
        <w:pStyle w:val="ListParagraph"/>
        <w:numPr>
          <w:ilvl w:val="1"/>
          <w:numId w:val="2"/>
        </w:numPr>
        <w:tabs>
          <w:tab w:val="left" w:pos="2280"/>
        </w:tabs>
        <w:kinsoku w:val="0"/>
        <w:overflowPunct w:val="0"/>
        <w:spacing w:before="2" w:line="256" w:lineRule="auto"/>
        <w:ind w:right="1020"/>
        <w:rPr>
          <w:sz w:val="18"/>
          <w:szCs w:val="18"/>
        </w:rPr>
      </w:pPr>
      <w:r>
        <w:rPr>
          <w:sz w:val="18"/>
        </w:rPr>
        <w:t>110 Volt (V), 60 Hertz (Hz) in den meisten Regionen Nord- und Südamerikas sowie einigen fernöstlichen Ländern wie Südkorea und Taiwan</w:t>
      </w:r>
    </w:p>
    <w:p w14:paraId="301DB434" w14:textId="77777777" w:rsidR="00DF3509" w:rsidRDefault="00DF3509">
      <w:pPr>
        <w:pStyle w:val="ListParagraph"/>
        <w:numPr>
          <w:ilvl w:val="1"/>
          <w:numId w:val="2"/>
        </w:numPr>
        <w:tabs>
          <w:tab w:val="left" w:pos="2279"/>
        </w:tabs>
        <w:kinsoku w:val="0"/>
        <w:overflowPunct w:val="0"/>
        <w:spacing w:before="17"/>
        <w:ind w:left="2279" w:hanging="359"/>
        <w:rPr>
          <w:spacing w:val="-2"/>
          <w:sz w:val="18"/>
          <w:szCs w:val="18"/>
        </w:rPr>
      </w:pPr>
      <w:r>
        <w:rPr>
          <w:sz w:val="18"/>
        </w:rPr>
        <w:t>100 V, 50 Hz im Osten Japans und 100 V, 60 Hz im westlichen Japan</w:t>
      </w:r>
    </w:p>
    <w:p w14:paraId="7E96FF36" w14:textId="77777777" w:rsidR="00DF3509" w:rsidRDefault="00DF3509">
      <w:pPr>
        <w:pStyle w:val="ListParagraph"/>
        <w:numPr>
          <w:ilvl w:val="1"/>
          <w:numId w:val="2"/>
        </w:numPr>
        <w:tabs>
          <w:tab w:val="left" w:pos="2279"/>
        </w:tabs>
        <w:kinsoku w:val="0"/>
        <w:overflowPunct w:val="0"/>
        <w:spacing w:before="15"/>
        <w:ind w:left="2279" w:hanging="359"/>
        <w:rPr>
          <w:spacing w:val="-4"/>
          <w:sz w:val="18"/>
          <w:szCs w:val="18"/>
        </w:rPr>
      </w:pPr>
      <w:r>
        <w:rPr>
          <w:sz w:val="18"/>
        </w:rPr>
        <w:t>230 V, 50 Hz in den meisten Ländern Europas, des Nahen Ostens und des Fernen Ostens</w:t>
      </w:r>
    </w:p>
    <w:p w14:paraId="01C9B009" w14:textId="77777777" w:rsidR="00DF3509" w:rsidRDefault="00DF3509">
      <w:pPr>
        <w:pStyle w:val="ListParagraph"/>
        <w:numPr>
          <w:ilvl w:val="0"/>
          <w:numId w:val="2"/>
        </w:numPr>
        <w:tabs>
          <w:tab w:val="left" w:pos="1560"/>
        </w:tabs>
        <w:kinsoku w:val="0"/>
        <w:overflowPunct w:val="0"/>
        <w:spacing w:before="17" w:line="271" w:lineRule="auto"/>
        <w:ind w:right="1258"/>
        <w:rPr>
          <w:sz w:val="18"/>
          <w:szCs w:val="18"/>
        </w:rPr>
      </w:pPr>
      <w:r>
        <w:rPr>
          <w:sz w:val="18"/>
        </w:rPr>
        <w:t>Verwenden Sie zum Schutz Ihres Systems vor plötzlichen, vorübergehenden Anstiegen und Abfällen in der Stromversorgung einen Überspannungsschutz, einen Leitungskonditionierer oder eine unterbrechungsfreie Stromversorgung (USV).</w:t>
      </w:r>
    </w:p>
    <w:p w14:paraId="3172EEA9" w14:textId="77777777" w:rsidR="00DF3509" w:rsidRDefault="00DF3509">
      <w:pPr>
        <w:pStyle w:val="ListParagraph"/>
        <w:numPr>
          <w:ilvl w:val="0"/>
          <w:numId w:val="2"/>
        </w:numPr>
        <w:tabs>
          <w:tab w:val="left" w:pos="1560"/>
        </w:tabs>
        <w:kinsoku w:val="0"/>
        <w:overflowPunct w:val="0"/>
        <w:spacing w:before="4" w:line="271" w:lineRule="auto"/>
        <w:ind w:right="900"/>
        <w:rPr>
          <w:sz w:val="18"/>
          <w:szCs w:val="18"/>
        </w:rPr>
      </w:pPr>
      <w:r>
        <w:rPr>
          <w:sz w:val="18"/>
        </w:rPr>
        <w:t>Laststromkabel sind mit dreipoligen Steckern ausgestattet, um eine ordnungsgemäße Erdung sicherzustellen. Verwenden Sie keine Adapterstecker, und entfernen Sie nicht den Erdungsstift von einem Kabel.</w:t>
      </w:r>
    </w:p>
    <w:p w14:paraId="213A9560" w14:textId="77777777" w:rsidR="00DF3509" w:rsidRDefault="00DF3509">
      <w:pPr>
        <w:pStyle w:val="ListParagraph"/>
        <w:numPr>
          <w:ilvl w:val="0"/>
          <w:numId w:val="2"/>
        </w:numPr>
        <w:tabs>
          <w:tab w:val="left" w:pos="1560"/>
        </w:tabs>
        <w:kinsoku w:val="0"/>
        <w:overflowPunct w:val="0"/>
        <w:spacing w:before="4" w:line="276" w:lineRule="auto"/>
        <w:ind w:right="844"/>
        <w:rPr>
          <w:spacing w:val="-2"/>
          <w:sz w:val="18"/>
          <w:szCs w:val="18"/>
        </w:rPr>
      </w:pPr>
      <w:r>
        <w:rPr>
          <w:sz w:val="18"/>
        </w:rPr>
        <w:t>Durch Öffnen oder Entfernen von Abdeckungen, die mit dem dreieckigen Blitzsymbol gekennzeichnet sind, setzen Sie sich dem Risiko eines Stromschlags aus. Die Wartung der Komponenten in diesen Gehäusen sollte nur von einem geschulten Servicetechniker durchgeführt werden.</w:t>
      </w:r>
    </w:p>
    <w:p w14:paraId="5F815565" w14:textId="77777777" w:rsidR="00DF3509" w:rsidRDefault="00DF3509">
      <w:pPr>
        <w:pStyle w:val="ListParagraph"/>
        <w:numPr>
          <w:ilvl w:val="0"/>
          <w:numId w:val="2"/>
        </w:numPr>
        <w:tabs>
          <w:tab w:val="left" w:pos="1560"/>
        </w:tabs>
        <w:kinsoku w:val="0"/>
        <w:overflowPunct w:val="0"/>
        <w:rPr>
          <w:spacing w:val="-2"/>
          <w:sz w:val="18"/>
          <w:szCs w:val="18"/>
        </w:rPr>
      </w:pPr>
      <w:r>
        <w:rPr>
          <w:sz w:val="18"/>
        </w:rPr>
        <w:t>Warten Sie Produkte nicht anders als gemäß den Erläuterungen in der Systemdokumentation.</w:t>
      </w:r>
    </w:p>
    <w:p w14:paraId="7FB5F581" w14:textId="77777777" w:rsidR="00DF3509" w:rsidRDefault="00DF3509">
      <w:pPr>
        <w:pStyle w:val="BodyText"/>
        <w:kinsoku w:val="0"/>
        <w:overflowPunct w:val="0"/>
        <w:rPr>
          <w:sz w:val="22"/>
          <w:szCs w:val="22"/>
        </w:rPr>
      </w:pPr>
    </w:p>
    <w:p w14:paraId="029852B3" w14:textId="77777777" w:rsidR="00DF3509" w:rsidRDefault="00DF3509">
      <w:pPr>
        <w:pStyle w:val="BodyText"/>
        <w:kinsoku w:val="0"/>
        <w:overflowPunct w:val="0"/>
        <w:spacing w:before="3"/>
        <w:rPr>
          <w:sz w:val="22"/>
          <w:szCs w:val="22"/>
        </w:rPr>
      </w:pPr>
    </w:p>
    <w:p w14:paraId="28A941D2" w14:textId="77777777" w:rsidR="00DF3509" w:rsidRDefault="00DF3509">
      <w:pPr>
        <w:pStyle w:val="Heading1"/>
        <w:kinsoku w:val="0"/>
        <w:overflowPunct w:val="0"/>
        <w:rPr>
          <w:spacing w:val="-2"/>
        </w:rPr>
      </w:pPr>
      <w:bookmarkStart w:id="85" w:name="_bookmark63"/>
      <w:bookmarkStart w:id="86" w:name="_Toc147502481"/>
      <w:bookmarkEnd w:id="85"/>
      <w:r>
        <w:t>Sicherheitshinweise für die Befestigung im Rack</w:t>
      </w:r>
      <w:bookmarkEnd w:id="86"/>
    </w:p>
    <w:p w14:paraId="004ECFE4" w14:textId="77777777" w:rsidR="00DF3509" w:rsidRDefault="00DF3509">
      <w:pPr>
        <w:pStyle w:val="BodyText"/>
        <w:kinsoku w:val="0"/>
        <w:overflowPunct w:val="0"/>
        <w:spacing w:before="110"/>
        <w:ind w:left="840"/>
        <w:rPr>
          <w:spacing w:val="-2"/>
        </w:rPr>
      </w:pPr>
      <w:r>
        <w:t>Diese Informationen gelten für die Installation von NETGEAR Produkten zur Befestigung im Rack</w:t>
      </w:r>
    </w:p>
    <w:p w14:paraId="6A8A0397" w14:textId="77777777" w:rsidR="00DF3509" w:rsidRDefault="00DF3509">
      <w:pPr>
        <w:pStyle w:val="BodyText"/>
        <w:kinsoku w:val="0"/>
        <w:overflowPunct w:val="0"/>
        <w:spacing w:before="9"/>
        <w:rPr>
          <w:sz w:val="19"/>
          <w:szCs w:val="19"/>
        </w:rPr>
      </w:pPr>
    </w:p>
    <w:p w14:paraId="4BB8A6AD" w14:textId="77777777" w:rsidR="00DF3509" w:rsidRDefault="00DF3509">
      <w:pPr>
        <w:pStyle w:val="ListParagraph"/>
        <w:numPr>
          <w:ilvl w:val="0"/>
          <w:numId w:val="2"/>
        </w:numPr>
        <w:tabs>
          <w:tab w:val="left" w:pos="1560"/>
        </w:tabs>
        <w:kinsoku w:val="0"/>
        <w:overflowPunct w:val="0"/>
        <w:spacing w:line="276" w:lineRule="auto"/>
        <w:ind w:right="1029"/>
        <w:rPr>
          <w:sz w:val="18"/>
          <w:szCs w:val="18"/>
        </w:rPr>
      </w:pPr>
      <w:r>
        <w:rPr>
          <w:b/>
          <w:sz w:val="18"/>
        </w:rPr>
        <w:t>Umgebungstemperatur</w:t>
      </w:r>
      <w:r>
        <w:rPr>
          <w:sz w:val="18"/>
        </w:rPr>
        <w:t>. Wenn der Switch in einem geschlossenen Rack oder einem Rack mit mehreren Einheiten installiert wird, ist die Umgebungstemperatur innerhalb des Racks möglicherweise höher als die Raumtemperatur. Sorgen Sie dafür, dass das Gerät in einer Umgebung mit geeigneter Umgebungstemperatur installiert wird.</w:t>
      </w:r>
    </w:p>
    <w:p w14:paraId="05DF1584" w14:textId="77777777" w:rsidR="00DF3509" w:rsidRDefault="00DF3509">
      <w:pPr>
        <w:pStyle w:val="ListParagraph"/>
        <w:numPr>
          <w:ilvl w:val="0"/>
          <w:numId w:val="2"/>
        </w:numPr>
        <w:tabs>
          <w:tab w:val="left" w:pos="1560"/>
        </w:tabs>
        <w:kinsoku w:val="0"/>
        <w:overflowPunct w:val="0"/>
        <w:spacing w:line="271" w:lineRule="auto"/>
        <w:ind w:right="869"/>
        <w:rPr>
          <w:sz w:val="18"/>
          <w:szCs w:val="18"/>
        </w:rPr>
      </w:pPr>
      <w:r>
        <w:rPr>
          <w:b/>
          <w:sz w:val="18"/>
        </w:rPr>
        <w:t>Verminderter Luftfluss</w:t>
      </w:r>
      <w:r>
        <w:rPr>
          <w:sz w:val="18"/>
        </w:rPr>
        <w:t>. Bringen Sie das Gerät so im Rack an, dass der für den sicheren Betrieb des Geräts erforderliche Luftfluss garantiert ist.</w:t>
      </w:r>
    </w:p>
    <w:p w14:paraId="5A49142F" w14:textId="77777777" w:rsidR="00DF3509" w:rsidRDefault="00DF3509">
      <w:pPr>
        <w:pStyle w:val="ListParagraph"/>
        <w:numPr>
          <w:ilvl w:val="0"/>
          <w:numId w:val="2"/>
        </w:numPr>
        <w:tabs>
          <w:tab w:val="left" w:pos="1560"/>
        </w:tabs>
        <w:kinsoku w:val="0"/>
        <w:overflowPunct w:val="0"/>
        <w:spacing w:before="1" w:line="271" w:lineRule="auto"/>
        <w:ind w:right="936"/>
        <w:rPr>
          <w:sz w:val="18"/>
          <w:szCs w:val="18"/>
        </w:rPr>
      </w:pPr>
      <w:r>
        <w:rPr>
          <w:b/>
          <w:sz w:val="18"/>
        </w:rPr>
        <w:t>Mechanische Belastung</w:t>
      </w:r>
      <w:r>
        <w:rPr>
          <w:sz w:val="18"/>
        </w:rPr>
        <w:t>. Stellen Sie bei der Rackmontage eine gleichmäßige mechanische Belastung her, um gefährliche Bedingungen auszuschließen.</w:t>
      </w:r>
    </w:p>
    <w:p w14:paraId="409847DC" w14:textId="77777777" w:rsidR="00DF3509" w:rsidRDefault="00DF3509">
      <w:pPr>
        <w:pStyle w:val="ListParagraph"/>
        <w:numPr>
          <w:ilvl w:val="0"/>
          <w:numId w:val="2"/>
        </w:numPr>
        <w:tabs>
          <w:tab w:val="left" w:pos="1560"/>
        </w:tabs>
        <w:kinsoku w:val="0"/>
        <w:overflowPunct w:val="0"/>
        <w:spacing w:before="7" w:line="273" w:lineRule="auto"/>
        <w:ind w:right="827"/>
        <w:rPr>
          <w:sz w:val="18"/>
          <w:szCs w:val="18"/>
        </w:rPr>
      </w:pPr>
      <w:r>
        <w:rPr>
          <w:b/>
          <w:sz w:val="18"/>
        </w:rPr>
        <w:t>Überlastung des Stromkreises</w:t>
      </w:r>
      <w:r>
        <w:rPr>
          <w:sz w:val="18"/>
        </w:rPr>
        <w:t>. Bedenken Sie beim Anschließen des Geräts an die Stromversorgung die Auswirkungen, die eine mögliche Überlastung der Stromkreise nach sich ziehen kann, und richten Sie Überstromschutz und Spannungszuleitung entsprechend ein. Beachten Sie dabei die Typenschildangaben.</w:t>
      </w:r>
    </w:p>
    <w:p w14:paraId="2D099545" w14:textId="77777777" w:rsidR="00DF3509" w:rsidRDefault="00DF3509">
      <w:pPr>
        <w:pStyle w:val="ListParagraph"/>
        <w:numPr>
          <w:ilvl w:val="0"/>
          <w:numId w:val="2"/>
        </w:numPr>
        <w:tabs>
          <w:tab w:val="left" w:pos="1560"/>
        </w:tabs>
        <w:kinsoku w:val="0"/>
        <w:overflowPunct w:val="0"/>
        <w:spacing w:before="1" w:line="276" w:lineRule="auto"/>
        <w:ind w:right="808"/>
        <w:rPr>
          <w:sz w:val="18"/>
          <w:szCs w:val="18"/>
        </w:rPr>
      </w:pPr>
      <w:r>
        <w:rPr>
          <w:b/>
          <w:sz w:val="18"/>
        </w:rPr>
        <w:t>Sichere Erdung</w:t>
      </w:r>
      <w:r>
        <w:rPr>
          <w:sz w:val="18"/>
        </w:rPr>
        <w:t>. Dieses Produkt muss stets zuverlässig geerdet sein. Sorgen Sie daher für eine Erdung des Racks. Achten Sie vor allem auf Stromverbindungen, die nicht direkt mit dem Stromkreis verbunden sind (z. B. Steckerleisten).</w:t>
      </w:r>
    </w:p>
    <w:p w14:paraId="63B04371" w14:textId="77777777" w:rsidR="00DF3509" w:rsidRDefault="00DF3509">
      <w:pPr>
        <w:pStyle w:val="ListParagraph"/>
        <w:numPr>
          <w:ilvl w:val="0"/>
          <w:numId w:val="2"/>
        </w:numPr>
        <w:tabs>
          <w:tab w:val="left" w:pos="1560"/>
        </w:tabs>
        <w:kinsoku w:val="0"/>
        <w:overflowPunct w:val="0"/>
        <w:spacing w:line="276" w:lineRule="auto"/>
        <w:ind w:right="1044"/>
        <w:rPr>
          <w:spacing w:val="-2"/>
          <w:sz w:val="18"/>
          <w:szCs w:val="18"/>
        </w:rPr>
      </w:pPr>
      <w:r>
        <w:rPr>
          <w:b/>
          <w:sz w:val="18"/>
        </w:rPr>
        <w:t>Abstände</w:t>
      </w:r>
      <w:r>
        <w:rPr>
          <w:sz w:val="18"/>
        </w:rPr>
        <w:t>. Lassen Sie vor dem Rack genügend Abstand (mindestens 60 cm), damit Sie die Frontklappe komplett öffnen können. Lassen Sie hinter dem Rack mindestens 70 cm Platz, um eine ausreichende Belüftung zu gewährleisten und die Wartung zu erleichtern.</w:t>
      </w:r>
    </w:p>
    <w:p w14:paraId="7C183BE9" w14:textId="4F3C2E24" w:rsidR="00DF3509" w:rsidRDefault="0052779B">
      <w:pPr>
        <w:pStyle w:val="BodyText"/>
        <w:kinsoku w:val="0"/>
        <w:overflowPunct w:val="0"/>
        <w:spacing w:before="10"/>
        <w:rPr>
          <w:sz w:val="26"/>
          <w:szCs w:val="26"/>
        </w:rPr>
      </w:pPr>
      <w:r>
        <w:rPr>
          <w:noProof/>
        </w:rPr>
        <mc:AlternateContent>
          <mc:Choice Requires="wps">
            <w:drawing>
              <wp:anchor distT="0" distB="0" distL="0" distR="0" simplePos="0" relativeHeight="251665408" behindDoc="0" locked="0" layoutInCell="0" allowOverlap="1" wp14:anchorId="2201352A" wp14:editId="0A0725A7">
                <wp:simplePos x="0" y="0"/>
                <wp:positionH relativeFrom="page">
                  <wp:posOffset>914400</wp:posOffset>
                </wp:positionH>
                <wp:positionV relativeFrom="paragraph">
                  <wp:posOffset>211455</wp:posOffset>
                </wp:positionV>
                <wp:extent cx="5943600" cy="12065"/>
                <wp:effectExtent l="0" t="0" r="0" b="0"/>
                <wp:wrapTopAndBottom/>
                <wp:docPr id="5276903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065"/>
                        </a:xfrm>
                        <a:custGeom>
                          <a:avLst/>
                          <a:gdLst>
                            <a:gd name="T0" fmla="*/ 9360 w 9360"/>
                            <a:gd name="T1" fmla="*/ 0 h 19"/>
                            <a:gd name="T2" fmla="*/ 0 w 9360"/>
                            <a:gd name="T3" fmla="*/ 0 h 19"/>
                            <a:gd name="T4" fmla="*/ 0 w 9360"/>
                            <a:gd name="T5" fmla="*/ 18 h 19"/>
                            <a:gd name="T6" fmla="*/ 9360 w 9360"/>
                            <a:gd name="T7" fmla="*/ 18 h 19"/>
                            <a:gd name="T8" fmla="*/ 9360 w 9360"/>
                            <a:gd name="T9" fmla="*/ 0 h 19"/>
                          </a:gdLst>
                          <a:ahLst/>
                          <a:cxnLst>
                            <a:cxn ang="0">
                              <a:pos x="T0" y="T1"/>
                            </a:cxn>
                            <a:cxn ang="0">
                              <a:pos x="T2" y="T3"/>
                            </a:cxn>
                            <a:cxn ang="0">
                              <a:pos x="T4" y="T5"/>
                            </a:cxn>
                            <a:cxn ang="0">
                              <a:pos x="T6" y="T7"/>
                            </a:cxn>
                            <a:cxn ang="0">
                              <a:pos x="T8" y="T9"/>
                            </a:cxn>
                          </a:cxnLst>
                          <a:rect l="0" t="0" r="r" b="b"/>
                          <a:pathLst>
                            <a:path w="9360" h="19">
                              <a:moveTo>
                                <a:pt x="9360" y="0"/>
                              </a:moveTo>
                              <a:lnTo>
                                <a:pt x="0" y="0"/>
                              </a:lnTo>
                              <a:lnTo>
                                <a:pt x="0" y="18"/>
                              </a:lnTo>
                              <a:lnTo>
                                <a:pt x="9360" y="18"/>
                              </a:lnTo>
                              <a:lnTo>
                                <a:pt x="9360"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828F6" id="Freeform 21" o:spid="_x0000_s1026" style="position:absolute;margin-left:1in;margin-top:16.65pt;width:468pt;height:.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D60QIAADMHAAAOAAAAZHJzL2Uyb0RvYy54bWysVV1vmzAUfZ+0/2D5cdIKpElaUEk1tco0&#10;qesmNfsBjjEBDWzPdkK6X797zUdJllbRtBewuYdzfc+1j29u93VFdsLYUsmURhchJUJylZVyk9If&#10;q+XHa0qsYzJjlZIipc/C0tvF+3c3jU7ERBWqyoQhQCJt0uiUFs7pJAgsL0TN7IXSQkIwV6ZmDqZm&#10;E2SGNcBeV8EkDOdBo0ymjeLCWvh63wbpwvPnueDuW55b4UiVUlib80/jn2t8BosblmwM00XJu2Ww&#10;f1hFzUoJSQeqe+YY2ZryL6q65EZZlbsLrupA5XnJha8BqonCo2qeCqaFrwXEsXqQyf4/Wv64e9Lf&#10;DS7d6gfFf1pQJGi0TYYITixgyLr5qjLoIds65Yvd56bGP6EMsveaPg+air0jHD7O4unlPATpOcSi&#10;STifoeYBS/qf+da6z0J5IrZ7sK5tSQYjL2hGJKsh6wo48rqC7nwISAycpPGvroUDLBrBQlKQKD5G&#10;TA4Qp1kuDzCnWKYHiNMssxEmuj65mPkI8kZVVyPYK0xw0s7RJx7BXvSBhmx6yVnRd4HvZdcGGBGG&#10;Zzr0ndfKYsexJ9DWVdT1FFDYs1fAoDuCL88Cg7wI7nfL28wgIoKvzmIGnRDstwWU7Znbd1erAdc4&#10;9gtDCfjFut1KmjmUCEvFIWlSiq2jpIAtHnuBarUTK+URDpVq45DXWw6kewFUcgxsFe1Rfax/a0/W&#10;YqLrrtw+2L9b0JDxXNxxTl4pK9qzilX6QztUjoKNDq5VVZkty6rCiq3ZrO8qQ3YMTHe+nCzjZbfS&#10;A1jl94pU+FubBr9470G7QQu3yVplz2A9RrXODTcNDAplflPSgGun1P7aMiMoqb5IsMU4mk5BHecn&#10;09nVBCZmHFmPI0xyoEqpo7C3cXjn2qthq025KSBT5Jsp1SewvLxEa/Lra1fVTcCZvTbdLYLWP557&#10;1Mtdt/gDAAD//wMAUEsDBBQABgAIAAAAIQCg42wS3wAAAAoBAAAPAAAAZHJzL2Rvd25yZXYueG1s&#10;TI/BTsMwEETvSPyDtUjcqE1TUBviVAgBQrQSalJxduIliYjtYLtp+PtuT3Cc2dHsm2w9mZ6N6EPn&#10;rITbmQCGtna6s42EfflyswQWorJa9c6ihF8MsM4vLzKVane0OxyL2DAqsSFVEtoYh5TzULdoVJi5&#10;AS3dvpw3KpL0DddeHanc9HwuxD03qrP0oVUDPrVYfxcHI2FTPvv3j7cV7n422/LztQhxrLZSXl9N&#10;jw/AIk7xLwxnfEKHnJgqd7A6sJ70YkFbooQkSYCdA2IpyKnIuZsDzzP+f0J+AgAA//8DAFBLAQIt&#10;ABQABgAIAAAAIQC2gziS/gAAAOEBAAATAAAAAAAAAAAAAAAAAAAAAABbQ29udGVudF9UeXBlc10u&#10;eG1sUEsBAi0AFAAGAAgAAAAhADj9If/WAAAAlAEAAAsAAAAAAAAAAAAAAAAALwEAAF9yZWxzLy5y&#10;ZWxzUEsBAi0AFAAGAAgAAAAhAEdMYPrRAgAAMwcAAA4AAAAAAAAAAAAAAAAALgIAAGRycy9lMm9E&#10;b2MueG1sUEsBAi0AFAAGAAgAAAAhAKDjbBLfAAAACgEAAA8AAAAAAAAAAAAAAAAAKwUAAGRycy9k&#10;b3ducmV2LnhtbFBLBQYAAAAABAAEAPMAAAA3BgAAAAA=&#10;" o:allowincell="f" path="m9360,l,,,18r9360,l9360,xe" fillcolor="#6f2f9f" stroked="f">
                <v:path arrowok="t" o:connecttype="custom" o:connectlocs="5943600,0;0,0;0,11430;5943600,11430;5943600,0" o:connectangles="0,0,0,0,0"/>
                <w10:wrap type="topAndBottom" anchorx="page"/>
              </v:shape>
            </w:pict>
          </mc:Fallback>
        </mc:AlternateContent>
      </w:r>
    </w:p>
    <w:p w14:paraId="48BF4F22" w14:textId="77777777" w:rsidR="00DF3509" w:rsidRDefault="00DF3509">
      <w:pPr>
        <w:pStyle w:val="BodyText"/>
        <w:kinsoku w:val="0"/>
        <w:overflowPunct w:val="0"/>
        <w:spacing w:before="4"/>
        <w:rPr>
          <w:sz w:val="16"/>
          <w:szCs w:val="16"/>
        </w:rPr>
      </w:pPr>
    </w:p>
    <w:p w14:paraId="6E4B9DFF" w14:textId="77777777" w:rsidR="00DF3509" w:rsidRDefault="00DF3509">
      <w:pPr>
        <w:pStyle w:val="BodyText"/>
        <w:kinsoku w:val="0"/>
        <w:overflowPunct w:val="0"/>
        <w:spacing w:before="94"/>
        <w:ind w:left="2786" w:right="2707"/>
        <w:jc w:val="center"/>
        <w:rPr>
          <w:spacing w:val="-5"/>
        </w:rPr>
      </w:pPr>
      <w:r>
        <w:t>NETGEAR Deutschland GmbH, Konrad-Zuse-Platz 1, 81829 München</w:t>
      </w:r>
    </w:p>
    <w:p w14:paraId="65F926E3" w14:textId="60FD2987" w:rsidR="00DF3509" w:rsidRDefault="00DF3509" w:rsidP="00D64177">
      <w:bookmarkStart w:id="87" w:name="_bookmark64"/>
      <w:bookmarkStart w:id="88" w:name="_bookmark65"/>
      <w:bookmarkEnd w:id="87"/>
      <w:bookmarkEnd w:id="88"/>
    </w:p>
    <w:sectPr w:rsidR="00DF3509">
      <w:pgSz w:w="12240" w:h="15840"/>
      <w:pgMar w:top="1420" w:right="680" w:bottom="1140" w:left="600" w:header="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65FE" w14:textId="77777777" w:rsidR="00117CE5" w:rsidRDefault="00117CE5">
      <w:r>
        <w:separator/>
      </w:r>
    </w:p>
  </w:endnote>
  <w:endnote w:type="continuationSeparator" w:id="0">
    <w:p w14:paraId="7FFB9B58" w14:textId="77777777" w:rsidR="00117CE5" w:rsidRDefault="0011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689" w14:textId="4C162C38" w:rsidR="00763BDA" w:rsidRPr="003608D0" w:rsidRDefault="00763BDA" w:rsidP="00763BDA">
    <w:pPr>
      <w:pStyle w:val="Footer"/>
      <w:tabs>
        <w:tab w:val="clear" w:pos="4320"/>
        <w:tab w:val="clear" w:pos="8640"/>
        <w:tab w:val="center" w:pos="5480"/>
        <w:tab w:val="right" w:pos="10960"/>
      </w:tabs>
      <w:rPr>
        <w:sz w:val="16"/>
        <w:szCs w:val="16"/>
      </w:rPr>
    </w:pPr>
    <w:r>
      <w:rPr>
        <w:sz w:val="16"/>
      </w:rPr>
      <w:t>NETGEAR Konformitätserklärungen v3</w:t>
    </w:r>
    <w:r w:rsidR="002A7B52">
      <w:rPr>
        <w:sz w:val="16"/>
        <w:lang w:val="en-CA"/>
      </w:rPr>
      <w:t>7</w:t>
    </w:r>
    <w:r>
      <w:rPr>
        <w:sz w:val="16"/>
      </w:rPr>
      <w:tab/>
      <w:t>überarbeitet 29.09.2023</w:t>
    </w:r>
    <w:r>
      <w:rPr>
        <w:sz w:val="16"/>
      </w:rPr>
      <w:tab/>
      <w:t>Seite </w:t>
    </w:r>
    <w:r w:rsidRPr="003608D0">
      <w:rPr>
        <w:sz w:val="16"/>
      </w:rPr>
      <w:fldChar w:fldCharType="begin"/>
    </w:r>
    <w:r w:rsidRPr="003608D0">
      <w:rPr>
        <w:sz w:val="16"/>
      </w:rPr>
      <w:instrText xml:space="preserve"> PAGE  </w:instrText>
    </w:r>
    <w:r w:rsidRPr="00AA7F35">
      <w:rPr>
        <w:sz w:val="16"/>
      </w:rPr>
      <w:instrText>\</w:instrText>
    </w:r>
    <w:r w:rsidRPr="003608D0">
      <w:rPr>
        <w:sz w:val="16"/>
      </w:rPr>
      <w:instrText xml:space="preserve">* Arabic  </w:instrText>
    </w:r>
    <w:r w:rsidRPr="00AA7F35">
      <w:rPr>
        <w:sz w:val="16"/>
      </w:rPr>
      <w:instrText>\</w:instrText>
    </w:r>
    <w:r w:rsidRPr="003608D0">
      <w:rPr>
        <w:sz w:val="16"/>
      </w:rPr>
      <w:instrText xml:space="preserve">* MERGEFORMAT </w:instrText>
    </w:r>
    <w:r w:rsidRPr="003608D0">
      <w:rPr>
        <w:sz w:val="16"/>
      </w:rPr>
      <w:fldChar w:fldCharType="separate"/>
    </w:r>
    <w:r w:rsidRPr="003608D0">
      <w:rPr>
        <w:sz w:val="16"/>
      </w:rPr>
      <w:t>1</w:t>
    </w:r>
    <w:r w:rsidRPr="003608D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2D54" w14:textId="77777777" w:rsidR="00117CE5" w:rsidRDefault="00117CE5">
      <w:r>
        <w:separator/>
      </w:r>
    </w:p>
  </w:footnote>
  <w:footnote w:type="continuationSeparator" w:id="0">
    <w:p w14:paraId="24700BD7" w14:textId="77777777" w:rsidR="00117CE5" w:rsidRDefault="00117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1" w15:restartNumberingAfterBreak="0">
    <w:nsid w:val="00000403"/>
    <w:multiLevelType w:val="multilevel"/>
    <w:tmpl w:val="FFFFFFFF"/>
    <w:lvl w:ilvl="0">
      <w:start w:val="1"/>
      <w:numFmt w:val="decimal"/>
      <w:lvlText w:val="(%1)"/>
      <w:lvlJc w:val="left"/>
      <w:pPr>
        <w:ind w:left="1560" w:hanging="360"/>
      </w:pPr>
      <w:rPr>
        <w:rFonts w:ascii="Arial" w:hAnsi="Arial" w:cs="Arial"/>
        <w:b w:val="0"/>
        <w:bCs w:val="0"/>
        <w:i w:val="0"/>
        <w:iCs w:val="0"/>
        <w:spacing w:val="0"/>
        <w:w w:val="99"/>
        <w:sz w:val="18"/>
        <w:szCs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2" w15:restartNumberingAfterBreak="0">
    <w:nsid w:val="00000404"/>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
      <w:lvlJc w:val="left"/>
      <w:pPr>
        <w:ind w:left="2500" w:hanging="360"/>
      </w:pPr>
    </w:lvl>
    <w:lvl w:ilvl="2">
      <w:numFmt w:val="bullet"/>
      <w:lvlText w:val="•"/>
      <w:lvlJc w:val="left"/>
      <w:pPr>
        <w:ind w:left="3440" w:hanging="360"/>
      </w:pPr>
    </w:lvl>
    <w:lvl w:ilvl="3">
      <w:numFmt w:val="bullet"/>
      <w:lvlText w:val="•"/>
      <w:lvlJc w:val="left"/>
      <w:pPr>
        <w:ind w:left="4380" w:hanging="360"/>
      </w:pPr>
    </w:lvl>
    <w:lvl w:ilvl="4">
      <w:numFmt w:val="bullet"/>
      <w:lvlText w:val="•"/>
      <w:lvlJc w:val="left"/>
      <w:pPr>
        <w:ind w:left="5320" w:hanging="360"/>
      </w:pPr>
    </w:lvl>
    <w:lvl w:ilvl="5">
      <w:numFmt w:val="bullet"/>
      <w:lvlText w:val="•"/>
      <w:lvlJc w:val="left"/>
      <w:pPr>
        <w:ind w:left="6260" w:hanging="360"/>
      </w:pPr>
    </w:lvl>
    <w:lvl w:ilvl="6">
      <w:numFmt w:val="bullet"/>
      <w:lvlText w:val="•"/>
      <w:lvlJc w:val="left"/>
      <w:pPr>
        <w:ind w:left="7200" w:hanging="360"/>
      </w:pPr>
    </w:lvl>
    <w:lvl w:ilvl="7">
      <w:numFmt w:val="bullet"/>
      <w:lvlText w:val="•"/>
      <w:lvlJc w:val="left"/>
      <w:pPr>
        <w:ind w:left="8140" w:hanging="360"/>
      </w:pPr>
    </w:lvl>
    <w:lvl w:ilvl="8">
      <w:numFmt w:val="bullet"/>
      <w:lvlText w:val="•"/>
      <w:lvlJc w:val="left"/>
      <w:pPr>
        <w:ind w:left="9080" w:hanging="360"/>
      </w:pPr>
    </w:lvl>
  </w:abstractNum>
  <w:abstractNum w:abstractNumId="3" w15:restartNumberingAfterBreak="0">
    <w:nsid w:val="00000405"/>
    <w:multiLevelType w:val="multilevel"/>
    <w:tmpl w:val="FFFFFFFF"/>
    <w:lvl w:ilvl="0">
      <w:numFmt w:val="bullet"/>
      <w:lvlText w:val=""/>
      <w:lvlJc w:val="left"/>
      <w:pPr>
        <w:ind w:left="827" w:hanging="720"/>
      </w:pPr>
      <w:rPr>
        <w:rFonts w:ascii="Symbol" w:hAnsi="Symbol"/>
        <w:b w:val="0"/>
        <w:i w:val="0"/>
        <w:spacing w:val="0"/>
        <w:w w:val="100"/>
        <w:sz w:val="18"/>
      </w:rPr>
    </w:lvl>
    <w:lvl w:ilvl="1">
      <w:numFmt w:val="bullet"/>
      <w:lvlText w:val="•"/>
      <w:lvlJc w:val="left"/>
      <w:pPr>
        <w:ind w:left="1168" w:hanging="720"/>
      </w:pPr>
    </w:lvl>
    <w:lvl w:ilvl="2">
      <w:numFmt w:val="bullet"/>
      <w:lvlText w:val="•"/>
      <w:lvlJc w:val="left"/>
      <w:pPr>
        <w:ind w:left="1517" w:hanging="720"/>
      </w:pPr>
    </w:lvl>
    <w:lvl w:ilvl="3">
      <w:numFmt w:val="bullet"/>
      <w:lvlText w:val="•"/>
      <w:lvlJc w:val="left"/>
      <w:pPr>
        <w:ind w:left="1865" w:hanging="720"/>
      </w:pPr>
    </w:lvl>
    <w:lvl w:ilvl="4">
      <w:numFmt w:val="bullet"/>
      <w:lvlText w:val="•"/>
      <w:lvlJc w:val="left"/>
      <w:pPr>
        <w:ind w:left="2214" w:hanging="720"/>
      </w:pPr>
    </w:lvl>
    <w:lvl w:ilvl="5">
      <w:numFmt w:val="bullet"/>
      <w:lvlText w:val="•"/>
      <w:lvlJc w:val="left"/>
      <w:pPr>
        <w:ind w:left="2563" w:hanging="720"/>
      </w:pPr>
    </w:lvl>
    <w:lvl w:ilvl="6">
      <w:numFmt w:val="bullet"/>
      <w:lvlText w:val="•"/>
      <w:lvlJc w:val="left"/>
      <w:pPr>
        <w:ind w:left="2911" w:hanging="720"/>
      </w:pPr>
    </w:lvl>
    <w:lvl w:ilvl="7">
      <w:numFmt w:val="bullet"/>
      <w:lvlText w:val="•"/>
      <w:lvlJc w:val="left"/>
      <w:pPr>
        <w:ind w:left="3260" w:hanging="720"/>
      </w:pPr>
    </w:lvl>
    <w:lvl w:ilvl="8">
      <w:numFmt w:val="bullet"/>
      <w:lvlText w:val="•"/>
      <w:lvlJc w:val="left"/>
      <w:pPr>
        <w:ind w:left="3608" w:hanging="720"/>
      </w:pPr>
    </w:lvl>
  </w:abstractNum>
  <w:abstractNum w:abstractNumId="4" w15:restartNumberingAfterBreak="0">
    <w:nsid w:val="00000406"/>
    <w:multiLevelType w:val="multilevel"/>
    <w:tmpl w:val="FFFFFFFF"/>
    <w:lvl w:ilvl="0">
      <w:numFmt w:val="bullet"/>
      <w:lvlText w:val=""/>
      <w:lvlJc w:val="left"/>
      <w:pPr>
        <w:ind w:left="1560" w:hanging="360"/>
      </w:pPr>
      <w:rPr>
        <w:rFonts w:ascii="Symbol" w:hAnsi="Symbol"/>
        <w:b w:val="0"/>
        <w:i w:val="0"/>
        <w:spacing w:val="0"/>
        <w:w w:val="100"/>
        <w:sz w:val="18"/>
      </w:rPr>
    </w:lvl>
    <w:lvl w:ilvl="1">
      <w:numFmt w:val="bullet"/>
      <w:lvlText w:val="o"/>
      <w:lvlJc w:val="left"/>
      <w:pPr>
        <w:ind w:left="2280" w:hanging="360"/>
      </w:pPr>
      <w:rPr>
        <w:rFonts w:ascii="Courier New" w:hAnsi="Courier New"/>
        <w:b w:val="0"/>
        <w:i w:val="0"/>
        <w:spacing w:val="0"/>
        <w:w w:val="100"/>
        <w:sz w:val="18"/>
      </w:rPr>
    </w:lvl>
    <w:lvl w:ilvl="2">
      <w:numFmt w:val="bullet"/>
      <w:lvlText w:val="•"/>
      <w:lvlJc w:val="left"/>
      <w:pPr>
        <w:ind w:left="3244" w:hanging="360"/>
      </w:pPr>
    </w:lvl>
    <w:lvl w:ilvl="3">
      <w:numFmt w:val="bullet"/>
      <w:lvlText w:val="•"/>
      <w:lvlJc w:val="left"/>
      <w:pPr>
        <w:ind w:left="4208" w:hanging="360"/>
      </w:pPr>
    </w:lvl>
    <w:lvl w:ilvl="4">
      <w:numFmt w:val="bullet"/>
      <w:lvlText w:val="•"/>
      <w:lvlJc w:val="left"/>
      <w:pPr>
        <w:ind w:left="5173" w:hanging="360"/>
      </w:pPr>
    </w:lvl>
    <w:lvl w:ilvl="5">
      <w:numFmt w:val="bullet"/>
      <w:lvlText w:val="•"/>
      <w:lvlJc w:val="left"/>
      <w:pPr>
        <w:ind w:left="6137" w:hanging="360"/>
      </w:pPr>
    </w:lvl>
    <w:lvl w:ilvl="6">
      <w:numFmt w:val="bullet"/>
      <w:lvlText w:val="•"/>
      <w:lvlJc w:val="left"/>
      <w:pPr>
        <w:ind w:left="7102" w:hanging="360"/>
      </w:pPr>
    </w:lvl>
    <w:lvl w:ilvl="7">
      <w:numFmt w:val="bullet"/>
      <w:lvlText w:val="•"/>
      <w:lvlJc w:val="left"/>
      <w:pPr>
        <w:ind w:left="8066" w:hanging="360"/>
      </w:pPr>
    </w:lvl>
    <w:lvl w:ilvl="8">
      <w:numFmt w:val="bullet"/>
      <w:lvlText w:val="•"/>
      <w:lvlJc w:val="left"/>
      <w:pPr>
        <w:ind w:left="9031" w:hanging="360"/>
      </w:pPr>
    </w:lvl>
  </w:abstractNum>
  <w:abstractNum w:abstractNumId="5" w15:restartNumberingAfterBreak="0">
    <w:nsid w:val="00000407"/>
    <w:multiLevelType w:val="multilevel"/>
    <w:tmpl w:val="FFFFFFFF"/>
    <w:lvl w:ilvl="0">
      <w:numFmt w:val="bullet"/>
      <w:lvlText w:val=""/>
      <w:lvlJc w:val="left"/>
      <w:pPr>
        <w:ind w:left="947" w:hanging="107"/>
      </w:pPr>
      <w:rPr>
        <w:rFonts w:ascii="Symbol" w:hAnsi="Symbol"/>
        <w:b w:val="0"/>
        <w:i w:val="0"/>
        <w:spacing w:val="-3"/>
        <w:w w:val="88"/>
        <w:sz w:val="21"/>
      </w:rPr>
    </w:lvl>
    <w:lvl w:ilvl="1">
      <w:numFmt w:val="bullet"/>
      <w:lvlText w:val="•"/>
      <w:lvlJc w:val="left"/>
      <w:pPr>
        <w:ind w:left="1942" w:hanging="107"/>
      </w:pPr>
    </w:lvl>
    <w:lvl w:ilvl="2">
      <w:numFmt w:val="bullet"/>
      <w:lvlText w:val="•"/>
      <w:lvlJc w:val="left"/>
      <w:pPr>
        <w:ind w:left="2944" w:hanging="107"/>
      </w:pPr>
    </w:lvl>
    <w:lvl w:ilvl="3">
      <w:numFmt w:val="bullet"/>
      <w:lvlText w:val="•"/>
      <w:lvlJc w:val="left"/>
      <w:pPr>
        <w:ind w:left="3946" w:hanging="107"/>
      </w:pPr>
    </w:lvl>
    <w:lvl w:ilvl="4">
      <w:numFmt w:val="bullet"/>
      <w:lvlText w:val="•"/>
      <w:lvlJc w:val="left"/>
      <w:pPr>
        <w:ind w:left="4948" w:hanging="107"/>
      </w:pPr>
    </w:lvl>
    <w:lvl w:ilvl="5">
      <w:numFmt w:val="bullet"/>
      <w:lvlText w:val="•"/>
      <w:lvlJc w:val="left"/>
      <w:pPr>
        <w:ind w:left="5950" w:hanging="107"/>
      </w:pPr>
    </w:lvl>
    <w:lvl w:ilvl="6">
      <w:numFmt w:val="bullet"/>
      <w:lvlText w:val="•"/>
      <w:lvlJc w:val="left"/>
      <w:pPr>
        <w:ind w:left="6952" w:hanging="107"/>
      </w:pPr>
    </w:lvl>
    <w:lvl w:ilvl="7">
      <w:numFmt w:val="bullet"/>
      <w:lvlText w:val="•"/>
      <w:lvlJc w:val="left"/>
      <w:pPr>
        <w:ind w:left="7954" w:hanging="107"/>
      </w:pPr>
    </w:lvl>
    <w:lvl w:ilvl="8">
      <w:numFmt w:val="bullet"/>
      <w:lvlText w:val="•"/>
      <w:lvlJc w:val="left"/>
      <w:pPr>
        <w:ind w:left="8956" w:hanging="107"/>
      </w:pPr>
    </w:lvl>
  </w:abstractNum>
  <w:abstractNum w:abstractNumId="6" w15:restartNumberingAfterBreak="0">
    <w:nsid w:val="1C523BED"/>
    <w:multiLevelType w:val="hybridMultilevel"/>
    <w:tmpl w:val="FFFFFFFF"/>
    <w:lvl w:ilvl="0" w:tplc="10090001">
      <w:start w:val="1"/>
      <w:numFmt w:val="bullet"/>
      <w:lvlText w:val=""/>
      <w:lvlJc w:val="left"/>
      <w:pPr>
        <w:ind w:left="1560" w:hanging="360"/>
      </w:pPr>
      <w:rPr>
        <w:rFonts w:ascii="Symbol" w:hAnsi="Symbol" w:hint="default"/>
      </w:rPr>
    </w:lvl>
    <w:lvl w:ilvl="1" w:tplc="10090003" w:tentative="1">
      <w:start w:val="1"/>
      <w:numFmt w:val="bullet"/>
      <w:lvlText w:val="o"/>
      <w:lvlJc w:val="left"/>
      <w:pPr>
        <w:ind w:left="2280" w:hanging="360"/>
      </w:pPr>
      <w:rPr>
        <w:rFonts w:ascii="Courier New" w:hAnsi="Courier New" w:hint="default"/>
      </w:rPr>
    </w:lvl>
    <w:lvl w:ilvl="2" w:tplc="10090005" w:tentative="1">
      <w:start w:val="1"/>
      <w:numFmt w:val="bullet"/>
      <w:lvlText w:val=""/>
      <w:lvlJc w:val="left"/>
      <w:pPr>
        <w:ind w:left="3000" w:hanging="360"/>
      </w:pPr>
      <w:rPr>
        <w:rFonts w:ascii="Wingdings" w:hAnsi="Wingdings" w:hint="default"/>
      </w:rPr>
    </w:lvl>
    <w:lvl w:ilvl="3" w:tplc="10090001" w:tentative="1">
      <w:start w:val="1"/>
      <w:numFmt w:val="bullet"/>
      <w:lvlText w:val=""/>
      <w:lvlJc w:val="left"/>
      <w:pPr>
        <w:ind w:left="3720" w:hanging="360"/>
      </w:pPr>
      <w:rPr>
        <w:rFonts w:ascii="Symbol" w:hAnsi="Symbol" w:hint="default"/>
      </w:rPr>
    </w:lvl>
    <w:lvl w:ilvl="4" w:tplc="10090003" w:tentative="1">
      <w:start w:val="1"/>
      <w:numFmt w:val="bullet"/>
      <w:lvlText w:val="o"/>
      <w:lvlJc w:val="left"/>
      <w:pPr>
        <w:ind w:left="4440" w:hanging="360"/>
      </w:pPr>
      <w:rPr>
        <w:rFonts w:ascii="Courier New" w:hAnsi="Courier New" w:hint="default"/>
      </w:rPr>
    </w:lvl>
    <w:lvl w:ilvl="5" w:tplc="10090005" w:tentative="1">
      <w:start w:val="1"/>
      <w:numFmt w:val="bullet"/>
      <w:lvlText w:val=""/>
      <w:lvlJc w:val="left"/>
      <w:pPr>
        <w:ind w:left="5160" w:hanging="360"/>
      </w:pPr>
      <w:rPr>
        <w:rFonts w:ascii="Wingdings" w:hAnsi="Wingdings" w:hint="default"/>
      </w:rPr>
    </w:lvl>
    <w:lvl w:ilvl="6" w:tplc="10090001" w:tentative="1">
      <w:start w:val="1"/>
      <w:numFmt w:val="bullet"/>
      <w:lvlText w:val=""/>
      <w:lvlJc w:val="left"/>
      <w:pPr>
        <w:ind w:left="5880" w:hanging="360"/>
      </w:pPr>
      <w:rPr>
        <w:rFonts w:ascii="Symbol" w:hAnsi="Symbol" w:hint="default"/>
      </w:rPr>
    </w:lvl>
    <w:lvl w:ilvl="7" w:tplc="10090003" w:tentative="1">
      <w:start w:val="1"/>
      <w:numFmt w:val="bullet"/>
      <w:lvlText w:val="o"/>
      <w:lvlJc w:val="left"/>
      <w:pPr>
        <w:ind w:left="6600" w:hanging="360"/>
      </w:pPr>
      <w:rPr>
        <w:rFonts w:ascii="Courier New" w:hAnsi="Courier New" w:hint="default"/>
      </w:rPr>
    </w:lvl>
    <w:lvl w:ilvl="8" w:tplc="10090005" w:tentative="1">
      <w:start w:val="1"/>
      <w:numFmt w:val="bullet"/>
      <w:lvlText w:val=""/>
      <w:lvlJc w:val="left"/>
      <w:pPr>
        <w:ind w:left="7320" w:hanging="360"/>
      </w:pPr>
      <w:rPr>
        <w:rFonts w:ascii="Wingdings" w:hAnsi="Wingdings" w:hint="default"/>
      </w:rPr>
    </w:lvl>
  </w:abstractNum>
  <w:abstractNum w:abstractNumId="7" w15:restartNumberingAfterBreak="0">
    <w:nsid w:val="302B2840"/>
    <w:multiLevelType w:val="hybridMultilevel"/>
    <w:tmpl w:val="FFFFFFFF"/>
    <w:lvl w:ilvl="0" w:tplc="FFFFFFFF">
      <w:start w:val="1"/>
      <w:numFmt w:val="bullet"/>
      <w:lvlText w:val=""/>
      <w:lvlJc w:val="left"/>
      <w:pPr>
        <w:ind w:left="1559" w:hanging="360"/>
      </w:pPr>
      <w:rPr>
        <w:rFonts w:ascii="Symbol" w:hAnsi="Symbol" w:hint="default"/>
      </w:rPr>
    </w:lvl>
    <w:lvl w:ilvl="1" w:tplc="FFFFFFFF">
      <w:start w:val="1"/>
      <w:numFmt w:val="bullet"/>
      <w:lvlText w:val="o"/>
      <w:lvlJc w:val="left"/>
      <w:pPr>
        <w:ind w:left="2279" w:hanging="360"/>
      </w:pPr>
      <w:rPr>
        <w:rFonts w:ascii="Courier New" w:hAnsi="Courier New" w:hint="default"/>
      </w:rPr>
    </w:lvl>
    <w:lvl w:ilvl="2" w:tplc="10090001">
      <w:start w:val="1"/>
      <w:numFmt w:val="bullet"/>
      <w:lvlText w:val=""/>
      <w:lvlJc w:val="left"/>
      <w:pPr>
        <w:ind w:left="2999" w:hanging="360"/>
      </w:pPr>
      <w:rPr>
        <w:rFonts w:ascii="Symbol" w:hAnsi="Symbol" w:hint="default"/>
      </w:rPr>
    </w:lvl>
    <w:lvl w:ilvl="3" w:tplc="FFFFFFFF" w:tentative="1">
      <w:start w:val="1"/>
      <w:numFmt w:val="bullet"/>
      <w:lvlText w:val=""/>
      <w:lvlJc w:val="left"/>
      <w:pPr>
        <w:ind w:left="3719" w:hanging="360"/>
      </w:pPr>
      <w:rPr>
        <w:rFonts w:ascii="Symbol" w:hAnsi="Symbol" w:hint="default"/>
      </w:rPr>
    </w:lvl>
    <w:lvl w:ilvl="4" w:tplc="FFFFFFFF" w:tentative="1">
      <w:start w:val="1"/>
      <w:numFmt w:val="bullet"/>
      <w:lvlText w:val="o"/>
      <w:lvlJc w:val="left"/>
      <w:pPr>
        <w:ind w:left="4439" w:hanging="360"/>
      </w:pPr>
      <w:rPr>
        <w:rFonts w:ascii="Courier New" w:hAnsi="Courier New" w:hint="default"/>
      </w:rPr>
    </w:lvl>
    <w:lvl w:ilvl="5" w:tplc="FFFFFFFF" w:tentative="1">
      <w:start w:val="1"/>
      <w:numFmt w:val="bullet"/>
      <w:lvlText w:val=""/>
      <w:lvlJc w:val="left"/>
      <w:pPr>
        <w:ind w:left="5159" w:hanging="360"/>
      </w:pPr>
      <w:rPr>
        <w:rFonts w:ascii="Wingdings" w:hAnsi="Wingdings" w:hint="default"/>
      </w:rPr>
    </w:lvl>
    <w:lvl w:ilvl="6" w:tplc="FFFFFFFF" w:tentative="1">
      <w:start w:val="1"/>
      <w:numFmt w:val="bullet"/>
      <w:lvlText w:val=""/>
      <w:lvlJc w:val="left"/>
      <w:pPr>
        <w:ind w:left="5879" w:hanging="360"/>
      </w:pPr>
      <w:rPr>
        <w:rFonts w:ascii="Symbol" w:hAnsi="Symbol" w:hint="default"/>
      </w:rPr>
    </w:lvl>
    <w:lvl w:ilvl="7" w:tplc="FFFFFFFF" w:tentative="1">
      <w:start w:val="1"/>
      <w:numFmt w:val="bullet"/>
      <w:lvlText w:val="o"/>
      <w:lvlJc w:val="left"/>
      <w:pPr>
        <w:ind w:left="6599" w:hanging="360"/>
      </w:pPr>
      <w:rPr>
        <w:rFonts w:ascii="Courier New" w:hAnsi="Courier New" w:hint="default"/>
      </w:rPr>
    </w:lvl>
    <w:lvl w:ilvl="8" w:tplc="FFFFFFFF" w:tentative="1">
      <w:start w:val="1"/>
      <w:numFmt w:val="bullet"/>
      <w:lvlText w:val=""/>
      <w:lvlJc w:val="left"/>
      <w:pPr>
        <w:ind w:left="7319" w:hanging="360"/>
      </w:pPr>
      <w:rPr>
        <w:rFonts w:ascii="Wingdings" w:hAnsi="Wingdings" w:hint="default"/>
      </w:rPr>
    </w:lvl>
  </w:abstractNum>
  <w:abstractNum w:abstractNumId="8" w15:restartNumberingAfterBreak="0">
    <w:nsid w:val="3A7008F1"/>
    <w:multiLevelType w:val="hybridMultilevel"/>
    <w:tmpl w:val="FFFFFFFF"/>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950F8E"/>
    <w:multiLevelType w:val="hybridMultilevel"/>
    <w:tmpl w:val="FFFFFFFF"/>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0F5EA0"/>
    <w:multiLevelType w:val="hybridMultilevel"/>
    <w:tmpl w:val="FFFFFFFF"/>
    <w:lvl w:ilvl="0" w:tplc="10090001">
      <w:start w:val="1"/>
      <w:numFmt w:val="bullet"/>
      <w:lvlText w:val=""/>
      <w:lvlJc w:val="left"/>
      <w:pPr>
        <w:ind w:left="1559" w:hanging="360"/>
      </w:pPr>
      <w:rPr>
        <w:rFonts w:ascii="Symbol" w:hAnsi="Symbol" w:hint="default"/>
      </w:rPr>
    </w:lvl>
    <w:lvl w:ilvl="1" w:tplc="10090003" w:tentative="1">
      <w:start w:val="1"/>
      <w:numFmt w:val="bullet"/>
      <w:lvlText w:val="o"/>
      <w:lvlJc w:val="left"/>
      <w:pPr>
        <w:ind w:left="2279" w:hanging="360"/>
      </w:pPr>
      <w:rPr>
        <w:rFonts w:ascii="Courier New" w:hAnsi="Courier New" w:hint="default"/>
      </w:rPr>
    </w:lvl>
    <w:lvl w:ilvl="2" w:tplc="10090005">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11" w15:restartNumberingAfterBreak="0">
    <w:nsid w:val="79963778"/>
    <w:multiLevelType w:val="hybridMultilevel"/>
    <w:tmpl w:val="FFFFFFFF"/>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2662480">
    <w:abstractNumId w:val="5"/>
  </w:num>
  <w:num w:numId="2" w16cid:durableId="1846896394">
    <w:abstractNumId w:val="4"/>
  </w:num>
  <w:num w:numId="3" w16cid:durableId="1074011251">
    <w:abstractNumId w:val="3"/>
  </w:num>
  <w:num w:numId="4" w16cid:durableId="386993588">
    <w:abstractNumId w:val="2"/>
  </w:num>
  <w:num w:numId="5" w16cid:durableId="1598324026">
    <w:abstractNumId w:val="1"/>
  </w:num>
  <w:num w:numId="6" w16cid:durableId="1731226132">
    <w:abstractNumId w:val="0"/>
  </w:num>
  <w:num w:numId="7" w16cid:durableId="1443574978">
    <w:abstractNumId w:val="6"/>
  </w:num>
  <w:num w:numId="8" w16cid:durableId="816923203">
    <w:abstractNumId w:val="11"/>
  </w:num>
  <w:num w:numId="9" w16cid:durableId="878470285">
    <w:abstractNumId w:val="9"/>
  </w:num>
  <w:num w:numId="10" w16cid:durableId="969095793">
    <w:abstractNumId w:val="8"/>
  </w:num>
  <w:num w:numId="11" w16cid:durableId="1251545541">
    <w:abstractNumId w:val="10"/>
  </w:num>
  <w:num w:numId="12" w16cid:durableId="1755737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3MDc1NjW1MLOwNDBQ0lEKTi0uzszPAykwrAUAJ447piwAAAA="/>
  </w:docVars>
  <w:rsids>
    <w:rsidRoot w:val="003554A3"/>
    <w:rsid w:val="00057394"/>
    <w:rsid w:val="000652D7"/>
    <w:rsid w:val="00081D6B"/>
    <w:rsid w:val="000A6F99"/>
    <w:rsid w:val="000C50D3"/>
    <w:rsid w:val="000D166D"/>
    <w:rsid w:val="00117CE5"/>
    <w:rsid w:val="0012151E"/>
    <w:rsid w:val="00172AFD"/>
    <w:rsid w:val="001A2EB6"/>
    <w:rsid w:val="001F545D"/>
    <w:rsid w:val="00237FC6"/>
    <w:rsid w:val="002A7B52"/>
    <w:rsid w:val="002F1D6F"/>
    <w:rsid w:val="00315C57"/>
    <w:rsid w:val="00332E66"/>
    <w:rsid w:val="00350826"/>
    <w:rsid w:val="003554A3"/>
    <w:rsid w:val="003608D0"/>
    <w:rsid w:val="003736AB"/>
    <w:rsid w:val="003A4030"/>
    <w:rsid w:val="003A5D0A"/>
    <w:rsid w:val="003C41BB"/>
    <w:rsid w:val="003E00EE"/>
    <w:rsid w:val="003E140F"/>
    <w:rsid w:val="004038A4"/>
    <w:rsid w:val="0046530B"/>
    <w:rsid w:val="0048150F"/>
    <w:rsid w:val="004849C8"/>
    <w:rsid w:val="00496E31"/>
    <w:rsid w:val="004A0474"/>
    <w:rsid w:val="004A4CC6"/>
    <w:rsid w:val="004C66DC"/>
    <w:rsid w:val="00513475"/>
    <w:rsid w:val="0052779B"/>
    <w:rsid w:val="005B480E"/>
    <w:rsid w:val="005C57E9"/>
    <w:rsid w:val="005F0F0E"/>
    <w:rsid w:val="0060248F"/>
    <w:rsid w:val="006300C8"/>
    <w:rsid w:val="00630974"/>
    <w:rsid w:val="00633DFA"/>
    <w:rsid w:val="00655C4A"/>
    <w:rsid w:val="0069090E"/>
    <w:rsid w:val="006F7E86"/>
    <w:rsid w:val="00736C1B"/>
    <w:rsid w:val="00763BDA"/>
    <w:rsid w:val="0078115C"/>
    <w:rsid w:val="00781176"/>
    <w:rsid w:val="007C4D1E"/>
    <w:rsid w:val="008C3D3C"/>
    <w:rsid w:val="008D2723"/>
    <w:rsid w:val="009160A2"/>
    <w:rsid w:val="00917361"/>
    <w:rsid w:val="00934084"/>
    <w:rsid w:val="00954594"/>
    <w:rsid w:val="0096336A"/>
    <w:rsid w:val="009B3D7D"/>
    <w:rsid w:val="009E64AE"/>
    <w:rsid w:val="009F6DAC"/>
    <w:rsid w:val="00A06FF8"/>
    <w:rsid w:val="00A55880"/>
    <w:rsid w:val="00A57152"/>
    <w:rsid w:val="00A62260"/>
    <w:rsid w:val="00A63DC2"/>
    <w:rsid w:val="00A955CA"/>
    <w:rsid w:val="00AA7F35"/>
    <w:rsid w:val="00AD0AF0"/>
    <w:rsid w:val="00AE5036"/>
    <w:rsid w:val="00B25BA3"/>
    <w:rsid w:val="00B4633B"/>
    <w:rsid w:val="00B53FEF"/>
    <w:rsid w:val="00B71468"/>
    <w:rsid w:val="00B76EF8"/>
    <w:rsid w:val="00B86445"/>
    <w:rsid w:val="00B91B62"/>
    <w:rsid w:val="00BC1AC3"/>
    <w:rsid w:val="00BC4E21"/>
    <w:rsid w:val="00BD64D4"/>
    <w:rsid w:val="00BE289B"/>
    <w:rsid w:val="00BF6065"/>
    <w:rsid w:val="00C03891"/>
    <w:rsid w:val="00C24422"/>
    <w:rsid w:val="00C5519F"/>
    <w:rsid w:val="00C63EEA"/>
    <w:rsid w:val="00C71719"/>
    <w:rsid w:val="00CC62D9"/>
    <w:rsid w:val="00CF3D94"/>
    <w:rsid w:val="00D22DB4"/>
    <w:rsid w:val="00D23671"/>
    <w:rsid w:val="00D64177"/>
    <w:rsid w:val="00D67FE6"/>
    <w:rsid w:val="00DA09F3"/>
    <w:rsid w:val="00DA1546"/>
    <w:rsid w:val="00DA37B9"/>
    <w:rsid w:val="00DD5E6C"/>
    <w:rsid w:val="00DD7077"/>
    <w:rsid w:val="00DF3509"/>
    <w:rsid w:val="00E159DB"/>
    <w:rsid w:val="00E52FAB"/>
    <w:rsid w:val="00EA4B25"/>
    <w:rsid w:val="00EB7C46"/>
    <w:rsid w:val="00F46BED"/>
    <w:rsid w:val="00F95CB6"/>
    <w:rsid w:val="00FD4854"/>
    <w:rsid w:val="00FD5374"/>
    <w:rsid w:val="00FE3A82"/>
    <w:rsid w:val="00FF2A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E1D813"/>
  <w14:defaultImageDpi w14:val="0"/>
  <w15:docId w15:val="{A71B8563-BD3B-4867-B39F-AAD3EE11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de-DE"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lang w:eastAsia="zh-TW"/>
    </w:rPr>
  </w:style>
  <w:style w:type="paragraph" w:styleId="Heading1">
    <w:name w:val="heading 1"/>
    <w:basedOn w:val="Normal"/>
    <w:next w:val="Normal"/>
    <w:link w:val="Heading1Char"/>
    <w:uiPriority w:val="1"/>
    <w:qFormat/>
    <w:pPr>
      <w:ind w:left="840"/>
      <w:outlineLvl w:val="0"/>
    </w:pPr>
    <w:rPr>
      <w:b/>
      <w:bCs/>
      <w:sz w:val="28"/>
      <w:szCs w:val="28"/>
    </w:rPr>
  </w:style>
  <w:style w:type="paragraph" w:styleId="Heading2">
    <w:name w:val="heading 2"/>
    <w:basedOn w:val="Normal"/>
    <w:next w:val="Normal"/>
    <w:link w:val="Heading2Char"/>
    <w:uiPriority w:val="1"/>
    <w:qFormat/>
    <w:pPr>
      <w:ind w:left="840"/>
      <w:outlineLvl w:val="1"/>
    </w:pPr>
    <w:rPr>
      <w:b/>
      <w:bCs/>
      <w:sz w:val="26"/>
      <w:szCs w:val="26"/>
    </w:rPr>
  </w:style>
  <w:style w:type="paragraph" w:styleId="Heading3">
    <w:name w:val="heading 3"/>
    <w:basedOn w:val="Normal"/>
    <w:next w:val="Normal"/>
    <w:link w:val="Heading3Char"/>
    <w:uiPriority w:val="1"/>
    <w:qFormat/>
    <w:pPr>
      <w:ind w:left="84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hAnsi="Calibri Light" w:cs="Times New Roman"/>
      <w:b/>
      <w:kern w:val="32"/>
      <w:sz w:val="32"/>
    </w:rPr>
  </w:style>
  <w:style w:type="character" w:customStyle="1" w:styleId="Heading2Char">
    <w:name w:val="Heading 2 Char"/>
    <w:link w:val="Heading2"/>
    <w:uiPriority w:val="9"/>
    <w:semiHidden/>
    <w:locked/>
    <w:rPr>
      <w:rFonts w:ascii="Calibri Light" w:hAnsi="Calibri Light" w:cs="Times New Roman"/>
      <w:b/>
      <w:i/>
      <w:kern w:val="0"/>
      <w:sz w:val="28"/>
    </w:rPr>
  </w:style>
  <w:style w:type="character" w:customStyle="1" w:styleId="Heading3Char">
    <w:name w:val="Heading 3 Char"/>
    <w:link w:val="Heading3"/>
    <w:uiPriority w:val="9"/>
    <w:semiHidden/>
    <w:locked/>
    <w:rPr>
      <w:rFonts w:ascii="Calibri Light" w:hAnsi="Calibri Light" w:cs="Times New Roman"/>
      <w:b/>
      <w:kern w:val="0"/>
      <w:sz w:val="26"/>
    </w:rPr>
  </w:style>
  <w:style w:type="paragraph" w:styleId="BodyText">
    <w:name w:val="Body Text"/>
    <w:basedOn w:val="Normal"/>
    <w:link w:val="BodyTextChar"/>
    <w:uiPriority w:val="1"/>
    <w:qFormat/>
    <w:rPr>
      <w:sz w:val="18"/>
      <w:szCs w:val="18"/>
    </w:rPr>
  </w:style>
  <w:style w:type="character" w:customStyle="1" w:styleId="BodyTextChar">
    <w:name w:val="Body Text Char"/>
    <w:link w:val="BodyText"/>
    <w:uiPriority w:val="99"/>
    <w:semiHidden/>
    <w:locked/>
    <w:rPr>
      <w:rFonts w:ascii="Arial" w:hAnsi="Arial" w:cs="Times New Roman"/>
      <w:kern w:val="0"/>
    </w:rPr>
  </w:style>
  <w:style w:type="paragraph" w:styleId="Title">
    <w:name w:val="Title"/>
    <w:basedOn w:val="Normal"/>
    <w:next w:val="Normal"/>
    <w:link w:val="TitleChar"/>
    <w:uiPriority w:val="1"/>
    <w:qFormat/>
    <w:pPr>
      <w:spacing w:before="87"/>
      <w:ind w:left="840"/>
    </w:pPr>
    <w:rPr>
      <w:sz w:val="40"/>
      <w:szCs w:val="40"/>
      <w:u w:val="single"/>
    </w:rPr>
  </w:style>
  <w:style w:type="character" w:customStyle="1" w:styleId="TitleChar">
    <w:name w:val="Title Char"/>
    <w:link w:val="Title"/>
    <w:uiPriority w:val="10"/>
    <w:locked/>
    <w:rPr>
      <w:rFonts w:ascii="Calibri Light" w:hAnsi="Calibri Light" w:cs="Times New Roman"/>
      <w:b/>
      <w:kern w:val="28"/>
      <w:sz w:val="32"/>
    </w:rPr>
  </w:style>
  <w:style w:type="paragraph" w:styleId="ListParagraph">
    <w:name w:val="List Paragraph"/>
    <w:basedOn w:val="Normal"/>
    <w:uiPriority w:val="1"/>
    <w:qFormat/>
    <w:pPr>
      <w:ind w:left="1560" w:hanging="360"/>
    </w:pPr>
    <w:rPr>
      <w:sz w:val="24"/>
      <w:szCs w:val="24"/>
    </w:rPr>
  </w:style>
  <w:style w:type="paragraph" w:customStyle="1" w:styleId="TableParagraph">
    <w:name w:val="Table Paragraph"/>
    <w:basedOn w:val="Normal"/>
    <w:uiPriority w:val="1"/>
    <w:qFormat/>
    <w:pPr>
      <w:ind w:left="107"/>
    </w:pPr>
    <w:rPr>
      <w:sz w:val="24"/>
      <w:szCs w:val="24"/>
    </w:rPr>
  </w:style>
  <w:style w:type="character" w:styleId="CommentReference">
    <w:name w:val="annotation reference"/>
    <w:uiPriority w:val="99"/>
    <w:semiHidden/>
    <w:unhideWhenUsed/>
    <w:rsid w:val="003554A3"/>
    <w:rPr>
      <w:rFonts w:cs="Times New Roman"/>
      <w:sz w:val="16"/>
    </w:rPr>
  </w:style>
  <w:style w:type="paragraph" w:styleId="CommentText">
    <w:name w:val="annotation text"/>
    <w:basedOn w:val="Normal"/>
    <w:link w:val="CommentTextChar"/>
    <w:uiPriority w:val="99"/>
    <w:unhideWhenUsed/>
    <w:rsid w:val="003554A3"/>
    <w:rPr>
      <w:sz w:val="20"/>
      <w:szCs w:val="20"/>
    </w:rPr>
  </w:style>
  <w:style w:type="character" w:customStyle="1" w:styleId="CommentTextChar">
    <w:name w:val="Comment Text Char"/>
    <w:link w:val="CommentText"/>
    <w:uiPriority w:val="99"/>
    <w:locked/>
    <w:rsid w:val="003554A3"/>
    <w:rPr>
      <w:rFonts w:ascii="Arial" w:hAnsi="Arial" w:cs="Times New Roman"/>
      <w:kern w:val="0"/>
      <w:sz w:val="20"/>
    </w:rPr>
  </w:style>
  <w:style w:type="paragraph" w:styleId="CommentSubject">
    <w:name w:val="annotation subject"/>
    <w:basedOn w:val="CommentText"/>
    <w:next w:val="CommentText"/>
    <w:link w:val="CommentSubjectChar"/>
    <w:uiPriority w:val="99"/>
    <w:semiHidden/>
    <w:unhideWhenUsed/>
    <w:rsid w:val="003554A3"/>
    <w:rPr>
      <w:b/>
      <w:bCs/>
    </w:rPr>
  </w:style>
  <w:style w:type="character" w:customStyle="1" w:styleId="CommentSubjectChar">
    <w:name w:val="Comment Subject Char"/>
    <w:link w:val="CommentSubject"/>
    <w:uiPriority w:val="99"/>
    <w:semiHidden/>
    <w:locked/>
    <w:rsid w:val="003554A3"/>
    <w:rPr>
      <w:rFonts w:ascii="Arial" w:hAnsi="Arial" w:cs="Times New Roman"/>
      <w:b/>
      <w:kern w:val="0"/>
      <w:sz w:val="20"/>
    </w:rPr>
  </w:style>
  <w:style w:type="paragraph" w:styleId="Revision">
    <w:name w:val="Revision"/>
    <w:hidden/>
    <w:uiPriority w:val="99"/>
    <w:semiHidden/>
    <w:rsid w:val="003554A3"/>
    <w:rPr>
      <w:rFonts w:ascii="Arial" w:hAnsi="Arial" w:cs="Arial"/>
      <w:sz w:val="22"/>
      <w:szCs w:val="22"/>
      <w:lang w:eastAsia="zh-TW"/>
    </w:rPr>
  </w:style>
  <w:style w:type="table" w:styleId="TableGrid">
    <w:name w:val="Table Grid"/>
    <w:basedOn w:val="TableNormal"/>
    <w:uiPriority w:val="39"/>
    <w:rsid w:val="00355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D0AF0"/>
    <w:rPr>
      <w:rFonts w:cs="Times New Roman"/>
      <w:color w:val="0563C1"/>
      <w:u w:val="single"/>
    </w:rPr>
  </w:style>
  <w:style w:type="character" w:styleId="UnresolvedMention">
    <w:name w:val="Unresolved Mention"/>
    <w:uiPriority w:val="99"/>
    <w:semiHidden/>
    <w:unhideWhenUsed/>
    <w:rsid w:val="00AD0AF0"/>
    <w:rPr>
      <w:rFonts w:cs="Times New Roman"/>
      <w:color w:val="605E5C"/>
      <w:shd w:val="clear" w:color="auto" w:fill="E1DFDD"/>
    </w:rPr>
  </w:style>
  <w:style w:type="paragraph" w:customStyle="1" w:styleId="Default">
    <w:name w:val="Default"/>
    <w:basedOn w:val="Normal"/>
    <w:rsid w:val="00D23671"/>
    <w:pPr>
      <w:widowControl/>
      <w:adjustRightInd/>
    </w:pPr>
    <w:rPr>
      <w:rFonts w:ascii="Century Gothic" w:hAnsi="Century Gothic" w:cs="Calibri"/>
      <w:color w:val="000000"/>
      <w:sz w:val="24"/>
      <w:szCs w:val="24"/>
      <w:lang w:eastAsia="zh-CN"/>
    </w:rPr>
  </w:style>
  <w:style w:type="paragraph" w:styleId="TOCHeading">
    <w:name w:val="TOC Heading"/>
    <w:basedOn w:val="Heading1"/>
    <w:next w:val="Normal"/>
    <w:uiPriority w:val="39"/>
    <w:unhideWhenUsed/>
    <w:qFormat/>
    <w:rsid w:val="001F545D"/>
    <w:pPr>
      <w:keepNext/>
      <w:keepLines/>
      <w:widowControl/>
      <w:autoSpaceDE/>
      <w:autoSpaceDN/>
      <w:adjustRightInd/>
      <w:spacing w:before="240" w:line="259" w:lineRule="auto"/>
      <w:ind w:left="0"/>
      <w:outlineLvl w:val="9"/>
    </w:pPr>
    <w:rPr>
      <w:rFonts w:ascii="Calibri Light" w:hAnsi="Calibri Light" w:cs="Times New Roman"/>
      <w:b w:val="0"/>
      <w:bCs w:val="0"/>
      <w:color w:val="2F5496"/>
      <w:sz w:val="32"/>
      <w:szCs w:val="32"/>
      <w:lang w:eastAsia="en-US"/>
    </w:rPr>
  </w:style>
  <w:style w:type="paragraph" w:styleId="TOC1">
    <w:name w:val="toc 1"/>
    <w:basedOn w:val="Normal"/>
    <w:next w:val="Normal"/>
    <w:autoRedefine/>
    <w:uiPriority w:val="39"/>
    <w:unhideWhenUsed/>
    <w:rsid w:val="001A2EB6"/>
    <w:pPr>
      <w:tabs>
        <w:tab w:val="right" w:leader="dot" w:pos="10950"/>
      </w:tabs>
      <w:ind w:left="737"/>
      <w:jc w:val="center"/>
    </w:pPr>
  </w:style>
  <w:style w:type="paragraph" w:styleId="TOC3">
    <w:name w:val="toc 3"/>
    <w:basedOn w:val="Normal"/>
    <w:next w:val="Normal"/>
    <w:autoRedefine/>
    <w:uiPriority w:val="39"/>
    <w:unhideWhenUsed/>
    <w:rsid w:val="001A2EB6"/>
    <w:pPr>
      <w:tabs>
        <w:tab w:val="right" w:leader="dot" w:pos="10950"/>
      </w:tabs>
      <w:ind w:left="907"/>
      <w:jc w:val="center"/>
    </w:pPr>
  </w:style>
  <w:style w:type="paragraph" w:styleId="TOC2">
    <w:name w:val="toc 2"/>
    <w:basedOn w:val="Normal"/>
    <w:next w:val="Normal"/>
    <w:autoRedefine/>
    <w:uiPriority w:val="39"/>
    <w:unhideWhenUsed/>
    <w:rsid w:val="00315C57"/>
    <w:pPr>
      <w:tabs>
        <w:tab w:val="right" w:leader="dot" w:pos="10950"/>
      </w:tabs>
      <w:spacing w:before="40" w:after="40"/>
      <w:ind w:left="907"/>
      <w:jc w:val="right"/>
    </w:pPr>
  </w:style>
  <w:style w:type="paragraph" w:styleId="TOC4">
    <w:name w:val="toc 4"/>
    <w:basedOn w:val="Normal"/>
    <w:next w:val="Normal"/>
    <w:autoRedefine/>
    <w:uiPriority w:val="39"/>
    <w:unhideWhenUsed/>
    <w:rsid w:val="001F545D"/>
    <w:pPr>
      <w:widowControl/>
      <w:autoSpaceDE/>
      <w:autoSpaceDN/>
      <w:adjustRightInd/>
      <w:spacing w:after="100" w:line="259" w:lineRule="auto"/>
      <w:ind w:left="660"/>
    </w:pPr>
    <w:rPr>
      <w:rFonts w:ascii="Calibri" w:hAnsi="Calibri" w:cs="Times New Roman"/>
      <w:kern w:val="2"/>
    </w:rPr>
  </w:style>
  <w:style w:type="paragraph" w:styleId="TOC5">
    <w:name w:val="toc 5"/>
    <w:basedOn w:val="Normal"/>
    <w:next w:val="Normal"/>
    <w:autoRedefine/>
    <w:uiPriority w:val="39"/>
    <w:unhideWhenUsed/>
    <w:rsid w:val="001F545D"/>
    <w:pPr>
      <w:widowControl/>
      <w:autoSpaceDE/>
      <w:autoSpaceDN/>
      <w:adjustRightInd/>
      <w:spacing w:after="100" w:line="259" w:lineRule="auto"/>
      <w:ind w:left="880"/>
    </w:pPr>
    <w:rPr>
      <w:rFonts w:ascii="Calibri" w:hAnsi="Calibri" w:cs="Times New Roman"/>
      <w:kern w:val="2"/>
    </w:rPr>
  </w:style>
  <w:style w:type="paragraph" w:styleId="TOC6">
    <w:name w:val="toc 6"/>
    <w:basedOn w:val="Normal"/>
    <w:next w:val="Normal"/>
    <w:autoRedefine/>
    <w:uiPriority w:val="39"/>
    <w:unhideWhenUsed/>
    <w:rsid w:val="001F545D"/>
    <w:pPr>
      <w:widowControl/>
      <w:autoSpaceDE/>
      <w:autoSpaceDN/>
      <w:adjustRightInd/>
      <w:spacing w:after="100" w:line="259" w:lineRule="auto"/>
      <w:ind w:left="1100"/>
    </w:pPr>
    <w:rPr>
      <w:rFonts w:ascii="Calibri" w:hAnsi="Calibri" w:cs="Times New Roman"/>
      <w:kern w:val="2"/>
    </w:rPr>
  </w:style>
  <w:style w:type="paragraph" w:styleId="TOC7">
    <w:name w:val="toc 7"/>
    <w:basedOn w:val="Normal"/>
    <w:next w:val="Normal"/>
    <w:autoRedefine/>
    <w:uiPriority w:val="39"/>
    <w:unhideWhenUsed/>
    <w:rsid w:val="001F545D"/>
    <w:pPr>
      <w:widowControl/>
      <w:autoSpaceDE/>
      <w:autoSpaceDN/>
      <w:adjustRightInd/>
      <w:spacing w:after="100" w:line="259" w:lineRule="auto"/>
      <w:ind w:left="1320"/>
    </w:pPr>
    <w:rPr>
      <w:rFonts w:ascii="Calibri" w:hAnsi="Calibri" w:cs="Times New Roman"/>
      <w:kern w:val="2"/>
    </w:rPr>
  </w:style>
  <w:style w:type="paragraph" w:styleId="TOC8">
    <w:name w:val="toc 8"/>
    <w:basedOn w:val="Normal"/>
    <w:next w:val="Normal"/>
    <w:autoRedefine/>
    <w:uiPriority w:val="39"/>
    <w:unhideWhenUsed/>
    <w:rsid w:val="001F545D"/>
    <w:pPr>
      <w:widowControl/>
      <w:autoSpaceDE/>
      <w:autoSpaceDN/>
      <w:adjustRightInd/>
      <w:spacing w:after="100" w:line="259" w:lineRule="auto"/>
      <w:ind w:left="1540"/>
    </w:pPr>
    <w:rPr>
      <w:rFonts w:ascii="Calibri" w:hAnsi="Calibri" w:cs="Times New Roman"/>
      <w:kern w:val="2"/>
    </w:rPr>
  </w:style>
  <w:style w:type="paragraph" w:styleId="TOC9">
    <w:name w:val="toc 9"/>
    <w:basedOn w:val="Normal"/>
    <w:next w:val="Normal"/>
    <w:autoRedefine/>
    <w:uiPriority w:val="39"/>
    <w:unhideWhenUsed/>
    <w:rsid w:val="001F545D"/>
    <w:pPr>
      <w:widowControl/>
      <w:autoSpaceDE/>
      <w:autoSpaceDN/>
      <w:adjustRightInd/>
      <w:spacing w:after="100" w:line="259" w:lineRule="auto"/>
      <w:ind w:left="1760"/>
    </w:pPr>
    <w:rPr>
      <w:rFonts w:ascii="Calibri" w:hAnsi="Calibri" w:cs="Times New Roman"/>
      <w:kern w:val="2"/>
    </w:rPr>
  </w:style>
  <w:style w:type="paragraph" w:styleId="Header">
    <w:name w:val="header"/>
    <w:basedOn w:val="Normal"/>
    <w:link w:val="HeaderChar"/>
    <w:uiPriority w:val="99"/>
    <w:unhideWhenUsed/>
    <w:rsid w:val="007C4D1E"/>
    <w:pPr>
      <w:tabs>
        <w:tab w:val="center" w:pos="4320"/>
        <w:tab w:val="right" w:pos="8640"/>
      </w:tabs>
    </w:pPr>
  </w:style>
  <w:style w:type="character" w:customStyle="1" w:styleId="HeaderChar">
    <w:name w:val="Header Char"/>
    <w:link w:val="Header"/>
    <w:uiPriority w:val="99"/>
    <w:locked/>
    <w:rsid w:val="007C4D1E"/>
    <w:rPr>
      <w:rFonts w:ascii="Arial" w:hAnsi="Arial" w:cs="Arial"/>
      <w:sz w:val="22"/>
      <w:szCs w:val="22"/>
      <w:lang w:val="de-DE" w:eastAsia="zh-TW"/>
    </w:rPr>
  </w:style>
  <w:style w:type="paragraph" w:styleId="Footer">
    <w:name w:val="footer"/>
    <w:basedOn w:val="Normal"/>
    <w:link w:val="FooterChar"/>
    <w:uiPriority w:val="99"/>
    <w:unhideWhenUsed/>
    <w:rsid w:val="007C4D1E"/>
    <w:pPr>
      <w:tabs>
        <w:tab w:val="center" w:pos="4320"/>
        <w:tab w:val="right" w:pos="8640"/>
      </w:tabs>
    </w:pPr>
  </w:style>
  <w:style w:type="character" w:customStyle="1" w:styleId="FooterChar">
    <w:name w:val="Footer Char"/>
    <w:link w:val="Footer"/>
    <w:uiPriority w:val="99"/>
    <w:locked/>
    <w:rsid w:val="007C4D1E"/>
    <w:rPr>
      <w:rFonts w:ascii="Arial" w:hAnsi="Arial" w:cs="Arial"/>
      <w:sz w:val="22"/>
      <w:szCs w:val="22"/>
      <w:lang w:val="de-DE" w:eastAsia="zh-TW"/>
    </w:rPr>
  </w:style>
  <w:style w:type="character" w:customStyle="1" w:styleId="ui-provider">
    <w:name w:val="ui-provider"/>
    <w:rsid w:val="00AA7F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789">
      <w:marLeft w:val="0"/>
      <w:marRight w:val="0"/>
      <w:marTop w:val="0"/>
      <w:marBottom w:val="0"/>
      <w:divBdr>
        <w:top w:val="none" w:sz="0" w:space="0" w:color="auto"/>
        <w:left w:val="none" w:sz="0" w:space="0" w:color="auto"/>
        <w:bottom w:val="none" w:sz="0" w:space="0" w:color="auto"/>
        <w:right w:val="none" w:sz="0" w:space="0" w:color="auto"/>
      </w:divBdr>
    </w:div>
    <w:div w:id="811407790">
      <w:marLeft w:val="0"/>
      <w:marRight w:val="0"/>
      <w:marTop w:val="0"/>
      <w:marBottom w:val="0"/>
      <w:divBdr>
        <w:top w:val="none" w:sz="0" w:space="0" w:color="auto"/>
        <w:left w:val="none" w:sz="0" w:space="0" w:color="auto"/>
        <w:bottom w:val="none" w:sz="0" w:space="0" w:color="auto"/>
        <w:right w:val="none" w:sz="0" w:space="0" w:color="auto"/>
      </w:divBdr>
    </w:div>
    <w:div w:id="811407791">
      <w:marLeft w:val="0"/>
      <w:marRight w:val="0"/>
      <w:marTop w:val="0"/>
      <w:marBottom w:val="0"/>
      <w:divBdr>
        <w:top w:val="none" w:sz="0" w:space="0" w:color="auto"/>
        <w:left w:val="none" w:sz="0" w:space="0" w:color="auto"/>
        <w:bottom w:val="none" w:sz="0" w:space="0" w:color="auto"/>
        <w:right w:val="none" w:sz="0" w:space="0" w:color="auto"/>
      </w:divBdr>
    </w:div>
    <w:div w:id="811407792">
      <w:marLeft w:val="0"/>
      <w:marRight w:val="0"/>
      <w:marTop w:val="0"/>
      <w:marBottom w:val="0"/>
      <w:divBdr>
        <w:top w:val="none" w:sz="0" w:space="0" w:color="auto"/>
        <w:left w:val="none" w:sz="0" w:space="0" w:color="auto"/>
        <w:bottom w:val="none" w:sz="0" w:space="0" w:color="auto"/>
        <w:right w:val="none" w:sz="0" w:space="0" w:color="auto"/>
      </w:divBdr>
    </w:div>
    <w:div w:id="811407793">
      <w:marLeft w:val="0"/>
      <w:marRight w:val="0"/>
      <w:marTop w:val="0"/>
      <w:marBottom w:val="0"/>
      <w:divBdr>
        <w:top w:val="none" w:sz="0" w:space="0" w:color="auto"/>
        <w:left w:val="none" w:sz="0" w:space="0" w:color="auto"/>
        <w:bottom w:val="none" w:sz="0" w:space="0" w:color="auto"/>
        <w:right w:val="none" w:sz="0" w:space="0" w:color="auto"/>
      </w:divBdr>
    </w:div>
    <w:div w:id="811407794">
      <w:marLeft w:val="0"/>
      <w:marRight w:val="0"/>
      <w:marTop w:val="0"/>
      <w:marBottom w:val="0"/>
      <w:divBdr>
        <w:top w:val="none" w:sz="0" w:space="0" w:color="auto"/>
        <w:left w:val="none" w:sz="0" w:space="0" w:color="auto"/>
        <w:bottom w:val="none" w:sz="0" w:space="0" w:color="auto"/>
        <w:right w:val="none" w:sz="0" w:space="0" w:color="auto"/>
      </w:divBdr>
    </w:div>
    <w:div w:id="811407795">
      <w:marLeft w:val="0"/>
      <w:marRight w:val="0"/>
      <w:marTop w:val="0"/>
      <w:marBottom w:val="0"/>
      <w:divBdr>
        <w:top w:val="none" w:sz="0" w:space="0" w:color="auto"/>
        <w:left w:val="none" w:sz="0" w:space="0" w:color="auto"/>
        <w:bottom w:val="none" w:sz="0" w:space="0" w:color="auto"/>
        <w:right w:val="none" w:sz="0" w:space="0" w:color="auto"/>
      </w:divBdr>
    </w:div>
    <w:div w:id="811407796">
      <w:marLeft w:val="0"/>
      <w:marRight w:val="0"/>
      <w:marTop w:val="0"/>
      <w:marBottom w:val="0"/>
      <w:divBdr>
        <w:top w:val="none" w:sz="0" w:space="0" w:color="auto"/>
        <w:left w:val="none" w:sz="0" w:space="0" w:color="auto"/>
        <w:bottom w:val="none" w:sz="0" w:space="0" w:color="auto"/>
        <w:right w:val="none" w:sz="0" w:space="0" w:color="auto"/>
      </w:divBdr>
    </w:div>
    <w:div w:id="811407797">
      <w:marLeft w:val="0"/>
      <w:marRight w:val="0"/>
      <w:marTop w:val="0"/>
      <w:marBottom w:val="0"/>
      <w:divBdr>
        <w:top w:val="none" w:sz="0" w:space="0" w:color="auto"/>
        <w:left w:val="none" w:sz="0" w:space="0" w:color="auto"/>
        <w:bottom w:val="none" w:sz="0" w:space="0" w:color="auto"/>
        <w:right w:val="none" w:sz="0" w:space="0" w:color="auto"/>
      </w:divBdr>
    </w:div>
    <w:div w:id="811407798">
      <w:marLeft w:val="0"/>
      <w:marRight w:val="0"/>
      <w:marTop w:val="0"/>
      <w:marBottom w:val="0"/>
      <w:divBdr>
        <w:top w:val="none" w:sz="0" w:space="0" w:color="auto"/>
        <w:left w:val="none" w:sz="0" w:space="0" w:color="auto"/>
        <w:bottom w:val="none" w:sz="0" w:space="0" w:color="auto"/>
        <w:right w:val="none" w:sz="0" w:space="0" w:color="auto"/>
      </w:divBdr>
    </w:div>
    <w:div w:id="8114077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b.netgear.com/000062897/UKCA-Declarations-of-Conformity" TargetMode="External"/><Relationship Id="rId18" Type="http://schemas.openxmlformats.org/officeDocument/2006/relationships/hyperlink" Target="https://www.netgear.com/about/regulato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raon.ca/"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netgear.com/about/regulatory/"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bipt.be/operators/general-holders-licences" TargetMode="External"/><Relationship Id="rId20" Type="http://schemas.openxmlformats.org/officeDocument/2006/relationships/hyperlink" Target="https://www.netgear.com/about/regula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praon.ca/" TargetMode="External"/><Relationship Id="rId5" Type="http://schemas.openxmlformats.org/officeDocument/2006/relationships/webSettings" Target="webSettings.xml"/><Relationship Id="rId15" Type="http://schemas.openxmlformats.org/officeDocument/2006/relationships/hyperlink" Target="https://www.bipt.be/consumers/free-use-of-radio" TargetMode="External"/><Relationship Id="rId23" Type="http://schemas.openxmlformats.org/officeDocument/2006/relationships/hyperlink" Target="https://www.netgear.com/fr/about/regulatory/" TargetMode="External"/><Relationship Id="rId10" Type="http://schemas.openxmlformats.org/officeDocument/2006/relationships/hyperlink" Target="http://www.arcep.fr/" TargetMode="External"/><Relationship Id="rId19" Type="http://schemas.openxmlformats.org/officeDocument/2006/relationships/hyperlink" Target="https://www.netgear.com/about/regulato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yperlink" Target="https://www.netgear.com/fr/about/regulato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4D6DE-A01C-46DA-A8D6-E43A5843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7213</Words>
  <Characters>41120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Pampuch</dc:creator>
  <cp:keywords/>
  <dc:description/>
  <cp:lastModifiedBy>Katty Chen</cp:lastModifiedBy>
  <cp:revision>3</cp:revision>
  <dcterms:created xsi:type="dcterms:W3CDTF">2023-10-06T08:48:00Z</dcterms:created>
  <dcterms:modified xsi:type="dcterms:W3CDTF">2023-10-25T18:17:00Z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ies>
</file>