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A971" w14:textId="77777777" w:rsidR="00FD43BB" w:rsidRDefault="00FD43BB" w:rsidP="00E253EC">
      <w:pPr>
        <w:tabs>
          <w:tab w:val="left" w:pos="3150"/>
        </w:tabs>
        <w:rPr>
          <w:rFonts w:cs="Arial"/>
        </w:rPr>
      </w:pPr>
    </w:p>
    <w:p w14:paraId="10B8183D" w14:textId="77777777" w:rsidR="00502E0D" w:rsidRDefault="00A36BD1" w:rsidP="00E253EC">
      <w:pPr>
        <w:tabs>
          <w:tab w:val="left" w:pos="3150"/>
        </w:tabs>
        <w:rPr>
          <w:rFonts w:cs="Arial"/>
        </w:rPr>
      </w:pPr>
      <w:r>
        <w:rPr>
          <w:noProof/>
        </w:rPr>
        <w:drawing>
          <wp:inline distT="0" distB="0" distL="0" distR="0" wp14:anchorId="3E6D27D8" wp14:editId="7C9E6CBF">
            <wp:extent cx="2886075" cy="495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6075" cy="495300"/>
                    </a:xfrm>
                    <a:prstGeom prst="rect">
                      <a:avLst/>
                    </a:prstGeom>
                  </pic:spPr>
                </pic:pic>
              </a:graphicData>
            </a:graphic>
          </wp:inline>
        </w:drawing>
      </w:r>
    </w:p>
    <w:p w14:paraId="01869AE1" w14:textId="77777777" w:rsidR="004053EC" w:rsidRDefault="00502E0D" w:rsidP="00502E0D">
      <w:pPr>
        <w:pStyle w:val="Title"/>
      </w:pPr>
      <w:r>
        <w:t>Informacje o zgodności</w:t>
      </w:r>
    </w:p>
    <w:sdt>
      <w:sdtPr>
        <w:rPr>
          <w:rFonts w:ascii="Arial" w:eastAsia="新細明體" w:hAnsi="Arial" w:cstheme="minorBidi"/>
          <w:color w:val="auto"/>
          <w:sz w:val="18"/>
          <w:szCs w:val="22"/>
        </w:rPr>
        <w:id w:val="2025824657"/>
        <w:docPartObj>
          <w:docPartGallery w:val="Table of Contents"/>
          <w:docPartUnique/>
        </w:docPartObj>
      </w:sdtPr>
      <w:sdtEndPr>
        <w:rPr>
          <w:b/>
          <w:bCs/>
          <w:noProof/>
        </w:rPr>
      </w:sdtEndPr>
      <w:sdtContent>
        <w:p w14:paraId="15DDFB2A" w14:textId="6D504B28" w:rsidR="00B45971" w:rsidRDefault="00B45971" w:rsidP="00481C42">
          <w:pPr>
            <w:pStyle w:val="TOCHeading"/>
          </w:pPr>
          <w:r>
            <w:t>Spis treści</w:t>
          </w:r>
        </w:p>
        <w:p w14:paraId="4184444F" w14:textId="6A123070" w:rsidR="00C44BE6" w:rsidRDefault="00B45971" w:rsidP="006F70F9">
          <w:pPr>
            <w:pStyle w:val="TOC1"/>
            <w:rPr>
              <w:rFonts w:asciiTheme="minorHAnsi" w:eastAsiaTheme="minorEastAsia" w:hAnsiTheme="minorHAnsi"/>
              <w:noProof/>
              <w:sz w:val="22"/>
              <w:lang w:val="en-US" w:eastAsia="zh-TW"/>
            </w:rPr>
          </w:pPr>
          <w:r>
            <w:fldChar w:fldCharType="begin"/>
          </w:r>
          <w:r>
            <w:instrText xml:space="preserve"> TOC \o "1-3" \h \z \u </w:instrText>
          </w:r>
          <w:r>
            <w:fldChar w:fldCharType="separate"/>
          </w:r>
          <w:hyperlink w:anchor="_Toc118886360" w:history="1">
            <w:r w:rsidR="00C44BE6" w:rsidRPr="00DC2759">
              <w:rPr>
                <w:rStyle w:val="Hyperlink"/>
                <w:noProof/>
              </w:rPr>
              <w:t>Informacje i uwagi dotyczące bezpieczeństwa</w:t>
            </w:r>
            <w:r w:rsidR="00C44BE6">
              <w:rPr>
                <w:noProof/>
                <w:webHidden/>
              </w:rPr>
              <w:tab/>
            </w:r>
            <w:r w:rsidR="00C44BE6">
              <w:rPr>
                <w:noProof/>
                <w:webHidden/>
              </w:rPr>
              <w:fldChar w:fldCharType="begin"/>
            </w:r>
            <w:r w:rsidR="00C44BE6">
              <w:rPr>
                <w:noProof/>
                <w:webHidden/>
              </w:rPr>
              <w:instrText xml:space="preserve"> PAGEREF _Toc118886360 \h </w:instrText>
            </w:r>
            <w:r w:rsidR="00C44BE6">
              <w:rPr>
                <w:noProof/>
                <w:webHidden/>
              </w:rPr>
            </w:r>
            <w:r w:rsidR="00C44BE6">
              <w:rPr>
                <w:noProof/>
                <w:webHidden/>
              </w:rPr>
              <w:fldChar w:fldCharType="separate"/>
            </w:r>
            <w:r w:rsidR="00C44BE6">
              <w:rPr>
                <w:noProof/>
                <w:webHidden/>
              </w:rPr>
              <w:t>2</w:t>
            </w:r>
            <w:r w:rsidR="00C44BE6">
              <w:rPr>
                <w:noProof/>
                <w:webHidden/>
              </w:rPr>
              <w:fldChar w:fldCharType="end"/>
            </w:r>
          </w:hyperlink>
        </w:p>
        <w:p w14:paraId="0A3D6DC2" w14:textId="1D764FBA" w:rsidR="00C44BE6" w:rsidRDefault="005F0D70">
          <w:pPr>
            <w:pStyle w:val="TOC3"/>
            <w:rPr>
              <w:rFonts w:asciiTheme="minorHAnsi" w:eastAsiaTheme="minorEastAsia" w:hAnsiTheme="minorHAnsi"/>
              <w:noProof/>
              <w:sz w:val="22"/>
              <w:lang w:val="en-US" w:eastAsia="zh-TW"/>
            </w:rPr>
          </w:pPr>
          <w:hyperlink w:anchor="_Toc118886361" w:history="1">
            <w:r w:rsidR="00C44BE6" w:rsidRPr="00DC2759">
              <w:rPr>
                <w:rStyle w:val="Hyperlink"/>
                <w:noProof/>
              </w:rPr>
              <w:t>Bezpieczna obsługa i użytkowanie baterii lub akumulatorów</w:t>
            </w:r>
            <w:r w:rsidR="00C44BE6">
              <w:rPr>
                <w:noProof/>
                <w:webHidden/>
              </w:rPr>
              <w:tab/>
            </w:r>
            <w:r w:rsidR="00C44BE6">
              <w:rPr>
                <w:noProof/>
                <w:webHidden/>
              </w:rPr>
              <w:fldChar w:fldCharType="begin"/>
            </w:r>
            <w:r w:rsidR="00C44BE6">
              <w:rPr>
                <w:noProof/>
                <w:webHidden/>
              </w:rPr>
              <w:instrText xml:space="preserve"> PAGEREF _Toc118886361 \h </w:instrText>
            </w:r>
            <w:r w:rsidR="00C44BE6">
              <w:rPr>
                <w:noProof/>
                <w:webHidden/>
              </w:rPr>
            </w:r>
            <w:r w:rsidR="00C44BE6">
              <w:rPr>
                <w:noProof/>
                <w:webHidden/>
              </w:rPr>
              <w:fldChar w:fldCharType="separate"/>
            </w:r>
            <w:r w:rsidR="00C44BE6">
              <w:rPr>
                <w:noProof/>
                <w:webHidden/>
              </w:rPr>
              <w:t>2</w:t>
            </w:r>
            <w:r w:rsidR="00C44BE6">
              <w:rPr>
                <w:noProof/>
                <w:webHidden/>
              </w:rPr>
              <w:fldChar w:fldCharType="end"/>
            </w:r>
          </w:hyperlink>
        </w:p>
        <w:p w14:paraId="71A863E5" w14:textId="1E6388DA"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62" w:history="1">
            <w:r w:rsidR="00C44BE6" w:rsidRPr="00DC2759">
              <w:rPr>
                <w:rStyle w:val="Hyperlink"/>
                <w:noProof/>
              </w:rPr>
              <w:t>Lokalizacja oznaczenia</w:t>
            </w:r>
            <w:r w:rsidR="00C44BE6">
              <w:rPr>
                <w:noProof/>
                <w:webHidden/>
              </w:rPr>
              <w:tab/>
            </w:r>
            <w:r w:rsidR="00C44BE6">
              <w:rPr>
                <w:noProof/>
                <w:webHidden/>
              </w:rPr>
              <w:fldChar w:fldCharType="begin"/>
            </w:r>
            <w:r w:rsidR="00C44BE6">
              <w:rPr>
                <w:noProof/>
                <w:webHidden/>
              </w:rPr>
              <w:instrText xml:space="preserve"> PAGEREF _Toc118886362 \h </w:instrText>
            </w:r>
            <w:r w:rsidR="00C44BE6">
              <w:rPr>
                <w:noProof/>
                <w:webHidden/>
              </w:rPr>
            </w:r>
            <w:r w:rsidR="00C44BE6">
              <w:rPr>
                <w:noProof/>
                <w:webHidden/>
              </w:rPr>
              <w:fldChar w:fldCharType="separate"/>
            </w:r>
            <w:r w:rsidR="00C44BE6">
              <w:rPr>
                <w:noProof/>
                <w:webHidden/>
              </w:rPr>
              <w:t>2</w:t>
            </w:r>
            <w:r w:rsidR="00C44BE6">
              <w:rPr>
                <w:noProof/>
                <w:webHidden/>
              </w:rPr>
              <w:fldChar w:fldCharType="end"/>
            </w:r>
          </w:hyperlink>
        </w:p>
        <w:p w14:paraId="640D3FC6" w14:textId="42C63C76"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63" w:history="1">
            <w:r w:rsidR="00C44BE6" w:rsidRPr="00DC2759">
              <w:rPr>
                <w:rStyle w:val="Hyperlink"/>
                <w:noProof/>
              </w:rPr>
              <w:t>Korzystanie w miejscach, w których mogą znajdować się dzieci</w:t>
            </w:r>
            <w:r w:rsidR="00C44BE6">
              <w:rPr>
                <w:noProof/>
                <w:webHidden/>
              </w:rPr>
              <w:tab/>
            </w:r>
            <w:r w:rsidR="00C44BE6">
              <w:rPr>
                <w:noProof/>
                <w:webHidden/>
              </w:rPr>
              <w:fldChar w:fldCharType="begin"/>
            </w:r>
            <w:r w:rsidR="00C44BE6">
              <w:rPr>
                <w:noProof/>
                <w:webHidden/>
              </w:rPr>
              <w:instrText xml:space="preserve"> PAGEREF _Toc118886363 \h </w:instrText>
            </w:r>
            <w:r w:rsidR="00C44BE6">
              <w:rPr>
                <w:noProof/>
                <w:webHidden/>
              </w:rPr>
            </w:r>
            <w:r w:rsidR="00C44BE6">
              <w:rPr>
                <w:noProof/>
                <w:webHidden/>
              </w:rPr>
              <w:fldChar w:fldCharType="separate"/>
            </w:r>
            <w:r w:rsidR="00C44BE6">
              <w:rPr>
                <w:noProof/>
                <w:webHidden/>
              </w:rPr>
              <w:t>3</w:t>
            </w:r>
            <w:r w:rsidR="00C44BE6">
              <w:rPr>
                <w:noProof/>
                <w:webHidden/>
              </w:rPr>
              <w:fldChar w:fldCharType="end"/>
            </w:r>
          </w:hyperlink>
        </w:p>
        <w:p w14:paraId="6B548B3C" w14:textId="7DD275D6"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64" w:history="1">
            <w:r w:rsidR="00C44BE6" w:rsidRPr="00DC2759">
              <w:rPr>
                <w:rStyle w:val="Hyperlink"/>
                <w:noProof/>
              </w:rPr>
              <w:t>Powiadomienia o ograniczonym dostępie</w:t>
            </w:r>
            <w:r w:rsidR="00C44BE6">
              <w:rPr>
                <w:noProof/>
                <w:webHidden/>
              </w:rPr>
              <w:tab/>
            </w:r>
            <w:r w:rsidR="00C44BE6">
              <w:rPr>
                <w:noProof/>
                <w:webHidden/>
              </w:rPr>
              <w:fldChar w:fldCharType="begin"/>
            </w:r>
            <w:r w:rsidR="00C44BE6">
              <w:rPr>
                <w:noProof/>
                <w:webHidden/>
              </w:rPr>
              <w:instrText xml:space="preserve"> PAGEREF _Toc118886364 \h </w:instrText>
            </w:r>
            <w:r w:rsidR="00C44BE6">
              <w:rPr>
                <w:noProof/>
                <w:webHidden/>
              </w:rPr>
            </w:r>
            <w:r w:rsidR="00C44BE6">
              <w:rPr>
                <w:noProof/>
                <w:webHidden/>
              </w:rPr>
              <w:fldChar w:fldCharType="separate"/>
            </w:r>
            <w:r w:rsidR="00C44BE6">
              <w:rPr>
                <w:noProof/>
                <w:webHidden/>
              </w:rPr>
              <w:t>3</w:t>
            </w:r>
            <w:r w:rsidR="00C44BE6">
              <w:rPr>
                <w:noProof/>
                <w:webHidden/>
              </w:rPr>
              <w:fldChar w:fldCharType="end"/>
            </w:r>
          </w:hyperlink>
        </w:p>
        <w:p w14:paraId="256E63C0" w14:textId="53052DCC"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65" w:history="1">
            <w:r w:rsidR="00C44BE6" w:rsidRPr="00DC2759">
              <w:rPr>
                <w:rStyle w:val="Hyperlink"/>
                <w:noProof/>
              </w:rPr>
              <w:t>Uwaga dotycząca połączenia za pomocą przewodu koncentrycznego telewizji kablowej i Internetu (w wybranych modelach)</w:t>
            </w:r>
            <w:r w:rsidR="00C44BE6">
              <w:rPr>
                <w:noProof/>
                <w:webHidden/>
              </w:rPr>
              <w:tab/>
            </w:r>
            <w:r w:rsidR="00C44BE6">
              <w:rPr>
                <w:noProof/>
                <w:webHidden/>
              </w:rPr>
              <w:fldChar w:fldCharType="begin"/>
            </w:r>
            <w:r w:rsidR="00C44BE6">
              <w:rPr>
                <w:noProof/>
                <w:webHidden/>
              </w:rPr>
              <w:instrText xml:space="preserve"> PAGEREF _Toc118886365 \h </w:instrText>
            </w:r>
            <w:r w:rsidR="00C44BE6">
              <w:rPr>
                <w:noProof/>
                <w:webHidden/>
              </w:rPr>
            </w:r>
            <w:r w:rsidR="00C44BE6">
              <w:rPr>
                <w:noProof/>
                <w:webHidden/>
              </w:rPr>
              <w:fldChar w:fldCharType="separate"/>
            </w:r>
            <w:r w:rsidR="00C44BE6">
              <w:rPr>
                <w:noProof/>
                <w:webHidden/>
              </w:rPr>
              <w:t>3</w:t>
            </w:r>
            <w:r w:rsidR="00C44BE6">
              <w:rPr>
                <w:noProof/>
                <w:webHidden/>
              </w:rPr>
              <w:fldChar w:fldCharType="end"/>
            </w:r>
          </w:hyperlink>
        </w:p>
        <w:p w14:paraId="16F58668" w14:textId="739536F5" w:rsidR="00C44BE6" w:rsidRDefault="005F0D70" w:rsidP="006F70F9">
          <w:pPr>
            <w:pStyle w:val="TOC1"/>
            <w:rPr>
              <w:rFonts w:asciiTheme="minorHAnsi" w:eastAsiaTheme="minorEastAsia" w:hAnsiTheme="minorHAnsi"/>
              <w:noProof/>
              <w:sz w:val="22"/>
              <w:lang w:val="en-US" w:eastAsia="zh-TW"/>
            </w:rPr>
          </w:pPr>
          <w:hyperlink w:anchor="_Toc118886366" w:history="1">
            <w:r w:rsidR="00C44BE6" w:rsidRPr="00DC2759">
              <w:rPr>
                <w:rStyle w:val="Hyperlink"/>
                <w:noProof/>
              </w:rPr>
              <w:t>Informacje dotyczące zgodności z przepisami</w:t>
            </w:r>
            <w:r w:rsidR="00C44BE6">
              <w:rPr>
                <w:noProof/>
                <w:webHidden/>
              </w:rPr>
              <w:tab/>
            </w:r>
            <w:r w:rsidR="00C44BE6">
              <w:rPr>
                <w:noProof/>
                <w:webHidden/>
              </w:rPr>
              <w:fldChar w:fldCharType="begin"/>
            </w:r>
            <w:r w:rsidR="00C44BE6">
              <w:rPr>
                <w:noProof/>
                <w:webHidden/>
              </w:rPr>
              <w:instrText xml:space="preserve"> PAGEREF _Toc118886366 \h </w:instrText>
            </w:r>
            <w:r w:rsidR="00C44BE6">
              <w:rPr>
                <w:noProof/>
                <w:webHidden/>
              </w:rPr>
            </w:r>
            <w:r w:rsidR="00C44BE6">
              <w:rPr>
                <w:noProof/>
                <w:webHidden/>
              </w:rPr>
              <w:fldChar w:fldCharType="separate"/>
            </w:r>
            <w:r w:rsidR="00C44BE6">
              <w:rPr>
                <w:noProof/>
                <w:webHidden/>
              </w:rPr>
              <w:t>3</w:t>
            </w:r>
            <w:r w:rsidR="00C44BE6">
              <w:rPr>
                <w:noProof/>
                <w:webHidden/>
              </w:rPr>
              <w:fldChar w:fldCharType="end"/>
            </w:r>
          </w:hyperlink>
        </w:p>
        <w:p w14:paraId="64320C76" w14:textId="434AA600"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67" w:history="1">
            <w:r w:rsidR="00C44BE6" w:rsidRPr="00DC2759">
              <w:rPr>
                <w:rStyle w:val="Hyperlink"/>
                <w:noProof/>
              </w:rPr>
              <w:t>Sprzęt certyfikowany do użytku na zewnątrz</w:t>
            </w:r>
            <w:r w:rsidR="00C44BE6">
              <w:rPr>
                <w:noProof/>
                <w:webHidden/>
              </w:rPr>
              <w:tab/>
            </w:r>
            <w:r w:rsidR="00C44BE6">
              <w:rPr>
                <w:noProof/>
                <w:webHidden/>
              </w:rPr>
              <w:fldChar w:fldCharType="begin"/>
            </w:r>
            <w:r w:rsidR="00C44BE6">
              <w:rPr>
                <w:noProof/>
                <w:webHidden/>
              </w:rPr>
              <w:instrText xml:space="preserve"> PAGEREF _Toc118886367 \h </w:instrText>
            </w:r>
            <w:r w:rsidR="00C44BE6">
              <w:rPr>
                <w:noProof/>
                <w:webHidden/>
              </w:rPr>
            </w:r>
            <w:r w:rsidR="00C44BE6">
              <w:rPr>
                <w:noProof/>
                <w:webHidden/>
              </w:rPr>
              <w:fldChar w:fldCharType="separate"/>
            </w:r>
            <w:r w:rsidR="00C44BE6">
              <w:rPr>
                <w:noProof/>
                <w:webHidden/>
              </w:rPr>
              <w:t>4</w:t>
            </w:r>
            <w:r w:rsidR="00C44BE6">
              <w:rPr>
                <w:noProof/>
                <w:webHidden/>
              </w:rPr>
              <w:fldChar w:fldCharType="end"/>
            </w:r>
          </w:hyperlink>
        </w:p>
        <w:p w14:paraId="6F14EC0C" w14:textId="79A57E9B"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68" w:history="1">
            <w:r w:rsidR="00C44BE6" w:rsidRPr="00DC2759">
              <w:rPr>
                <w:rStyle w:val="Hyperlink"/>
                <w:noProof/>
              </w:rPr>
              <w:t>Urządzenia z antenami zewnętrznymi</w:t>
            </w:r>
            <w:r w:rsidR="00C44BE6">
              <w:rPr>
                <w:noProof/>
                <w:webHidden/>
              </w:rPr>
              <w:tab/>
            </w:r>
            <w:r w:rsidR="00C44BE6">
              <w:rPr>
                <w:noProof/>
                <w:webHidden/>
              </w:rPr>
              <w:fldChar w:fldCharType="begin"/>
            </w:r>
            <w:r w:rsidR="00C44BE6">
              <w:rPr>
                <w:noProof/>
                <w:webHidden/>
              </w:rPr>
              <w:instrText xml:space="preserve"> PAGEREF _Toc118886368 \h </w:instrText>
            </w:r>
            <w:r w:rsidR="00C44BE6">
              <w:rPr>
                <w:noProof/>
                <w:webHidden/>
              </w:rPr>
            </w:r>
            <w:r w:rsidR="00C44BE6">
              <w:rPr>
                <w:noProof/>
                <w:webHidden/>
              </w:rPr>
              <w:fldChar w:fldCharType="separate"/>
            </w:r>
            <w:r w:rsidR="00C44BE6">
              <w:rPr>
                <w:noProof/>
                <w:webHidden/>
              </w:rPr>
              <w:t>4</w:t>
            </w:r>
            <w:r w:rsidR="00C44BE6">
              <w:rPr>
                <w:noProof/>
                <w:webHidden/>
              </w:rPr>
              <w:fldChar w:fldCharType="end"/>
            </w:r>
          </w:hyperlink>
        </w:p>
        <w:p w14:paraId="10B078C1" w14:textId="396379CD" w:rsidR="00C44BE6" w:rsidRDefault="005F0D70" w:rsidP="006F70F9">
          <w:pPr>
            <w:pStyle w:val="TOC1"/>
            <w:rPr>
              <w:rFonts w:asciiTheme="minorHAnsi" w:eastAsiaTheme="minorEastAsia" w:hAnsiTheme="minorHAnsi"/>
              <w:noProof/>
              <w:sz w:val="22"/>
              <w:lang w:val="en-US" w:eastAsia="zh-TW"/>
            </w:rPr>
          </w:pPr>
          <w:hyperlink w:anchor="_Toc118886369" w:history="1">
            <w:r w:rsidR="00C44BE6" w:rsidRPr="00DC2759">
              <w:rPr>
                <w:rStyle w:val="Hyperlink"/>
                <w:noProof/>
              </w:rPr>
              <w:t>Wymagania prawne dotyczące eksploatacji w Europie (GB, UK i UE)</w:t>
            </w:r>
            <w:r w:rsidR="00C44BE6">
              <w:rPr>
                <w:noProof/>
                <w:webHidden/>
              </w:rPr>
              <w:tab/>
            </w:r>
            <w:r w:rsidR="00C44BE6">
              <w:rPr>
                <w:noProof/>
                <w:webHidden/>
              </w:rPr>
              <w:fldChar w:fldCharType="begin"/>
            </w:r>
            <w:r w:rsidR="00C44BE6">
              <w:rPr>
                <w:noProof/>
                <w:webHidden/>
              </w:rPr>
              <w:instrText xml:space="preserve"> PAGEREF _Toc118886369 \h </w:instrText>
            </w:r>
            <w:r w:rsidR="00C44BE6">
              <w:rPr>
                <w:noProof/>
                <w:webHidden/>
              </w:rPr>
            </w:r>
            <w:r w:rsidR="00C44BE6">
              <w:rPr>
                <w:noProof/>
                <w:webHidden/>
              </w:rPr>
              <w:fldChar w:fldCharType="separate"/>
            </w:r>
            <w:r w:rsidR="00C44BE6">
              <w:rPr>
                <w:noProof/>
                <w:webHidden/>
              </w:rPr>
              <w:t>5</w:t>
            </w:r>
            <w:r w:rsidR="00C44BE6">
              <w:rPr>
                <w:noProof/>
                <w:webHidden/>
              </w:rPr>
              <w:fldChar w:fldCharType="end"/>
            </w:r>
          </w:hyperlink>
        </w:p>
        <w:p w14:paraId="5D154945" w14:textId="0523A63F"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70" w:history="1">
            <w:r w:rsidR="00C44BE6" w:rsidRPr="00DC2759">
              <w:rPr>
                <w:rStyle w:val="Hyperlink"/>
                <w:noProof/>
              </w:rPr>
              <w:t>Zgodność z dyrektywą 2014/53/UE dotyczącą sprzętu radiowego (RED)</w:t>
            </w:r>
            <w:r w:rsidR="00C44BE6">
              <w:rPr>
                <w:noProof/>
                <w:webHidden/>
              </w:rPr>
              <w:tab/>
            </w:r>
            <w:r w:rsidR="00C44BE6">
              <w:rPr>
                <w:noProof/>
                <w:webHidden/>
              </w:rPr>
              <w:fldChar w:fldCharType="begin"/>
            </w:r>
            <w:r w:rsidR="00C44BE6">
              <w:rPr>
                <w:noProof/>
                <w:webHidden/>
              </w:rPr>
              <w:instrText xml:space="preserve"> PAGEREF _Toc118886370 \h </w:instrText>
            </w:r>
            <w:r w:rsidR="00C44BE6">
              <w:rPr>
                <w:noProof/>
                <w:webHidden/>
              </w:rPr>
            </w:r>
            <w:r w:rsidR="00C44BE6">
              <w:rPr>
                <w:noProof/>
                <w:webHidden/>
              </w:rPr>
              <w:fldChar w:fldCharType="separate"/>
            </w:r>
            <w:r w:rsidR="00C44BE6">
              <w:rPr>
                <w:noProof/>
                <w:webHidden/>
              </w:rPr>
              <w:t>6</w:t>
            </w:r>
            <w:r w:rsidR="00C44BE6">
              <w:rPr>
                <w:noProof/>
                <w:webHidden/>
              </w:rPr>
              <w:fldChar w:fldCharType="end"/>
            </w:r>
          </w:hyperlink>
        </w:p>
        <w:p w14:paraId="14A8CF02" w14:textId="62422397" w:rsidR="00C44BE6" w:rsidRDefault="005F0D70">
          <w:pPr>
            <w:pStyle w:val="TOC3"/>
            <w:rPr>
              <w:rFonts w:asciiTheme="minorHAnsi" w:eastAsiaTheme="minorEastAsia" w:hAnsiTheme="minorHAnsi"/>
              <w:noProof/>
              <w:sz w:val="22"/>
              <w:lang w:val="en-US" w:eastAsia="zh-TW"/>
            </w:rPr>
          </w:pPr>
          <w:hyperlink w:anchor="_Toc118886371" w:history="1">
            <w:r w:rsidR="00C44BE6" w:rsidRPr="00DC2759">
              <w:rPr>
                <w:rStyle w:val="Hyperlink"/>
                <w:noProof/>
              </w:rPr>
              <w:t>Wytyczne dotyczące narażenia na częstotliwości radiowe</w:t>
            </w:r>
            <w:r w:rsidR="00C44BE6">
              <w:rPr>
                <w:noProof/>
                <w:webHidden/>
              </w:rPr>
              <w:tab/>
            </w:r>
            <w:r w:rsidR="00C44BE6">
              <w:rPr>
                <w:noProof/>
                <w:webHidden/>
              </w:rPr>
              <w:fldChar w:fldCharType="begin"/>
            </w:r>
            <w:r w:rsidR="00C44BE6">
              <w:rPr>
                <w:noProof/>
                <w:webHidden/>
              </w:rPr>
              <w:instrText xml:space="preserve"> PAGEREF _Toc118886371 \h </w:instrText>
            </w:r>
            <w:r w:rsidR="00C44BE6">
              <w:rPr>
                <w:noProof/>
                <w:webHidden/>
              </w:rPr>
            </w:r>
            <w:r w:rsidR="00C44BE6">
              <w:rPr>
                <w:noProof/>
                <w:webHidden/>
              </w:rPr>
              <w:fldChar w:fldCharType="separate"/>
            </w:r>
            <w:r w:rsidR="00C44BE6">
              <w:rPr>
                <w:noProof/>
                <w:webHidden/>
              </w:rPr>
              <w:t>6</w:t>
            </w:r>
            <w:r w:rsidR="00C44BE6">
              <w:rPr>
                <w:noProof/>
                <w:webHidden/>
              </w:rPr>
              <w:fldChar w:fldCharType="end"/>
            </w:r>
          </w:hyperlink>
        </w:p>
        <w:p w14:paraId="2B1A4BA1" w14:textId="1E84DCFD"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72" w:history="1">
            <w:r w:rsidR="00C44BE6" w:rsidRPr="00DC2759">
              <w:rPr>
                <w:rStyle w:val="Hyperlink"/>
                <w:noProof/>
              </w:rPr>
              <w:t>Szczególne środki ostrożności dotyczące EMC</w:t>
            </w:r>
            <w:r w:rsidR="00C44BE6">
              <w:rPr>
                <w:noProof/>
                <w:webHidden/>
              </w:rPr>
              <w:tab/>
            </w:r>
            <w:r w:rsidR="00C44BE6">
              <w:rPr>
                <w:noProof/>
                <w:webHidden/>
              </w:rPr>
              <w:fldChar w:fldCharType="begin"/>
            </w:r>
            <w:r w:rsidR="00C44BE6">
              <w:rPr>
                <w:noProof/>
                <w:webHidden/>
              </w:rPr>
              <w:instrText xml:space="preserve"> PAGEREF _Toc118886372 \h </w:instrText>
            </w:r>
            <w:r w:rsidR="00C44BE6">
              <w:rPr>
                <w:noProof/>
                <w:webHidden/>
              </w:rPr>
            </w:r>
            <w:r w:rsidR="00C44BE6">
              <w:rPr>
                <w:noProof/>
                <w:webHidden/>
              </w:rPr>
              <w:fldChar w:fldCharType="separate"/>
            </w:r>
            <w:r w:rsidR="00C44BE6">
              <w:rPr>
                <w:noProof/>
                <w:webHidden/>
              </w:rPr>
              <w:t>7</w:t>
            </w:r>
            <w:r w:rsidR="00C44BE6">
              <w:rPr>
                <w:noProof/>
                <w:webHidden/>
              </w:rPr>
              <w:fldChar w:fldCharType="end"/>
            </w:r>
          </w:hyperlink>
        </w:p>
        <w:p w14:paraId="2AD43967" w14:textId="0508F5C4" w:rsidR="00C44BE6" w:rsidRDefault="005F0D70" w:rsidP="006F70F9">
          <w:pPr>
            <w:pStyle w:val="TOC1"/>
            <w:rPr>
              <w:rFonts w:asciiTheme="minorHAnsi" w:eastAsiaTheme="minorEastAsia" w:hAnsiTheme="minorHAnsi"/>
              <w:noProof/>
              <w:sz w:val="22"/>
              <w:lang w:val="en-US" w:eastAsia="zh-TW"/>
            </w:rPr>
          </w:pPr>
          <w:hyperlink w:anchor="_Toc118886373" w:history="1">
            <w:r w:rsidR="00C44BE6" w:rsidRPr="00DC2759">
              <w:rPr>
                <w:rStyle w:val="Hyperlink"/>
                <w:noProof/>
              </w:rPr>
              <w:t>Wymagania FCC dotyczące pracy w Stanach Zjednoczonych</w:t>
            </w:r>
            <w:r w:rsidR="00C44BE6">
              <w:rPr>
                <w:noProof/>
                <w:webHidden/>
              </w:rPr>
              <w:tab/>
            </w:r>
            <w:r w:rsidR="00C44BE6">
              <w:rPr>
                <w:noProof/>
                <w:webHidden/>
              </w:rPr>
              <w:fldChar w:fldCharType="begin"/>
            </w:r>
            <w:r w:rsidR="00C44BE6">
              <w:rPr>
                <w:noProof/>
                <w:webHidden/>
              </w:rPr>
              <w:instrText xml:space="preserve"> PAGEREF _Toc118886373 \h </w:instrText>
            </w:r>
            <w:r w:rsidR="00C44BE6">
              <w:rPr>
                <w:noProof/>
                <w:webHidden/>
              </w:rPr>
            </w:r>
            <w:r w:rsidR="00C44BE6">
              <w:rPr>
                <w:noProof/>
                <w:webHidden/>
              </w:rPr>
              <w:fldChar w:fldCharType="separate"/>
            </w:r>
            <w:r w:rsidR="00C44BE6">
              <w:rPr>
                <w:noProof/>
                <w:webHidden/>
              </w:rPr>
              <w:t>7</w:t>
            </w:r>
            <w:r w:rsidR="00C44BE6">
              <w:rPr>
                <w:noProof/>
                <w:webHidden/>
              </w:rPr>
              <w:fldChar w:fldCharType="end"/>
            </w:r>
          </w:hyperlink>
        </w:p>
        <w:p w14:paraId="2AAAFD0F" w14:textId="29FF10BD"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74" w:history="1">
            <w:r w:rsidR="00C44BE6" w:rsidRPr="00DC2759">
              <w:rPr>
                <w:rStyle w:val="Hyperlink"/>
                <w:noProof/>
              </w:rPr>
              <w:t>Deklaracja zgodności z FCC</w:t>
            </w:r>
            <w:r w:rsidR="00C44BE6">
              <w:rPr>
                <w:noProof/>
                <w:webHidden/>
              </w:rPr>
              <w:tab/>
            </w:r>
            <w:r w:rsidR="00C44BE6">
              <w:rPr>
                <w:noProof/>
                <w:webHidden/>
              </w:rPr>
              <w:fldChar w:fldCharType="begin"/>
            </w:r>
            <w:r w:rsidR="00C44BE6">
              <w:rPr>
                <w:noProof/>
                <w:webHidden/>
              </w:rPr>
              <w:instrText xml:space="preserve"> PAGEREF _Toc118886374 \h </w:instrText>
            </w:r>
            <w:r w:rsidR="00C44BE6">
              <w:rPr>
                <w:noProof/>
                <w:webHidden/>
              </w:rPr>
            </w:r>
            <w:r w:rsidR="00C44BE6">
              <w:rPr>
                <w:noProof/>
                <w:webHidden/>
              </w:rPr>
              <w:fldChar w:fldCharType="separate"/>
            </w:r>
            <w:r w:rsidR="00C44BE6">
              <w:rPr>
                <w:noProof/>
                <w:webHidden/>
              </w:rPr>
              <w:t>8</w:t>
            </w:r>
            <w:r w:rsidR="00C44BE6">
              <w:rPr>
                <w:noProof/>
                <w:webHidden/>
              </w:rPr>
              <w:fldChar w:fldCharType="end"/>
            </w:r>
          </w:hyperlink>
        </w:p>
        <w:p w14:paraId="7CBAFDB7" w14:textId="1EC52B8A"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75" w:history="1">
            <w:r w:rsidR="00C44BE6" w:rsidRPr="00DC2759">
              <w:rPr>
                <w:rStyle w:val="Hyperlink"/>
                <w:noProof/>
              </w:rPr>
              <w:t>Informacje FCC dla użytkownika</w:t>
            </w:r>
            <w:r w:rsidR="00C44BE6">
              <w:rPr>
                <w:noProof/>
                <w:webHidden/>
              </w:rPr>
              <w:tab/>
            </w:r>
            <w:r w:rsidR="00C44BE6">
              <w:rPr>
                <w:noProof/>
                <w:webHidden/>
              </w:rPr>
              <w:fldChar w:fldCharType="begin"/>
            </w:r>
            <w:r w:rsidR="00C44BE6">
              <w:rPr>
                <w:noProof/>
                <w:webHidden/>
              </w:rPr>
              <w:instrText xml:space="preserve"> PAGEREF _Toc118886375 \h </w:instrText>
            </w:r>
            <w:r w:rsidR="00C44BE6">
              <w:rPr>
                <w:noProof/>
                <w:webHidden/>
              </w:rPr>
            </w:r>
            <w:r w:rsidR="00C44BE6">
              <w:rPr>
                <w:noProof/>
                <w:webHidden/>
              </w:rPr>
              <w:fldChar w:fldCharType="separate"/>
            </w:r>
            <w:r w:rsidR="00C44BE6">
              <w:rPr>
                <w:noProof/>
                <w:webHidden/>
              </w:rPr>
              <w:t>8</w:t>
            </w:r>
            <w:r w:rsidR="00C44BE6">
              <w:rPr>
                <w:noProof/>
                <w:webHidden/>
              </w:rPr>
              <w:fldChar w:fldCharType="end"/>
            </w:r>
          </w:hyperlink>
        </w:p>
        <w:p w14:paraId="2CA44A72" w14:textId="66BECC9E"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76" w:history="1">
            <w:r w:rsidR="00C44BE6" w:rsidRPr="00DC2759">
              <w:rPr>
                <w:rStyle w:val="Hyperlink"/>
                <w:noProof/>
              </w:rPr>
              <w:t>Ostrzeżenia i instrukcje FCC o częstotliwościach radiowych</w:t>
            </w:r>
            <w:r w:rsidR="00C44BE6">
              <w:rPr>
                <w:noProof/>
                <w:webHidden/>
              </w:rPr>
              <w:tab/>
            </w:r>
            <w:r w:rsidR="00C44BE6">
              <w:rPr>
                <w:noProof/>
                <w:webHidden/>
              </w:rPr>
              <w:fldChar w:fldCharType="begin"/>
            </w:r>
            <w:r w:rsidR="00C44BE6">
              <w:rPr>
                <w:noProof/>
                <w:webHidden/>
              </w:rPr>
              <w:instrText xml:space="preserve"> PAGEREF _Toc118886376 \h </w:instrText>
            </w:r>
            <w:r w:rsidR="00C44BE6">
              <w:rPr>
                <w:noProof/>
                <w:webHidden/>
              </w:rPr>
            </w:r>
            <w:r w:rsidR="00C44BE6">
              <w:rPr>
                <w:noProof/>
                <w:webHidden/>
              </w:rPr>
              <w:fldChar w:fldCharType="separate"/>
            </w:r>
            <w:r w:rsidR="00C44BE6">
              <w:rPr>
                <w:noProof/>
                <w:webHidden/>
              </w:rPr>
              <w:t>8</w:t>
            </w:r>
            <w:r w:rsidR="00C44BE6">
              <w:rPr>
                <w:noProof/>
                <w:webHidden/>
              </w:rPr>
              <w:fldChar w:fldCharType="end"/>
            </w:r>
          </w:hyperlink>
        </w:p>
        <w:p w14:paraId="35C8BFB9" w14:textId="00614FDA" w:rsidR="00C44BE6" w:rsidRDefault="005F0D70">
          <w:pPr>
            <w:pStyle w:val="TOC3"/>
            <w:rPr>
              <w:rFonts w:asciiTheme="minorHAnsi" w:eastAsiaTheme="minorEastAsia" w:hAnsiTheme="minorHAnsi"/>
              <w:noProof/>
              <w:sz w:val="22"/>
              <w:lang w:val="en-US" w:eastAsia="zh-TW"/>
            </w:rPr>
          </w:pPr>
          <w:hyperlink w:anchor="_Toc118886377" w:history="1">
            <w:r w:rsidR="00C44BE6" w:rsidRPr="00DC2759">
              <w:rPr>
                <w:rStyle w:val="Hyperlink"/>
                <w:noProof/>
              </w:rPr>
              <w:t>Wybór i użytkowanie kodu kraju (urządzenia WLAN)</w:t>
            </w:r>
            <w:r w:rsidR="00C44BE6">
              <w:rPr>
                <w:noProof/>
                <w:webHidden/>
              </w:rPr>
              <w:tab/>
            </w:r>
            <w:r w:rsidR="00C44BE6">
              <w:rPr>
                <w:noProof/>
                <w:webHidden/>
              </w:rPr>
              <w:fldChar w:fldCharType="begin"/>
            </w:r>
            <w:r w:rsidR="00C44BE6">
              <w:rPr>
                <w:noProof/>
                <w:webHidden/>
              </w:rPr>
              <w:instrText xml:space="preserve"> PAGEREF _Toc118886377 \h </w:instrText>
            </w:r>
            <w:r w:rsidR="00C44BE6">
              <w:rPr>
                <w:noProof/>
                <w:webHidden/>
              </w:rPr>
            </w:r>
            <w:r w:rsidR="00C44BE6">
              <w:rPr>
                <w:noProof/>
                <w:webHidden/>
              </w:rPr>
              <w:fldChar w:fldCharType="separate"/>
            </w:r>
            <w:r w:rsidR="00C44BE6">
              <w:rPr>
                <w:noProof/>
                <w:webHidden/>
              </w:rPr>
              <w:t>8</w:t>
            </w:r>
            <w:r w:rsidR="00C44BE6">
              <w:rPr>
                <w:noProof/>
                <w:webHidden/>
              </w:rPr>
              <w:fldChar w:fldCharType="end"/>
            </w:r>
          </w:hyperlink>
        </w:p>
        <w:p w14:paraId="716FDA8B" w14:textId="091E7BC9" w:rsidR="00C44BE6" w:rsidRDefault="005F0D70">
          <w:pPr>
            <w:pStyle w:val="TOC3"/>
            <w:rPr>
              <w:rFonts w:asciiTheme="minorHAnsi" w:eastAsiaTheme="minorEastAsia" w:hAnsiTheme="minorHAnsi"/>
              <w:noProof/>
              <w:sz w:val="22"/>
              <w:lang w:val="en-US" w:eastAsia="zh-TW"/>
            </w:rPr>
          </w:pPr>
          <w:hyperlink w:anchor="_Toc118886378" w:history="1">
            <w:r w:rsidR="00C44BE6" w:rsidRPr="00DC2759">
              <w:rPr>
                <w:rStyle w:val="Hyperlink"/>
                <w:noProof/>
              </w:rPr>
              <w:t>Urządzenia WiFi 5,9 i 6 GHz</w:t>
            </w:r>
            <w:r w:rsidR="00C44BE6">
              <w:rPr>
                <w:noProof/>
                <w:webHidden/>
              </w:rPr>
              <w:tab/>
            </w:r>
            <w:r w:rsidR="00C44BE6">
              <w:rPr>
                <w:noProof/>
                <w:webHidden/>
              </w:rPr>
              <w:fldChar w:fldCharType="begin"/>
            </w:r>
            <w:r w:rsidR="00C44BE6">
              <w:rPr>
                <w:noProof/>
                <w:webHidden/>
              </w:rPr>
              <w:instrText xml:space="preserve"> PAGEREF _Toc118886378 \h </w:instrText>
            </w:r>
            <w:r w:rsidR="00C44BE6">
              <w:rPr>
                <w:noProof/>
                <w:webHidden/>
              </w:rPr>
            </w:r>
            <w:r w:rsidR="00C44BE6">
              <w:rPr>
                <w:noProof/>
                <w:webHidden/>
              </w:rPr>
              <w:fldChar w:fldCharType="separate"/>
            </w:r>
            <w:r w:rsidR="00C44BE6">
              <w:rPr>
                <w:noProof/>
                <w:webHidden/>
              </w:rPr>
              <w:t>9</w:t>
            </w:r>
            <w:r w:rsidR="00C44BE6">
              <w:rPr>
                <w:noProof/>
                <w:webHidden/>
              </w:rPr>
              <w:fldChar w:fldCharType="end"/>
            </w:r>
          </w:hyperlink>
        </w:p>
        <w:p w14:paraId="6B200B7E" w14:textId="06D9286C"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79" w:history="1">
            <w:r w:rsidR="00C44BE6" w:rsidRPr="00DC2759">
              <w:rPr>
                <w:rStyle w:val="Hyperlink"/>
                <w:noProof/>
              </w:rPr>
              <w:t>Oświadczenia FCC dotyczące narażenia na promieniowanie RF i SAR</w:t>
            </w:r>
            <w:r w:rsidR="00C44BE6">
              <w:rPr>
                <w:noProof/>
                <w:webHidden/>
              </w:rPr>
              <w:tab/>
            </w:r>
            <w:r w:rsidR="00C44BE6">
              <w:rPr>
                <w:noProof/>
                <w:webHidden/>
              </w:rPr>
              <w:fldChar w:fldCharType="begin"/>
            </w:r>
            <w:r w:rsidR="00C44BE6">
              <w:rPr>
                <w:noProof/>
                <w:webHidden/>
              </w:rPr>
              <w:instrText xml:space="preserve"> PAGEREF _Toc118886379 \h </w:instrText>
            </w:r>
            <w:r w:rsidR="00C44BE6">
              <w:rPr>
                <w:noProof/>
                <w:webHidden/>
              </w:rPr>
            </w:r>
            <w:r w:rsidR="00C44BE6">
              <w:rPr>
                <w:noProof/>
                <w:webHidden/>
              </w:rPr>
              <w:fldChar w:fldCharType="separate"/>
            </w:r>
            <w:r w:rsidR="00C44BE6">
              <w:rPr>
                <w:noProof/>
                <w:webHidden/>
              </w:rPr>
              <w:t>9</w:t>
            </w:r>
            <w:r w:rsidR="00C44BE6">
              <w:rPr>
                <w:noProof/>
                <w:webHidden/>
              </w:rPr>
              <w:fldChar w:fldCharType="end"/>
            </w:r>
          </w:hyperlink>
        </w:p>
        <w:p w14:paraId="4765CA7F" w14:textId="2C8AB73E" w:rsidR="00C44BE6" w:rsidRDefault="005F0D70">
          <w:pPr>
            <w:pStyle w:val="TOC3"/>
            <w:rPr>
              <w:rFonts w:asciiTheme="minorHAnsi" w:eastAsiaTheme="minorEastAsia" w:hAnsiTheme="minorHAnsi"/>
              <w:noProof/>
              <w:sz w:val="22"/>
              <w:lang w:val="en-US" w:eastAsia="zh-TW"/>
            </w:rPr>
          </w:pPr>
          <w:hyperlink w:anchor="_Toc118886380" w:history="1">
            <w:r w:rsidR="00C44BE6" w:rsidRPr="00DC2759">
              <w:rPr>
                <w:rStyle w:val="Hyperlink"/>
                <w:noProof/>
              </w:rPr>
              <w:t>Informacje zawarte w niniejszej sekcji dotyczą produktów, które przesyłają dane lub komunikują się bezprzewodowo — oświadczenie SAR</w:t>
            </w:r>
            <w:r w:rsidR="00C44BE6">
              <w:rPr>
                <w:noProof/>
                <w:webHidden/>
              </w:rPr>
              <w:tab/>
            </w:r>
            <w:r w:rsidR="00C44BE6">
              <w:rPr>
                <w:noProof/>
                <w:webHidden/>
              </w:rPr>
              <w:fldChar w:fldCharType="begin"/>
            </w:r>
            <w:r w:rsidR="00C44BE6">
              <w:rPr>
                <w:noProof/>
                <w:webHidden/>
              </w:rPr>
              <w:instrText xml:space="preserve"> PAGEREF _Toc118886380 \h </w:instrText>
            </w:r>
            <w:r w:rsidR="00C44BE6">
              <w:rPr>
                <w:noProof/>
                <w:webHidden/>
              </w:rPr>
            </w:r>
            <w:r w:rsidR="00C44BE6">
              <w:rPr>
                <w:noProof/>
                <w:webHidden/>
              </w:rPr>
              <w:fldChar w:fldCharType="separate"/>
            </w:r>
            <w:r w:rsidR="00C44BE6">
              <w:rPr>
                <w:noProof/>
                <w:webHidden/>
              </w:rPr>
              <w:t>9</w:t>
            </w:r>
            <w:r w:rsidR="00C44BE6">
              <w:rPr>
                <w:noProof/>
                <w:webHidden/>
              </w:rPr>
              <w:fldChar w:fldCharType="end"/>
            </w:r>
          </w:hyperlink>
        </w:p>
        <w:p w14:paraId="27164F5E" w14:textId="68EFCB69" w:rsidR="00C44BE6" w:rsidRDefault="005F0D70">
          <w:pPr>
            <w:pStyle w:val="TOC3"/>
            <w:rPr>
              <w:rFonts w:asciiTheme="minorHAnsi" w:eastAsiaTheme="minorEastAsia" w:hAnsiTheme="minorHAnsi"/>
              <w:noProof/>
              <w:sz w:val="22"/>
              <w:lang w:val="en-US" w:eastAsia="zh-TW"/>
            </w:rPr>
          </w:pPr>
          <w:hyperlink w:anchor="_Toc118886381" w:history="1">
            <w:r w:rsidR="00C44BE6" w:rsidRPr="00DC2759">
              <w:rPr>
                <w:rStyle w:val="Hyperlink"/>
                <w:noProof/>
              </w:rPr>
              <w:t>Oświadczenie o maksymalnym dopuszczalnym narażeniu</w:t>
            </w:r>
            <w:r w:rsidR="00C44BE6">
              <w:rPr>
                <w:noProof/>
                <w:webHidden/>
              </w:rPr>
              <w:tab/>
            </w:r>
            <w:r w:rsidR="00C44BE6">
              <w:rPr>
                <w:noProof/>
                <w:webHidden/>
              </w:rPr>
              <w:fldChar w:fldCharType="begin"/>
            </w:r>
            <w:r w:rsidR="00C44BE6">
              <w:rPr>
                <w:noProof/>
                <w:webHidden/>
              </w:rPr>
              <w:instrText xml:space="preserve"> PAGEREF _Toc118886381 \h </w:instrText>
            </w:r>
            <w:r w:rsidR="00C44BE6">
              <w:rPr>
                <w:noProof/>
                <w:webHidden/>
              </w:rPr>
            </w:r>
            <w:r w:rsidR="00C44BE6">
              <w:rPr>
                <w:noProof/>
                <w:webHidden/>
              </w:rPr>
              <w:fldChar w:fldCharType="separate"/>
            </w:r>
            <w:r w:rsidR="00C44BE6">
              <w:rPr>
                <w:noProof/>
                <w:webHidden/>
              </w:rPr>
              <w:t>9</w:t>
            </w:r>
            <w:r w:rsidR="00C44BE6">
              <w:rPr>
                <w:noProof/>
                <w:webHidden/>
              </w:rPr>
              <w:fldChar w:fldCharType="end"/>
            </w:r>
          </w:hyperlink>
        </w:p>
        <w:p w14:paraId="1DEF8BD6" w14:textId="714BCC22"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82" w:history="1">
            <w:r w:rsidR="00C44BE6" w:rsidRPr="00DC2759">
              <w:rPr>
                <w:rStyle w:val="Hyperlink"/>
                <w:noProof/>
              </w:rPr>
              <w:t>Szczególne środki ostrożności dotyczące EMC</w:t>
            </w:r>
            <w:r w:rsidR="00C44BE6">
              <w:rPr>
                <w:noProof/>
                <w:webHidden/>
              </w:rPr>
              <w:tab/>
            </w:r>
            <w:r w:rsidR="00C44BE6">
              <w:rPr>
                <w:noProof/>
                <w:webHidden/>
              </w:rPr>
              <w:fldChar w:fldCharType="begin"/>
            </w:r>
            <w:r w:rsidR="00C44BE6">
              <w:rPr>
                <w:noProof/>
                <w:webHidden/>
              </w:rPr>
              <w:instrText xml:space="preserve"> PAGEREF _Toc118886382 \h </w:instrText>
            </w:r>
            <w:r w:rsidR="00C44BE6">
              <w:rPr>
                <w:noProof/>
                <w:webHidden/>
              </w:rPr>
            </w:r>
            <w:r w:rsidR="00C44BE6">
              <w:rPr>
                <w:noProof/>
                <w:webHidden/>
              </w:rPr>
              <w:fldChar w:fldCharType="separate"/>
            </w:r>
            <w:r w:rsidR="00C44BE6">
              <w:rPr>
                <w:noProof/>
                <w:webHidden/>
              </w:rPr>
              <w:t>9</w:t>
            </w:r>
            <w:r w:rsidR="00C44BE6">
              <w:rPr>
                <w:noProof/>
                <w:webHidden/>
              </w:rPr>
              <w:fldChar w:fldCharType="end"/>
            </w:r>
          </w:hyperlink>
        </w:p>
        <w:p w14:paraId="09D45D8C" w14:textId="6A6221FB" w:rsidR="00C44BE6" w:rsidRDefault="005F0D70">
          <w:pPr>
            <w:pStyle w:val="TOC3"/>
            <w:rPr>
              <w:rFonts w:asciiTheme="minorHAnsi" w:eastAsiaTheme="minorEastAsia" w:hAnsiTheme="minorHAnsi"/>
              <w:noProof/>
              <w:sz w:val="22"/>
              <w:lang w:val="en-US" w:eastAsia="zh-TW"/>
            </w:rPr>
          </w:pPr>
          <w:hyperlink w:anchor="_Toc118886383" w:history="1">
            <w:r w:rsidR="00C44BE6" w:rsidRPr="00DC2759">
              <w:rPr>
                <w:rStyle w:val="Hyperlink"/>
                <w:noProof/>
              </w:rPr>
              <w:t>Produkty klasy B</w:t>
            </w:r>
            <w:r w:rsidR="00C44BE6">
              <w:rPr>
                <w:noProof/>
                <w:webHidden/>
              </w:rPr>
              <w:tab/>
            </w:r>
            <w:r w:rsidR="00C44BE6">
              <w:rPr>
                <w:noProof/>
                <w:webHidden/>
              </w:rPr>
              <w:fldChar w:fldCharType="begin"/>
            </w:r>
            <w:r w:rsidR="00C44BE6">
              <w:rPr>
                <w:noProof/>
                <w:webHidden/>
              </w:rPr>
              <w:instrText xml:space="preserve"> PAGEREF _Toc118886383 \h </w:instrText>
            </w:r>
            <w:r w:rsidR="00C44BE6">
              <w:rPr>
                <w:noProof/>
                <w:webHidden/>
              </w:rPr>
            </w:r>
            <w:r w:rsidR="00C44BE6">
              <w:rPr>
                <w:noProof/>
                <w:webHidden/>
              </w:rPr>
              <w:fldChar w:fldCharType="separate"/>
            </w:r>
            <w:r w:rsidR="00C44BE6">
              <w:rPr>
                <w:noProof/>
                <w:webHidden/>
              </w:rPr>
              <w:t>9</w:t>
            </w:r>
            <w:r w:rsidR="00C44BE6">
              <w:rPr>
                <w:noProof/>
                <w:webHidden/>
              </w:rPr>
              <w:fldChar w:fldCharType="end"/>
            </w:r>
          </w:hyperlink>
        </w:p>
        <w:p w14:paraId="33157E4E" w14:textId="7960D887" w:rsidR="00C44BE6" w:rsidRDefault="005F0D70">
          <w:pPr>
            <w:pStyle w:val="TOC3"/>
            <w:rPr>
              <w:rFonts w:asciiTheme="minorHAnsi" w:eastAsiaTheme="minorEastAsia" w:hAnsiTheme="minorHAnsi"/>
              <w:noProof/>
              <w:sz w:val="22"/>
              <w:lang w:val="en-US" w:eastAsia="zh-TW"/>
            </w:rPr>
          </w:pPr>
          <w:hyperlink w:anchor="_Toc118886384" w:history="1">
            <w:r w:rsidR="00C44BE6" w:rsidRPr="00DC2759">
              <w:rPr>
                <w:rStyle w:val="Hyperlink"/>
                <w:noProof/>
              </w:rPr>
              <w:t>Produkty klasy A</w:t>
            </w:r>
            <w:r w:rsidR="00C44BE6">
              <w:rPr>
                <w:noProof/>
                <w:webHidden/>
              </w:rPr>
              <w:tab/>
            </w:r>
            <w:r w:rsidR="00C44BE6">
              <w:rPr>
                <w:noProof/>
                <w:webHidden/>
              </w:rPr>
              <w:fldChar w:fldCharType="begin"/>
            </w:r>
            <w:r w:rsidR="00C44BE6">
              <w:rPr>
                <w:noProof/>
                <w:webHidden/>
              </w:rPr>
              <w:instrText xml:space="preserve"> PAGEREF _Toc118886384 \h </w:instrText>
            </w:r>
            <w:r w:rsidR="00C44BE6">
              <w:rPr>
                <w:noProof/>
                <w:webHidden/>
              </w:rPr>
            </w:r>
            <w:r w:rsidR="00C44BE6">
              <w:rPr>
                <w:noProof/>
                <w:webHidden/>
              </w:rPr>
              <w:fldChar w:fldCharType="separate"/>
            </w:r>
            <w:r w:rsidR="00C44BE6">
              <w:rPr>
                <w:noProof/>
                <w:webHidden/>
              </w:rPr>
              <w:t>10</w:t>
            </w:r>
            <w:r w:rsidR="00C44BE6">
              <w:rPr>
                <w:noProof/>
                <w:webHidden/>
              </w:rPr>
              <w:fldChar w:fldCharType="end"/>
            </w:r>
          </w:hyperlink>
        </w:p>
        <w:p w14:paraId="5A9B43E3" w14:textId="39B5EF8E"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85" w:history="1">
            <w:r w:rsidR="00C44BE6" w:rsidRPr="00DC2759">
              <w:rPr>
                <w:rStyle w:val="Hyperlink"/>
                <w:noProof/>
              </w:rPr>
              <w:t>Powiadomienie FCC część 68</w:t>
            </w:r>
            <w:r w:rsidR="00C44BE6">
              <w:rPr>
                <w:noProof/>
                <w:webHidden/>
              </w:rPr>
              <w:tab/>
            </w:r>
            <w:r w:rsidR="00C44BE6">
              <w:rPr>
                <w:noProof/>
                <w:webHidden/>
              </w:rPr>
              <w:fldChar w:fldCharType="begin"/>
            </w:r>
            <w:r w:rsidR="00C44BE6">
              <w:rPr>
                <w:noProof/>
                <w:webHidden/>
              </w:rPr>
              <w:instrText xml:space="preserve"> PAGEREF _Toc118886385 \h </w:instrText>
            </w:r>
            <w:r w:rsidR="00C44BE6">
              <w:rPr>
                <w:noProof/>
                <w:webHidden/>
              </w:rPr>
            </w:r>
            <w:r w:rsidR="00C44BE6">
              <w:rPr>
                <w:noProof/>
                <w:webHidden/>
              </w:rPr>
              <w:fldChar w:fldCharType="separate"/>
            </w:r>
            <w:r w:rsidR="00C44BE6">
              <w:rPr>
                <w:noProof/>
                <w:webHidden/>
              </w:rPr>
              <w:t>10</w:t>
            </w:r>
            <w:r w:rsidR="00C44BE6">
              <w:rPr>
                <w:noProof/>
                <w:webHidden/>
              </w:rPr>
              <w:fldChar w:fldCharType="end"/>
            </w:r>
          </w:hyperlink>
        </w:p>
        <w:p w14:paraId="3106020F" w14:textId="76A585B7" w:rsidR="008A0D9A" w:rsidRDefault="008A0D9A" w:rsidP="006F70F9">
          <w:pPr>
            <w:pStyle w:val="TOC1"/>
            <w:rPr>
              <w:rFonts w:asciiTheme="minorHAnsi" w:eastAsiaTheme="minorEastAsia" w:hAnsiTheme="minorHAnsi"/>
              <w:noProof/>
              <w:sz w:val="22"/>
              <w:lang w:val="en-US" w:eastAsia="zh-TW"/>
            </w:rPr>
          </w:pPr>
          <w:hyperlink w:anchor="_Toc118886386" w:history="1">
            <w:r w:rsidRPr="00DC2759">
              <w:rPr>
                <w:rStyle w:val="Hyperlink"/>
                <w:noProof/>
              </w:rPr>
              <w:t>Przepisy Kanady dotyczące innowacji, nauki i rozwoju gospodarczego (ISED)</w:t>
            </w:r>
            <w:r>
              <w:rPr>
                <w:noProof/>
                <w:webHidden/>
              </w:rPr>
              <w:tab/>
            </w:r>
            <w:r>
              <w:rPr>
                <w:noProof/>
                <w:webHidden/>
              </w:rPr>
              <w:fldChar w:fldCharType="begin"/>
            </w:r>
            <w:r>
              <w:rPr>
                <w:noProof/>
                <w:webHidden/>
              </w:rPr>
              <w:instrText xml:space="preserve"> PAGEREF _Toc118886386 \h </w:instrText>
            </w:r>
            <w:r>
              <w:rPr>
                <w:noProof/>
                <w:webHidden/>
              </w:rPr>
            </w:r>
            <w:r>
              <w:rPr>
                <w:noProof/>
                <w:webHidden/>
              </w:rPr>
              <w:fldChar w:fldCharType="separate"/>
            </w:r>
            <w:r>
              <w:rPr>
                <w:noProof/>
                <w:webHidden/>
              </w:rPr>
              <w:t>10</w:t>
            </w:r>
            <w:r>
              <w:rPr>
                <w:noProof/>
                <w:webHidden/>
              </w:rPr>
              <w:fldChar w:fldCharType="end"/>
            </w:r>
          </w:hyperlink>
        </w:p>
        <w:p w14:paraId="316EE323" w14:textId="56725C05"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87" w:history="1">
            <w:r w:rsidR="00C44BE6" w:rsidRPr="00DC2759">
              <w:rPr>
                <w:rStyle w:val="Hyperlink"/>
                <w:noProof/>
              </w:rPr>
              <w:t>Ostrzeżenia i instrukcje o częstotliwościach radiowych</w:t>
            </w:r>
            <w:r w:rsidR="00C44BE6">
              <w:rPr>
                <w:noProof/>
                <w:webHidden/>
              </w:rPr>
              <w:tab/>
            </w:r>
            <w:r w:rsidR="00C44BE6">
              <w:rPr>
                <w:noProof/>
                <w:webHidden/>
              </w:rPr>
              <w:fldChar w:fldCharType="begin"/>
            </w:r>
            <w:r w:rsidR="00C44BE6">
              <w:rPr>
                <w:noProof/>
                <w:webHidden/>
              </w:rPr>
              <w:instrText xml:space="preserve"> PAGEREF _Toc118886387 \h </w:instrText>
            </w:r>
            <w:r w:rsidR="00C44BE6">
              <w:rPr>
                <w:noProof/>
                <w:webHidden/>
              </w:rPr>
            </w:r>
            <w:r w:rsidR="00C44BE6">
              <w:rPr>
                <w:noProof/>
                <w:webHidden/>
              </w:rPr>
              <w:fldChar w:fldCharType="separate"/>
            </w:r>
            <w:r w:rsidR="00C44BE6">
              <w:rPr>
                <w:noProof/>
                <w:webHidden/>
              </w:rPr>
              <w:t>10</w:t>
            </w:r>
            <w:r w:rsidR="00C44BE6">
              <w:rPr>
                <w:noProof/>
                <w:webHidden/>
              </w:rPr>
              <w:fldChar w:fldCharType="end"/>
            </w:r>
          </w:hyperlink>
        </w:p>
        <w:p w14:paraId="060C933B" w14:textId="4401D690"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88" w:history="1">
            <w:r w:rsidR="00C44BE6" w:rsidRPr="00DC2759">
              <w:rPr>
                <w:rStyle w:val="Hyperlink"/>
                <w:noProof/>
              </w:rPr>
              <w:t>WAŻNE UWAGI: Oświadczenie o narażeniu na promieniowanie</w:t>
            </w:r>
            <w:r w:rsidR="00C44BE6">
              <w:rPr>
                <w:noProof/>
                <w:webHidden/>
              </w:rPr>
              <w:tab/>
            </w:r>
            <w:r w:rsidR="00C44BE6">
              <w:rPr>
                <w:noProof/>
                <w:webHidden/>
              </w:rPr>
              <w:fldChar w:fldCharType="begin"/>
            </w:r>
            <w:r w:rsidR="00C44BE6">
              <w:rPr>
                <w:noProof/>
                <w:webHidden/>
              </w:rPr>
              <w:instrText xml:space="preserve"> PAGEREF _Toc118886388 \h </w:instrText>
            </w:r>
            <w:r w:rsidR="00C44BE6">
              <w:rPr>
                <w:noProof/>
                <w:webHidden/>
              </w:rPr>
            </w:r>
            <w:r w:rsidR="00C44BE6">
              <w:rPr>
                <w:noProof/>
                <w:webHidden/>
              </w:rPr>
              <w:fldChar w:fldCharType="separate"/>
            </w:r>
            <w:r w:rsidR="00C44BE6">
              <w:rPr>
                <w:noProof/>
                <w:webHidden/>
              </w:rPr>
              <w:t>11</w:t>
            </w:r>
            <w:r w:rsidR="00C44BE6">
              <w:rPr>
                <w:noProof/>
                <w:webHidden/>
              </w:rPr>
              <w:fldChar w:fldCharType="end"/>
            </w:r>
          </w:hyperlink>
        </w:p>
        <w:p w14:paraId="2B78E5EC" w14:textId="494B40E0" w:rsidR="00C44BE6" w:rsidRDefault="005F0D70">
          <w:pPr>
            <w:pStyle w:val="TOC3"/>
            <w:rPr>
              <w:rFonts w:asciiTheme="minorHAnsi" w:eastAsiaTheme="minorEastAsia" w:hAnsiTheme="minorHAnsi"/>
              <w:noProof/>
              <w:sz w:val="22"/>
              <w:lang w:val="en-US" w:eastAsia="zh-TW"/>
            </w:rPr>
          </w:pPr>
          <w:hyperlink w:anchor="_Toc118886389" w:history="1">
            <w:r w:rsidR="00C44BE6" w:rsidRPr="00DC2759">
              <w:rPr>
                <w:rStyle w:val="Hyperlink"/>
                <w:noProof/>
              </w:rPr>
              <w:t>Ostrzeżenie SAR:</w:t>
            </w:r>
            <w:r w:rsidR="00C44BE6">
              <w:rPr>
                <w:noProof/>
                <w:webHidden/>
              </w:rPr>
              <w:tab/>
            </w:r>
            <w:r w:rsidR="00C44BE6">
              <w:rPr>
                <w:noProof/>
                <w:webHidden/>
              </w:rPr>
              <w:fldChar w:fldCharType="begin"/>
            </w:r>
            <w:r w:rsidR="00C44BE6">
              <w:rPr>
                <w:noProof/>
                <w:webHidden/>
              </w:rPr>
              <w:instrText xml:space="preserve"> PAGEREF _Toc118886389 \h </w:instrText>
            </w:r>
            <w:r w:rsidR="00C44BE6">
              <w:rPr>
                <w:noProof/>
                <w:webHidden/>
              </w:rPr>
            </w:r>
            <w:r w:rsidR="00C44BE6">
              <w:rPr>
                <w:noProof/>
                <w:webHidden/>
              </w:rPr>
              <w:fldChar w:fldCharType="separate"/>
            </w:r>
            <w:r w:rsidR="00C44BE6">
              <w:rPr>
                <w:noProof/>
                <w:webHidden/>
              </w:rPr>
              <w:t>11</w:t>
            </w:r>
            <w:r w:rsidR="00C44BE6">
              <w:rPr>
                <w:noProof/>
                <w:webHidden/>
              </w:rPr>
              <w:fldChar w:fldCharType="end"/>
            </w:r>
          </w:hyperlink>
        </w:p>
        <w:p w14:paraId="58195E02" w14:textId="739EADFF" w:rsidR="00C44BE6" w:rsidRDefault="005F0D70">
          <w:pPr>
            <w:pStyle w:val="TOC3"/>
            <w:rPr>
              <w:rFonts w:asciiTheme="minorHAnsi" w:eastAsiaTheme="minorEastAsia" w:hAnsiTheme="minorHAnsi"/>
              <w:noProof/>
              <w:sz w:val="22"/>
              <w:lang w:val="en-US" w:eastAsia="zh-TW"/>
            </w:rPr>
          </w:pPr>
          <w:hyperlink w:anchor="_Toc118886390" w:history="1">
            <w:r w:rsidR="00C44BE6" w:rsidRPr="00DC2759">
              <w:rPr>
                <w:rStyle w:val="Hyperlink"/>
                <w:noProof/>
              </w:rPr>
              <w:t>Oświadczenie o maksymalnym dopuszczalnym narażeniu</w:t>
            </w:r>
            <w:r w:rsidR="00C44BE6">
              <w:rPr>
                <w:noProof/>
                <w:webHidden/>
              </w:rPr>
              <w:tab/>
            </w:r>
            <w:r w:rsidR="00C44BE6">
              <w:rPr>
                <w:noProof/>
                <w:webHidden/>
              </w:rPr>
              <w:fldChar w:fldCharType="begin"/>
            </w:r>
            <w:r w:rsidR="00C44BE6">
              <w:rPr>
                <w:noProof/>
                <w:webHidden/>
              </w:rPr>
              <w:instrText xml:space="preserve"> PAGEREF _Toc118886390 \h </w:instrText>
            </w:r>
            <w:r w:rsidR="00C44BE6">
              <w:rPr>
                <w:noProof/>
                <w:webHidden/>
              </w:rPr>
            </w:r>
            <w:r w:rsidR="00C44BE6">
              <w:rPr>
                <w:noProof/>
                <w:webHidden/>
              </w:rPr>
              <w:fldChar w:fldCharType="separate"/>
            </w:r>
            <w:r w:rsidR="00C44BE6">
              <w:rPr>
                <w:noProof/>
                <w:webHidden/>
              </w:rPr>
              <w:t>11</w:t>
            </w:r>
            <w:r w:rsidR="00C44BE6">
              <w:rPr>
                <w:noProof/>
                <w:webHidden/>
              </w:rPr>
              <w:fldChar w:fldCharType="end"/>
            </w:r>
          </w:hyperlink>
        </w:p>
        <w:p w14:paraId="6038534F" w14:textId="2897020B"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91" w:history="1">
            <w:r w:rsidR="00C44BE6" w:rsidRPr="00DC2759">
              <w:rPr>
                <w:rStyle w:val="Hyperlink"/>
                <w:noProof/>
              </w:rPr>
              <w:t>Rozporządzenie Ontario 522/20</w:t>
            </w:r>
            <w:r w:rsidR="00C44BE6">
              <w:rPr>
                <w:noProof/>
                <w:webHidden/>
              </w:rPr>
              <w:tab/>
            </w:r>
            <w:r w:rsidR="00C44BE6">
              <w:rPr>
                <w:noProof/>
                <w:webHidden/>
              </w:rPr>
              <w:fldChar w:fldCharType="begin"/>
            </w:r>
            <w:r w:rsidR="00C44BE6">
              <w:rPr>
                <w:noProof/>
                <w:webHidden/>
              </w:rPr>
              <w:instrText xml:space="preserve"> PAGEREF _Toc118886391 \h </w:instrText>
            </w:r>
            <w:r w:rsidR="00C44BE6">
              <w:rPr>
                <w:noProof/>
                <w:webHidden/>
              </w:rPr>
            </w:r>
            <w:r w:rsidR="00C44BE6">
              <w:rPr>
                <w:noProof/>
                <w:webHidden/>
              </w:rPr>
              <w:fldChar w:fldCharType="separate"/>
            </w:r>
            <w:r w:rsidR="00C44BE6">
              <w:rPr>
                <w:noProof/>
                <w:webHidden/>
              </w:rPr>
              <w:t>12</w:t>
            </w:r>
            <w:r w:rsidR="00C44BE6">
              <w:rPr>
                <w:noProof/>
                <w:webHidden/>
              </w:rPr>
              <w:fldChar w:fldCharType="end"/>
            </w:r>
          </w:hyperlink>
        </w:p>
        <w:p w14:paraId="6BE0DCB5" w14:textId="3E25BB19" w:rsidR="00C44BE6" w:rsidRDefault="005F0D70" w:rsidP="006F70F9">
          <w:pPr>
            <w:pStyle w:val="TOC1"/>
            <w:rPr>
              <w:rFonts w:asciiTheme="minorHAnsi" w:eastAsiaTheme="minorEastAsia" w:hAnsiTheme="minorHAnsi"/>
              <w:noProof/>
              <w:sz w:val="22"/>
              <w:lang w:val="en-US" w:eastAsia="zh-TW"/>
            </w:rPr>
          </w:pPr>
          <w:hyperlink w:anchor="_Toc118886392" w:history="1">
            <w:r w:rsidR="00C44BE6" w:rsidRPr="00DC2759">
              <w:rPr>
                <w:rStyle w:val="Hyperlink"/>
                <w:noProof/>
              </w:rPr>
              <w:t>Réglementations du ministère Innovation, Sciences et Développement économique Canada (ISDE) – français</w:t>
            </w:r>
            <w:r w:rsidR="00C44BE6">
              <w:rPr>
                <w:noProof/>
                <w:webHidden/>
              </w:rPr>
              <w:tab/>
            </w:r>
            <w:r w:rsidR="00C44BE6">
              <w:rPr>
                <w:noProof/>
                <w:webHidden/>
              </w:rPr>
              <w:fldChar w:fldCharType="begin"/>
            </w:r>
            <w:r w:rsidR="00C44BE6">
              <w:rPr>
                <w:noProof/>
                <w:webHidden/>
              </w:rPr>
              <w:instrText xml:space="preserve"> PAGEREF _Toc118886392 \h </w:instrText>
            </w:r>
            <w:r w:rsidR="00C44BE6">
              <w:rPr>
                <w:noProof/>
                <w:webHidden/>
              </w:rPr>
            </w:r>
            <w:r w:rsidR="00C44BE6">
              <w:rPr>
                <w:noProof/>
                <w:webHidden/>
              </w:rPr>
              <w:fldChar w:fldCharType="separate"/>
            </w:r>
            <w:r w:rsidR="00C44BE6">
              <w:rPr>
                <w:noProof/>
                <w:webHidden/>
              </w:rPr>
              <w:t>12</w:t>
            </w:r>
            <w:r w:rsidR="00C44BE6">
              <w:rPr>
                <w:noProof/>
                <w:webHidden/>
              </w:rPr>
              <w:fldChar w:fldCharType="end"/>
            </w:r>
          </w:hyperlink>
        </w:p>
        <w:p w14:paraId="2C7FF1E2" w14:textId="779CA48D"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93" w:history="1">
            <w:r w:rsidR="00C44BE6" w:rsidRPr="00DC2759">
              <w:rPr>
                <w:rStyle w:val="Hyperlink"/>
                <w:noProof/>
              </w:rPr>
              <w:t>Avertissements et instructions relatifs aux fréquences radio</w:t>
            </w:r>
            <w:r w:rsidR="00C44BE6">
              <w:rPr>
                <w:noProof/>
                <w:webHidden/>
              </w:rPr>
              <w:tab/>
            </w:r>
            <w:r w:rsidR="00C44BE6">
              <w:rPr>
                <w:noProof/>
                <w:webHidden/>
              </w:rPr>
              <w:fldChar w:fldCharType="begin"/>
            </w:r>
            <w:r w:rsidR="00C44BE6">
              <w:rPr>
                <w:noProof/>
                <w:webHidden/>
              </w:rPr>
              <w:instrText xml:space="preserve"> PAGEREF _Toc118886393 \h </w:instrText>
            </w:r>
            <w:r w:rsidR="00C44BE6">
              <w:rPr>
                <w:noProof/>
                <w:webHidden/>
              </w:rPr>
            </w:r>
            <w:r w:rsidR="00C44BE6">
              <w:rPr>
                <w:noProof/>
                <w:webHidden/>
              </w:rPr>
              <w:fldChar w:fldCharType="separate"/>
            </w:r>
            <w:r w:rsidR="00C44BE6">
              <w:rPr>
                <w:noProof/>
                <w:webHidden/>
              </w:rPr>
              <w:t>12</w:t>
            </w:r>
            <w:r w:rsidR="00C44BE6">
              <w:rPr>
                <w:noProof/>
                <w:webHidden/>
              </w:rPr>
              <w:fldChar w:fldCharType="end"/>
            </w:r>
          </w:hyperlink>
        </w:p>
        <w:p w14:paraId="436F34C2" w14:textId="7BDB5AE0"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94" w:history="1">
            <w:r w:rsidR="00C44BE6" w:rsidRPr="00DC2759">
              <w:rPr>
                <w:rStyle w:val="Hyperlink"/>
                <w:noProof/>
              </w:rPr>
              <w:t>REMARQUE IMPORTANTE : Déclaration concernant l'exposition aux rayonnements</w:t>
            </w:r>
            <w:r w:rsidR="00C44BE6">
              <w:rPr>
                <w:noProof/>
                <w:webHidden/>
              </w:rPr>
              <w:tab/>
            </w:r>
            <w:r w:rsidR="00C44BE6">
              <w:rPr>
                <w:noProof/>
                <w:webHidden/>
              </w:rPr>
              <w:fldChar w:fldCharType="begin"/>
            </w:r>
            <w:r w:rsidR="00C44BE6">
              <w:rPr>
                <w:noProof/>
                <w:webHidden/>
              </w:rPr>
              <w:instrText xml:space="preserve"> PAGEREF _Toc118886394 \h </w:instrText>
            </w:r>
            <w:r w:rsidR="00C44BE6">
              <w:rPr>
                <w:noProof/>
                <w:webHidden/>
              </w:rPr>
            </w:r>
            <w:r w:rsidR="00C44BE6">
              <w:rPr>
                <w:noProof/>
                <w:webHidden/>
              </w:rPr>
              <w:fldChar w:fldCharType="separate"/>
            </w:r>
            <w:r w:rsidR="00C44BE6">
              <w:rPr>
                <w:noProof/>
                <w:webHidden/>
              </w:rPr>
              <w:t>13</w:t>
            </w:r>
            <w:r w:rsidR="00C44BE6">
              <w:rPr>
                <w:noProof/>
                <w:webHidden/>
              </w:rPr>
              <w:fldChar w:fldCharType="end"/>
            </w:r>
          </w:hyperlink>
        </w:p>
        <w:p w14:paraId="1C47BF29" w14:textId="06383654" w:rsidR="00C44BE6" w:rsidRDefault="005F0D70">
          <w:pPr>
            <w:pStyle w:val="TOC3"/>
            <w:rPr>
              <w:rFonts w:asciiTheme="minorHAnsi" w:eastAsiaTheme="minorEastAsia" w:hAnsiTheme="minorHAnsi"/>
              <w:noProof/>
              <w:sz w:val="22"/>
              <w:lang w:val="en-US" w:eastAsia="zh-TW"/>
            </w:rPr>
          </w:pPr>
          <w:hyperlink w:anchor="_Toc118886395" w:history="1">
            <w:r w:rsidR="00C44BE6" w:rsidRPr="00DC2759">
              <w:rPr>
                <w:rStyle w:val="Hyperlink"/>
                <w:noProof/>
              </w:rPr>
              <w:t>Avertissement relatif au DAS :</w:t>
            </w:r>
            <w:r w:rsidR="00C44BE6">
              <w:rPr>
                <w:noProof/>
                <w:webHidden/>
              </w:rPr>
              <w:tab/>
            </w:r>
            <w:r w:rsidR="00C44BE6">
              <w:rPr>
                <w:noProof/>
                <w:webHidden/>
              </w:rPr>
              <w:fldChar w:fldCharType="begin"/>
            </w:r>
            <w:r w:rsidR="00C44BE6">
              <w:rPr>
                <w:noProof/>
                <w:webHidden/>
              </w:rPr>
              <w:instrText xml:space="preserve"> PAGEREF _Toc118886395 \h </w:instrText>
            </w:r>
            <w:r w:rsidR="00C44BE6">
              <w:rPr>
                <w:noProof/>
                <w:webHidden/>
              </w:rPr>
            </w:r>
            <w:r w:rsidR="00C44BE6">
              <w:rPr>
                <w:noProof/>
                <w:webHidden/>
              </w:rPr>
              <w:fldChar w:fldCharType="separate"/>
            </w:r>
            <w:r w:rsidR="00C44BE6">
              <w:rPr>
                <w:noProof/>
                <w:webHidden/>
              </w:rPr>
              <w:t>13</w:t>
            </w:r>
            <w:r w:rsidR="00C44BE6">
              <w:rPr>
                <w:noProof/>
                <w:webHidden/>
              </w:rPr>
              <w:fldChar w:fldCharType="end"/>
            </w:r>
          </w:hyperlink>
        </w:p>
        <w:p w14:paraId="077D42B8" w14:textId="2EBCDE1A" w:rsidR="00C44BE6" w:rsidRDefault="005F0D70">
          <w:pPr>
            <w:pStyle w:val="TOC3"/>
            <w:rPr>
              <w:rFonts w:asciiTheme="minorHAnsi" w:eastAsiaTheme="minorEastAsia" w:hAnsiTheme="minorHAnsi"/>
              <w:noProof/>
              <w:sz w:val="22"/>
              <w:lang w:val="en-US" w:eastAsia="zh-TW"/>
            </w:rPr>
          </w:pPr>
          <w:hyperlink w:anchor="_Toc118886396" w:history="1">
            <w:r w:rsidR="00C44BE6" w:rsidRPr="00DC2759">
              <w:rPr>
                <w:rStyle w:val="Hyperlink"/>
                <w:noProof/>
              </w:rPr>
              <w:t>Déclaration de limite d'exposition maximale admissible</w:t>
            </w:r>
            <w:r w:rsidR="00C44BE6">
              <w:rPr>
                <w:noProof/>
                <w:webHidden/>
              </w:rPr>
              <w:tab/>
            </w:r>
            <w:r w:rsidR="00C44BE6">
              <w:rPr>
                <w:noProof/>
                <w:webHidden/>
              </w:rPr>
              <w:fldChar w:fldCharType="begin"/>
            </w:r>
            <w:r w:rsidR="00C44BE6">
              <w:rPr>
                <w:noProof/>
                <w:webHidden/>
              </w:rPr>
              <w:instrText xml:space="preserve"> PAGEREF _Toc118886396 \h </w:instrText>
            </w:r>
            <w:r w:rsidR="00C44BE6">
              <w:rPr>
                <w:noProof/>
                <w:webHidden/>
              </w:rPr>
            </w:r>
            <w:r w:rsidR="00C44BE6">
              <w:rPr>
                <w:noProof/>
                <w:webHidden/>
              </w:rPr>
              <w:fldChar w:fldCharType="separate"/>
            </w:r>
            <w:r w:rsidR="00C44BE6">
              <w:rPr>
                <w:noProof/>
                <w:webHidden/>
              </w:rPr>
              <w:t>13</w:t>
            </w:r>
            <w:r w:rsidR="00C44BE6">
              <w:rPr>
                <w:noProof/>
                <w:webHidden/>
              </w:rPr>
              <w:fldChar w:fldCharType="end"/>
            </w:r>
          </w:hyperlink>
        </w:p>
        <w:p w14:paraId="6B753082" w14:textId="26637E0A"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97" w:history="1">
            <w:r w:rsidR="00C44BE6" w:rsidRPr="00DC2759">
              <w:rPr>
                <w:rStyle w:val="Hyperlink"/>
                <w:noProof/>
              </w:rPr>
              <w:t>Règlement 522/20 de l'Ontario</w:t>
            </w:r>
            <w:r w:rsidR="00C44BE6">
              <w:rPr>
                <w:noProof/>
                <w:webHidden/>
              </w:rPr>
              <w:tab/>
            </w:r>
            <w:r w:rsidR="00C44BE6">
              <w:rPr>
                <w:noProof/>
                <w:webHidden/>
              </w:rPr>
              <w:fldChar w:fldCharType="begin"/>
            </w:r>
            <w:r w:rsidR="00C44BE6">
              <w:rPr>
                <w:noProof/>
                <w:webHidden/>
              </w:rPr>
              <w:instrText xml:space="preserve"> PAGEREF _Toc118886397 \h </w:instrText>
            </w:r>
            <w:r w:rsidR="00C44BE6">
              <w:rPr>
                <w:noProof/>
                <w:webHidden/>
              </w:rPr>
            </w:r>
            <w:r w:rsidR="00C44BE6">
              <w:rPr>
                <w:noProof/>
                <w:webHidden/>
              </w:rPr>
              <w:fldChar w:fldCharType="separate"/>
            </w:r>
            <w:r w:rsidR="00C44BE6">
              <w:rPr>
                <w:noProof/>
                <w:webHidden/>
              </w:rPr>
              <w:t>13</w:t>
            </w:r>
            <w:r w:rsidR="00C44BE6">
              <w:rPr>
                <w:noProof/>
                <w:webHidden/>
              </w:rPr>
              <w:fldChar w:fldCharType="end"/>
            </w:r>
          </w:hyperlink>
        </w:p>
        <w:p w14:paraId="09D2D6C1" w14:textId="33C0AA17" w:rsidR="00C44BE6" w:rsidRDefault="005F0D70">
          <w:pPr>
            <w:pStyle w:val="TOC2"/>
            <w:tabs>
              <w:tab w:val="right" w:leader="dot" w:pos="9350"/>
            </w:tabs>
            <w:rPr>
              <w:rFonts w:asciiTheme="minorHAnsi" w:eastAsiaTheme="minorEastAsia" w:hAnsiTheme="minorHAnsi"/>
              <w:noProof/>
              <w:sz w:val="22"/>
              <w:lang w:val="en-US" w:eastAsia="zh-TW"/>
            </w:rPr>
          </w:pPr>
          <w:hyperlink w:anchor="_Toc118886398" w:history="1">
            <w:r w:rsidR="00C44BE6" w:rsidRPr="00DC2759">
              <w:rPr>
                <w:rStyle w:val="Hyperlink"/>
                <w:noProof/>
              </w:rPr>
              <w:t>Tabela redukcji zakłóceń</w:t>
            </w:r>
            <w:r w:rsidR="00C44BE6">
              <w:rPr>
                <w:noProof/>
                <w:webHidden/>
              </w:rPr>
              <w:tab/>
            </w:r>
            <w:r w:rsidR="00C44BE6">
              <w:rPr>
                <w:noProof/>
                <w:webHidden/>
              </w:rPr>
              <w:fldChar w:fldCharType="begin"/>
            </w:r>
            <w:r w:rsidR="00C44BE6">
              <w:rPr>
                <w:noProof/>
                <w:webHidden/>
              </w:rPr>
              <w:instrText xml:space="preserve"> PAGEREF _Toc118886398 \h </w:instrText>
            </w:r>
            <w:r w:rsidR="00C44BE6">
              <w:rPr>
                <w:noProof/>
                <w:webHidden/>
              </w:rPr>
            </w:r>
            <w:r w:rsidR="00C44BE6">
              <w:rPr>
                <w:noProof/>
                <w:webHidden/>
              </w:rPr>
              <w:fldChar w:fldCharType="separate"/>
            </w:r>
            <w:r w:rsidR="00C44BE6">
              <w:rPr>
                <w:noProof/>
                <w:webHidden/>
              </w:rPr>
              <w:t>14</w:t>
            </w:r>
            <w:r w:rsidR="00C44BE6">
              <w:rPr>
                <w:noProof/>
                <w:webHidden/>
              </w:rPr>
              <w:fldChar w:fldCharType="end"/>
            </w:r>
          </w:hyperlink>
        </w:p>
        <w:p w14:paraId="78855066" w14:textId="54202282" w:rsidR="00C44BE6" w:rsidRDefault="005F0D70" w:rsidP="006F70F9">
          <w:pPr>
            <w:pStyle w:val="TOC1"/>
            <w:rPr>
              <w:rFonts w:asciiTheme="minorHAnsi" w:eastAsiaTheme="minorEastAsia" w:hAnsiTheme="minorHAnsi"/>
              <w:noProof/>
              <w:sz w:val="22"/>
              <w:lang w:val="en-US" w:eastAsia="zh-TW"/>
            </w:rPr>
          </w:pPr>
          <w:hyperlink w:anchor="_Toc118886399" w:history="1">
            <w:r w:rsidR="00C44BE6" w:rsidRPr="00DC2759">
              <w:rPr>
                <w:rStyle w:val="Hyperlink"/>
                <w:noProof/>
              </w:rPr>
              <w:t>WYMAGANIA DOTYCZĄCE ETYKIETOWANIA OPAKOWAŃ AKUMULATORÓW LITOWO-JONOWYCH I LITOWO-METALOWYCH</w:t>
            </w:r>
            <w:r w:rsidR="00C44BE6">
              <w:rPr>
                <w:noProof/>
                <w:webHidden/>
              </w:rPr>
              <w:tab/>
            </w:r>
            <w:r w:rsidR="00C44BE6">
              <w:rPr>
                <w:noProof/>
                <w:webHidden/>
              </w:rPr>
              <w:fldChar w:fldCharType="begin"/>
            </w:r>
            <w:r w:rsidR="00C44BE6">
              <w:rPr>
                <w:noProof/>
                <w:webHidden/>
              </w:rPr>
              <w:instrText xml:space="preserve"> PAGEREF _Toc118886399 \h </w:instrText>
            </w:r>
            <w:r w:rsidR="00C44BE6">
              <w:rPr>
                <w:noProof/>
                <w:webHidden/>
              </w:rPr>
            </w:r>
            <w:r w:rsidR="00C44BE6">
              <w:rPr>
                <w:noProof/>
                <w:webHidden/>
              </w:rPr>
              <w:fldChar w:fldCharType="separate"/>
            </w:r>
            <w:r w:rsidR="00C44BE6">
              <w:rPr>
                <w:noProof/>
                <w:webHidden/>
              </w:rPr>
              <w:t>14</w:t>
            </w:r>
            <w:r w:rsidR="00C44BE6">
              <w:rPr>
                <w:noProof/>
                <w:webHidden/>
              </w:rPr>
              <w:fldChar w:fldCharType="end"/>
            </w:r>
          </w:hyperlink>
        </w:p>
        <w:p w14:paraId="2D6A524A" w14:textId="6B9FA1D9" w:rsidR="00C44BE6" w:rsidRDefault="005F0D70">
          <w:pPr>
            <w:pStyle w:val="TOC3"/>
            <w:rPr>
              <w:rFonts w:asciiTheme="minorHAnsi" w:eastAsiaTheme="minorEastAsia" w:hAnsiTheme="minorHAnsi"/>
              <w:noProof/>
              <w:sz w:val="22"/>
              <w:lang w:val="en-US" w:eastAsia="zh-TW"/>
            </w:rPr>
          </w:pPr>
          <w:hyperlink w:anchor="_Toc118886400" w:history="1">
            <w:r w:rsidR="00C44BE6" w:rsidRPr="00DC2759">
              <w:rPr>
                <w:rStyle w:val="Hyperlink"/>
                <w:noProof/>
              </w:rPr>
              <w:t>Akumulatory litowo-jonowe i litowo-metalowe</w:t>
            </w:r>
            <w:r w:rsidR="00C44BE6">
              <w:rPr>
                <w:noProof/>
                <w:webHidden/>
              </w:rPr>
              <w:tab/>
            </w:r>
            <w:r w:rsidR="00C44BE6">
              <w:rPr>
                <w:noProof/>
                <w:webHidden/>
              </w:rPr>
              <w:fldChar w:fldCharType="begin"/>
            </w:r>
            <w:r w:rsidR="00C44BE6">
              <w:rPr>
                <w:noProof/>
                <w:webHidden/>
              </w:rPr>
              <w:instrText xml:space="preserve"> PAGEREF _Toc118886400 \h </w:instrText>
            </w:r>
            <w:r w:rsidR="00C44BE6">
              <w:rPr>
                <w:noProof/>
                <w:webHidden/>
              </w:rPr>
            </w:r>
            <w:r w:rsidR="00C44BE6">
              <w:rPr>
                <w:noProof/>
                <w:webHidden/>
              </w:rPr>
              <w:fldChar w:fldCharType="separate"/>
            </w:r>
            <w:r w:rsidR="00C44BE6">
              <w:rPr>
                <w:noProof/>
                <w:webHidden/>
              </w:rPr>
              <w:t>14</w:t>
            </w:r>
            <w:r w:rsidR="00C44BE6">
              <w:rPr>
                <w:noProof/>
                <w:webHidden/>
              </w:rPr>
              <w:fldChar w:fldCharType="end"/>
            </w:r>
          </w:hyperlink>
        </w:p>
        <w:p w14:paraId="62E3B6D3" w14:textId="5EBB8BB7" w:rsidR="00C44BE6" w:rsidRDefault="005F0D70">
          <w:pPr>
            <w:pStyle w:val="TOC3"/>
            <w:rPr>
              <w:rFonts w:asciiTheme="minorHAnsi" w:eastAsiaTheme="minorEastAsia" w:hAnsiTheme="minorHAnsi"/>
              <w:noProof/>
              <w:sz w:val="22"/>
              <w:lang w:val="en-US" w:eastAsia="zh-TW"/>
            </w:rPr>
          </w:pPr>
          <w:hyperlink w:anchor="_Toc118886401" w:history="1">
            <w:r w:rsidR="00C44BE6" w:rsidRPr="00DC2759">
              <w:rPr>
                <w:rStyle w:val="Hyperlink"/>
                <w:noProof/>
              </w:rPr>
              <w:t>Wymagania dotyczące oznakowania akumulatorów litowo-jonowych i litowo-metalowych</w:t>
            </w:r>
            <w:r w:rsidR="00C44BE6">
              <w:rPr>
                <w:noProof/>
                <w:webHidden/>
              </w:rPr>
              <w:tab/>
            </w:r>
            <w:r w:rsidR="00C44BE6">
              <w:rPr>
                <w:noProof/>
                <w:webHidden/>
              </w:rPr>
              <w:fldChar w:fldCharType="begin"/>
            </w:r>
            <w:r w:rsidR="00C44BE6">
              <w:rPr>
                <w:noProof/>
                <w:webHidden/>
              </w:rPr>
              <w:instrText xml:space="preserve"> PAGEREF _Toc118886401 \h </w:instrText>
            </w:r>
            <w:r w:rsidR="00C44BE6">
              <w:rPr>
                <w:noProof/>
                <w:webHidden/>
              </w:rPr>
            </w:r>
            <w:r w:rsidR="00C44BE6">
              <w:rPr>
                <w:noProof/>
                <w:webHidden/>
              </w:rPr>
              <w:fldChar w:fldCharType="separate"/>
            </w:r>
            <w:r w:rsidR="00C44BE6">
              <w:rPr>
                <w:noProof/>
                <w:webHidden/>
              </w:rPr>
              <w:t>14</w:t>
            </w:r>
            <w:r w:rsidR="00C44BE6">
              <w:rPr>
                <w:noProof/>
                <w:webHidden/>
              </w:rPr>
              <w:fldChar w:fldCharType="end"/>
            </w:r>
          </w:hyperlink>
        </w:p>
        <w:p w14:paraId="54E9A39A" w14:textId="2F1C48C0" w:rsidR="00C44BE6" w:rsidRDefault="005F0D70">
          <w:pPr>
            <w:pStyle w:val="TOC3"/>
            <w:rPr>
              <w:rFonts w:asciiTheme="minorHAnsi" w:eastAsiaTheme="minorEastAsia" w:hAnsiTheme="minorHAnsi"/>
              <w:noProof/>
              <w:sz w:val="22"/>
              <w:lang w:val="en-US" w:eastAsia="zh-TW"/>
            </w:rPr>
          </w:pPr>
          <w:hyperlink w:anchor="_Toc118886402" w:history="1">
            <w:r w:rsidR="00C44BE6" w:rsidRPr="00DC2759">
              <w:rPr>
                <w:rStyle w:val="Hyperlink"/>
                <w:noProof/>
              </w:rPr>
              <w:t>Wyłączenia dotyczące etykietowania</w:t>
            </w:r>
            <w:r w:rsidR="00C44BE6">
              <w:rPr>
                <w:noProof/>
                <w:webHidden/>
              </w:rPr>
              <w:tab/>
            </w:r>
            <w:r w:rsidR="00C44BE6">
              <w:rPr>
                <w:noProof/>
                <w:webHidden/>
              </w:rPr>
              <w:fldChar w:fldCharType="begin"/>
            </w:r>
            <w:r w:rsidR="00C44BE6">
              <w:rPr>
                <w:noProof/>
                <w:webHidden/>
              </w:rPr>
              <w:instrText xml:space="preserve"> PAGEREF _Toc118886402 \h </w:instrText>
            </w:r>
            <w:r w:rsidR="00C44BE6">
              <w:rPr>
                <w:noProof/>
                <w:webHidden/>
              </w:rPr>
            </w:r>
            <w:r w:rsidR="00C44BE6">
              <w:rPr>
                <w:noProof/>
                <w:webHidden/>
              </w:rPr>
              <w:fldChar w:fldCharType="separate"/>
            </w:r>
            <w:r w:rsidR="00C44BE6">
              <w:rPr>
                <w:noProof/>
                <w:webHidden/>
              </w:rPr>
              <w:t>16</w:t>
            </w:r>
            <w:r w:rsidR="00C44BE6">
              <w:rPr>
                <w:noProof/>
                <w:webHidden/>
              </w:rPr>
              <w:fldChar w:fldCharType="end"/>
            </w:r>
          </w:hyperlink>
        </w:p>
        <w:p w14:paraId="22363AD1" w14:textId="48D51692" w:rsidR="00C44BE6" w:rsidRDefault="005F0D70">
          <w:pPr>
            <w:pStyle w:val="TOC3"/>
            <w:rPr>
              <w:rFonts w:asciiTheme="minorHAnsi" w:eastAsiaTheme="minorEastAsia" w:hAnsiTheme="minorHAnsi"/>
              <w:noProof/>
              <w:sz w:val="22"/>
              <w:lang w:val="en-US" w:eastAsia="zh-TW"/>
            </w:rPr>
          </w:pPr>
          <w:hyperlink w:anchor="_Toc118886403" w:history="1">
            <w:r w:rsidR="00C44BE6" w:rsidRPr="00DC2759">
              <w:rPr>
                <w:rStyle w:val="Hyperlink"/>
                <w:noProof/>
              </w:rPr>
              <w:t>Ostrzeżenie o możliwości jednorazowego użycia produktu</w:t>
            </w:r>
            <w:r w:rsidR="00C44BE6">
              <w:rPr>
                <w:noProof/>
                <w:webHidden/>
              </w:rPr>
              <w:tab/>
            </w:r>
            <w:r w:rsidR="00C44BE6">
              <w:rPr>
                <w:noProof/>
                <w:webHidden/>
              </w:rPr>
              <w:fldChar w:fldCharType="begin"/>
            </w:r>
            <w:r w:rsidR="00C44BE6">
              <w:rPr>
                <w:noProof/>
                <w:webHidden/>
              </w:rPr>
              <w:instrText xml:space="preserve"> PAGEREF _Toc118886403 \h </w:instrText>
            </w:r>
            <w:r w:rsidR="00C44BE6">
              <w:rPr>
                <w:noProof/>
                <w:webHidden/>
              </w:rPr>
            </w:r>
            <w:r w:rsidR="00C44BE6">
              <w:rPr>
                <w:noProof/>
                <w:webHidden/>
              </w:rPr>
              <w:fldChar w:fldCharType="separate"/>
            </w:r>
            <w:r w:rsidR="00C44BE6">
              <w:rPr>
                <w:noProof/>
                <w:webHidden/>
              </w:rPr>
              <w:t>16</w:t>
            </w:r>
            <w:r w:rsidR="00C44BE6">
              <w:rPr>
                <w:noProof/>
                <w:webHidden/>
              </w:rPr>
              <w:fldChar w:fldCharType="end"/>
            </w:r>
          </w:hyperlink>
        </w:p>
        <w:p w14:paraId="157B1EAC" w14:textId="0C5B4289" w:rsidR="00C44BE6" w:rsidRDefault="005F0D70" w:rsidP="006F70F9">
          <w:pPr>
            <w:pStyle w:val="TOC1"/>
            <w:rPr>
              <w:rFonts w:asciiTheme="minorHAnsi" w:eastAsiaTheme="minorEastAsia" w:hAnsiTheme="minorHAnsi"/>
              <w:noProof/>
              <w:sz w:val="22"/>
              <w:lang w:val="en-US" w:eastAsia="zh-TW"/>
            </w:rPr>
          </w:pPr>
          <w:hyperlink w:anchor="_Toc118886404" w:history="1">
            <w:r w:rsidR="00C44BE6" w:rsidRPr="00DC2759">
              <w:rPr>
                <w:rStyle w:val="Hyperlink"/>
                <w:noProof/>
              </w:rPr>
              <w:t>Urządzenie Powerline i gniazdo przelotowe — informacje dotyczące bezpieczeństwa i EMC</w:t>
            </w:r>
            <w:r w:rsidR="00C44BE6">
              <w:rPr>
                <w:noProof/>
                <w:webHidden/>
              </w:rPr>
              <w:tab/>
            </w:r>
            <w:r w:rsidR="00C44BE6">
              <w:rPr>
                <w:noProof/>
                <w:webHidden/>
              </w:rPr>
              <w:fldChar w:fldCharType="begin"/>
            </w:r>
            <w:r w:rsidR="00C44BE6">
              <w:rPr>
                <w:noProof/>
                <w:webHidden/>
              </w:rPr>
              <w:instrText xml:space="preserve"> PAGEREF _Toc118886404 \h </w:instrText>
            </w:r>
            <w:r w:rsidR="00C44BE6">
              <w:rPr>
                <w:noProof/>
                <w:webHidden/>
              </w:rPr>
            </w:r>
            <w:r w:rsidR="00C44BE6">
              <w:rPr>
                <w:noProof/>
                <w:webHidden/>
              </w:rPr>
              <w:fldChar w:fldCharType="separate"/>
            </w:r>
            <w:r w:rsidR="00C44BE6">
              <w:rPr>
                <w:noProof/>
                <w:webHidden/>
              </w:rPr>
              <w:t>16</w:t>
            </w:r>
            <w:r w:rsidR="00C44BE6">
              <w:rPr>
                <w:noProof/>
                <w:webHidden/>
              </w:rPr>
              <w:fldChar w:fldCharType="end"/>
            </w:r>
          </w:hyperlink>
        </w:p>
        <w:p w14:paraId="2F546F8C" w14:textId="7B92AA39" w:rsidR="00C44BE6" w:rsidRDefault="005F0D70">
          <w:pPr>
            <w:pStyle w:val="TOC2"/>
            <w:tabs>
              <w:tab w:val="right" w:leader="dot" w:pos="9350"/>
            </w:tabs>
            <w:rPr>
              <w:rFonts w:asciiTheme="minorHAnsi" w:eastAsiaTheme="minorEastAsia" w:hAnsiTheme="minorHAnsi"/>
              <w:noProof/>
              <w:sz w:val="22"/>
              <w:lang w:val="en-US" w:eastAsia="zh-TW"/>
            </w:rPr>
          </w:pPr>
          <w:hyperlink w:anchor="_Toc118886405" w:history="1">
            <w:r w:rsidR="00C44BE6" w:rsidRPr="00DC2759">
              <w:rPr>
                <w:rStyle w:val="Hyperlink"/>
                <w:noProof/>
              </w:rPr>
              <w:t>Ogólne wytyczne</w:t>
            </w:r>
            <w:r w:rsidR="00C44BE6">
              <w:rPr>
                <w:noProof/>
                <w:webHidden/>
              </w:rPr>
              <w:tab/>
            </w:r>
            <w:r w:rsidR="00C44BE6">
              <w:rPr>
                <w:noProof/>
                <w:webHidden/>
              </w:rPr>
              <w:fldChar w:fldCharType="begin"/>
            </w:r>
            <w:r w:rsidR="00C44BE6">
              <w:rPr>
                <w:noProof/>
                <w:webHidden/>
              </w:rPr>
              <w:instrText xml:space="preserve"> PAGEREF _Toc118886405 \h </w:instrText>
            </w:r>
            <w:r w:rsidR="00C44BE6">
              <w:rPr>
                <w:noProof/>
                <w:webHidden/>
              </w:rPr>
            </w:r>
            <w:r w:rsidR="00C44BE6">
              <w:rPr>
                <w:noProof/>
                <w:webHidden/>
              </w:rPr>
              <w:fldChar w:fldCharType="separate"/>
            </w:r>
            <w:r w:rsidR="00C44BE6">
              <w:rPr>
                <w:noProof/>
                <w:webHidden/>
              </w:rPr>
              <w:t>17</w:t>
            </w:r>
            <w:r w:rsidR="00C44BE6">
              <w:rPr>
                <w:noProof/>
                <w:webHidden/>
              </w:rPr>
              <w:fldChar w:fldCharType="end"/>
            </w:r>
          </w:hyperlink>
        </w:p>
        <w:p w14:paraId="55481723" w14:textId="57BF1C7A" w:rsidR="00C44BE6" w:rsidRDefault="005F0D70" w:rsidP="006F70F9">
          <w:pPr>
            <w:pStyle w:val="TOC1"/>
            <w:rPr>
              <w:rFonts w:asciiTheme="minorHAnsi" w:eastAsiaTheme="minorEastAsia" w:hAnsiTheme="minorHAnsi"/>
              <w:noProof/>
              <w:sz w:val="22"/>
              <w:lang w:val="en-US" w:eastAsia="zh-TW"/>
            </w:rPr>
          </w:pPr>
          <w:hyperlink w:anchor="_Toc118886406" w:history="1">
            <w:r w:rsidR="00C44BE6" w:rsidRPr="00DC2759">
              <w:rPr>
                <w:rStyle w:val="Hyperlink"/>
                <w:noProof/>
              </w:rPr>
              <w:t>Zgodność z kalifornijskimi przepisami Prop 65</w:t>
            </w:r>
            <w:r w:rsidR="00C44BE6">
              <w:rPr>
                <w:noProof/>
                <w:webHidden/>
              </w:rPr>
              <w:tab/>
            </w:r>
            <w:r w:rsidR="00C44BE6">
              <w:rPr>
                <w:noProof/>
                <w:webHidden/>
              </w:rPr>
              <w:fldChar w:fldCharType="begin"/>
            </w:r>
            <w:r w:rsidR="00C44BE6">
              <w:rPr>
                <w:noProof/>
                <w:webHidden/>
              </w:rPr>
              <w:instrText xml:space="preserve"> PAGEREF _Toc118886406 \h </w:instrText>
            </w:r>
            <w:r w:rsidR="00C44BE6">
              <w:rPr>
                <w:noProof/>
                <w:webHidden/>
              </w:rPr>
            </w:r>
            <w:r w:rsidR="00C44BE6">
              <w:rPr>
                <w:noProof/>
                <w:webHidden/>
              </w:rPr>
              <w:fldChar w:fldCharType="separate"/>
            </w:r>
            <w:r w:rsidR="00C44BE6">
              <w:rPr>
                <w:noProof/>
                <w:webHidden/>
              </w:rPr>
              <w:t>18</w:t>
            </w:r>
            <w:r w:rsidR="00C44BE6">
              <w:rPr>
                <w:noProof/>
                <w:webHidden/>
              </w:rPr>
              <w:fldChar w:fldCharType="end"/>
            </w:r>
          </w:hyperlink>
        </w:p>
        <w:p w14:paraId="49AC8C48" w14:textId="4036FBF1" w:rsidR="00C44BE6" w:rsidRDefault="005F0D70" w:rsidP="006F70F9">
          <w:pPr>
            <w:pStyle w:val="TOC1"/>
            <w:rPr>
              <w:rFonts w:asciiTheme="minorHAnsi" w:eastAsiaTheme="minorEastAsia" w:hAnsiTheme="minorHAnsi"/>
              <w:noProof/>
              <w:sz w:val="22"/>
              <w:lang w:val="en-US" w:eastAsia="zh-TW"/>
            </w:rPr>
          </w:pPr>
          <w:hyperlink w:anchor="_Toc118886407" w:history="1">
            <w:r w:rsidR="00C44BE6" w:rsidRPr="00DC2759">
              <w:rPr>
                <w:rStyle w:val="Hyperlink"/>
                <w:noProof/>
              </w:rPr>
              <w:t>Instrukcje bezpieczeństwa dotyczące montażu w szafie typu rack</w:t>
            </w:r>
            <w:r w:rsidR="00C44BE6">
              <w:rPr>
                <w:noProof/>
                <w:webHidden/>
              </w:rPr>
              <w:tab/>
            </w:r>
            <w:r w:rsidR="00C44BE6">
              <w:rPr>
                <w:noProof/>
                <w:webHidden/>
              </w:rPr>
              <w:fldChar w:fldCharType="begin"/>
            </w:r>
            <w:r w:rsidR="00C44BE6">
              <w:rPr>
                <w:noProof/>
                <w:webHidden/>
              </w:rPr>
              <w:instrText xml:space="preserve"> PAGEREF _Toc118886407 \h </w:instrText>
            </w:r>
            <w:r w:rsidR="00C44BE6">
              <w:rPr>
                <w:noProof/>
                <w:webHidden/>
              </w:rPr>
            </w:r>
            <w:r w:rsidR="00C44BE6">
              <w:rPr>
                <w:noProof/>
                <w:webHidden/>
              </w:rPr>
              <w:fldChar w:fldCharType="separate"/>
            </w:r>
            <w:r w:rsidR="00C44BE6">
              <w:rPr>
                <w:noProof/>
                <w:webHidden/>
              </w:rPr>
              <w:t>18</w:t>
            </w:r>
            <w:r w:rsidR="00C44BE6">
              <w:rPr>
                <w:noProof/>
                <w:webHidden/>
              </w:rPr>
              <w:fldChar w:fldCharType="end"/>
            </w:r>
          </w:hyperlink>
        </w:p>
        <w:p w14:paraId="7020F41B" w14:textId="7B8E7594" w:rsidR="002C7415" w:rsidRPr="006F2801" w:rsidRDefault="00B45971">
          <w:pPr>
            <w:rPr>
              <w:b/>
            </w:rPr>
          </w:pPr>
          <w:r>
            <w:rPr>
              <w:b/>
            </w:rPr>
            <w:fldChar w:fldCharType="end"/>
          </w:r>
        </w:p>
      </w:sdtContent>
    </w:sdt>
    <w:p w14:paraId="64B77610" w14:textId="413F0795" w:rsidR="002C7415" w:rsidRDefault="002C7415" w:rsidP="002C7415">
      <w:pPr>
        <w:pStyle w:val="Heading1"/>
      </w:pPr>
      <w:bookmarkStart w:id="1" w:name="_Toc118886360"/>
      <w:r>
        <w:t>Informacje i uwagi dotyczące bezpieczeństwa</w:t>
      </w:r>
      <w:bookmarkEnd w:id="1"/>
    </w:p>
    <w:p w14:paraId="2A12AAA9" w14:textId="4575777C" w:rsidR="00434FDD" w:rsidRDefault="00434FDD" w:rsidP="007000CC">
      <w:pPr>
        <w:spacing w:after="0"/>
      </w:pPr>
      <w:r>
        <w:t xml:space="preserve">Należy przestrzegać ostrzeżeń, przestróg i uwag zawartych w odpowiednim dokumencie Informacji o bezpieczeństwie urządzeń i przepisów prawnych w sekcji dotyczącej zgodności z przepisami bezpieczeństwa na stronie </w:t>
      </w:r>
      <w:hyperlink r:id="rId12" w:history="1">
        <w:r>
          <w:rPr>
            <w:rStyle w:val="Hyperlink"/>
          </w:rPr>
          <w:t>www.netgear.com/about/regulatory/</w:t>
        </w:r>
      </w:hyperlink>
    </w:p>
    <w:p w14:paraId="51FE6BC8" w14:textId="77777777" w:rsidR="00BF4BEC" w:rsidRPr="00434FDD" w:rsidRDefault="00BF4BEC" w:rsidP="007000CC">
      <w:pPr>
        <w:spacing w:after="0" w:line="240" w:lineRule="auto"/>
      </w:pPr>
    </w:p>
    <w:p w14:paraId="6D39395F" w14:textId="77777777" w:rsidR="002C7415" w:rsidRPr="003C0805" w:rsidRDefault="002C7415" w:rsidP="000C20D9">
      <w:pPr>
        <w:pStyle w:val="Heading3"/>
      </w:pPr>
      <w:bookmarkStart w:id="2" w:name="_Toc118886361"/>
      <w:r>
        <w:t>Bezpieczna obsługa i użytkowanie baterii lub akumulatorów</w:t>
      </w:r>
      <w:bookmarkEnd w:id="2"/>
    </w:p>
    <w:p w14:paraId="589F7F44" w14:textId="29C1499F" w:rsidR="00BF4BEC" w:rsidRDefault="00BF4BEC" w:rsidP="00BF4BEC">
      <w:r>
        <w:t xml:space="preserve">Należy przestrzegać ostrzeżeń, przestróg i uwag zawartych w dokumencie Informacji o bezpieczeństwie akumulatora w sekcji dotyczącej zgodności z przepisami bezpieczeństwa na stronie </w:t>
      </w:r>
      <w:hyperlink r:id="rId13" w:history="1">
        <w:r>
          <w:rPr>
            <w:rStyle w:val="Hyperlink"/>
          </w:rPr>
          <w:t>www.netgear.com/about/regulatory/</w:t>
        </w:r>
      </w:hyperlink>
    </w:p>
    <w:p w14:paraId="551258F7" w14:textId="77777777" w:rsidR="002C7415" w:rsidRPr="00E109AA" w:rsidRDefault="002C7415" w:rsidP="002C7415">
      <w:pPr>
        <w:numPr>
          <w:ilvl w:val="0"/>
          <w:numId w:val="42"/>
        </w:numPr>
        <w:autoSpaceDE w:val="0"/>
        <w:autoSpaceDN w:val="0"/>
        <w:adjustRightInd w:val="0"/>
        <w:spacing w:after="0" w:line="240" w:lineRule="auto"/>
      </w:pPr>
      <w:r>
        <w:t>Jeśli zasilacz był wystawiony na działanie wody, innych płynów lub nadmiernej wilgoci, należy go zabrać do autoryzowanego centrum serwisowego w celu sprawdzenia.</w:t>
      </w:r>
    </w:p>
    <w:p w14:paraId="3BEBD7BE" w14:textId="77777777" w:rsidR="002C7415" w:rsidRPr="00E109AA" w:rsidRDefault="002C7415" w:rsidP="002C7415">
      <w:pPr>
        <w:numPr>
          <w:ilvl w:val="0"/>
          <w:numId w:val="42"/>
        </w:numPr>
        <w:autoSpaceDE w:val="0"/>
        <w:autoSpaceDN w:val="0"/>
        <w:adjustRightInd w:val="0"/>
        <w:spacing w:after="0" w:line="240" w:lineRule="auto"/>
      </w:pPr>
    </w:p>
    <w:p w14:paraId="619547FB" w14:textId="77777777" w:rsidR="002C7415" w:rsidRPr="00E109AA" w:rsidRDefault="002C7415" w:rsidP="002C7415">
      <w:pPr>
        <w:numPr>
          <w:ilvl w:val="0"/>
          <w:numId w:val="44"/>
        </w:numPr>
        <w:autoSpaceDE w:val="0"/>
        <w:autoSpaceDN w:val="0"/>
        <w:adjustRightInd w:val="0"/>
        <w:spacing w:after="22" w:line="240" w:lineRule="auto"/>
      </w:pPr>
      <w:r>
        <w:t>Urządzenie powinno być podłączone do gniazdka sieciowego, które znajdujące się w pobliżu urządzenia i jest łatwo dostępne.</w:t>
      </w:r>
    </w:p>
    <w:p w14:paraId="404D4A89" w14:textId="77777777" w:rsidR="002C7415" w:rsidRDefault="002C7415" w:rsidP="002C7415">
      <w:pPr>
        <w:autoSpaceDE w:val="0"/>
        <w:autoSpaceDN w:val="0"/>
        <w:adjustRightInd w:val="0"/>
        <w:spacing w:after="0" w:line="240" w:lineRule="auto"/>
        <w:rPr>
          <w:rFonts w:ascii="Foundry Sterling Book" w:hAnsi="Foundry Sterling Book" w:cs="Foundry Sterling Book"/>
          <w:color w:val="000000"/>
          <w:sz w:val="14"/>
          <w:szCs w:val="14"/>
        </w:rPr>
      </w:pPr>
    </w:p>
    <w:p w14:paraId="5DB786B3" w14:textId="744FA7BC" w:rsidR="002C7415" w:rsidRDefault="002C7415" w:rsidP="000C20D9">
      <w:pPr>
        <w:pStyle w:val="Heading2"/>
      </w:pPr>
      <w:bookmarkStart w:id="3" w:name="_Toc118886362"/>
      <w:r>
        <w:t>Lokalizacja oznaczenia</w:t>
      </w:r>
      <w:bookmarkEnd w:id="3"/>
    </w:p>
    <w:p w14:paraId="6B274B8B" w14:textId="44E4FD46" w:rsidR="002C7415" w:rsidRPr="00455E2C" w:rsidRDefault="002C7415" w:rsidP="00BB37EA">
      <w:bookmarkStart w:id="4" w:name="_Hlk41642397"/>
      <w:r>
        <w:t>Informacje dotyczące oznaczeń produktów firmy NETGEAR, w tym wszystkich przełączników NETGEAR i urządzeń ReadyNAS do montażu w stelażu oraz prawie wszystkich routerów bezprzewodowych i satelitów znajdują się na spodzie urządzenia</w:t>
      </w:r>
      <w:bookmarkEnd w:id="4"/>
      <w:r>
        <w:t xml:space="preserve">. </w:t>
      </w:r>
    </w:p>
    <w:p w14:paraId="6874B7CE" w14:textId="77777777" w:rsidR="002C7415" w:rsidRPr="000C20D9" w:rsidRDefault="002C7415" w:rsidP="000C20D9">
      <w:pPr>
        <w:pStyle w:val="Heading2"/>
      </w:pPr>
      <w:bookmarkStart w:id="5" w:name="_Toc118886363"/>
      <w:r>
        <w:lastRenderedPageBreak/>
        <w:t>Korzystanie w miejscach, w których mogą znajdować się dzieci</w:t>
      </w:r>
      <w:bookmarkEnd w:id="5"/>
    </w:p>
    <w:p w14:paraId="60BC4DF9" w14:textId="38E4DE0D" w:rsidR="002C7415" w:rsidRDefault="002C7415" w:rsidP="002C7415">
      <w:r>
        <w:t>Ze względu na zmiany w normach bezpieczeństwa nie oceniano następujących produktów pod kątem stosowania w miejscach, w których mogą być obecne dzieci z wykorzystaniem palca probierczy wprowadzonego zgodnie z normą EN 62368-1</w:t>
      </w:r>
    </w:p>
    <w:tbl>
      <w:tblPr>
        <w:tblStyle w:val="TableGrid"/>
        <w:tblW w:w="0" w:type="auto"/>
        <w:tblLook w:val="04A0" w:firstRow="1" w:lastRow="0" w:firstColumn="1" w:lastColumn="0" w:noHBand="0" w:noVBand="1"/>
      </w:tblPr>
      <w:tblGrid>
        <w:gridCol w:w="1807"/>
        <w:gridCol w:w="1751"/>
        <w:gridCol w:w="2087"/>
        <w:gridCol w:w="1977"/>
        <w:gridCol w:w="1728"/>
      </w:tblGrid>
      <w:tr w:rsidR="007A37BA" w14:paraId="7E8ADA2B" w14:textId="77777777" w:rsidTr="007A37BA">
        <w:tc>
          <w:tcPr>
            <w:tcW w:w="1807" w:type="dxa"/>
          </w:tcPr>
          <w:p w14:paraId="33083821" w14:textId="64F24229" w:rsidR="007E040C" w:rsidRDefault="007E040C" w:rsidP="007E040C">
            <w:r>
              <w:t>GC510PP</w:t>
            </w:r>
          </w:p>
        </w:tc>
        <w:tc>
          <w:tcPr>
            <w:tcW w:w="1751" w:type="dxa"/>
          </w:tcPr>
          <w:p w14:paraId="5D5E0854" w14:textId="2517F6E4" w:rsidR="007E040C" w:rsidRDefault="007E040C" w:rsidP="007E040C">
            <w:r>
              <w:t>GS348/T</w:t>
            </w:r>
          </w:p>
        </w:tc>
        <w:tc>
          <w:tcPr>
            <w:tcW w:w="2087" w:type="dxa"/>
          </w:tcPr>
          <w:p w14:paraId="7B725D26" w14:textId="117D8E71" w:rsidR="007E040C" w:rsidRDefault="00F52ECD" w:rsidP="007E040C">
            <w:r>
              <w:t>GS710TUP</w:t>
            </w:r>
          </w:p>
        </w:tc>
        <w:tc>
          <w:tcPr>
            <w:tcW w:w="1977" w:type="dxa"/>
          </w:tcPr>
          <w:p w14:paraId="6D6C6473" w14:textId="1D77DFF1" w:rsidR="007E040C" w:rsidRDefault="0006445B" w:rsidP="007E040C">
            <w:r>
              <w:t>GS748T</w:t>
            </w:r>
          </w:p>
        </w:tc>
        <w:tc>
          <w:tcPr>
            <w:tcW w:w="1728" w:type="dxa"/>
          </w:tcPr>
          <w:p w14:paraId="72569479" w14:textId="6D45F0F9" w:rsidR="007E040C" w:rsidRDefault="0006445B" w:rsidP="007E040C">
            <w:r>
              <w:t>GSM4328PB/S</w:t>
            </w:r>
          </w:p>
        </w:tc>
      </w:tr>
      <w:tr w:rsidR="007A37BA" w14:paraId="03C0D3D1" w14:textId="77777777" w:rsidTr="007A37BA">
        <w:tc>
          <w:tcPr>
            <w:tcW w:w="1807" w:type="dxa"/>
          </w:tcPr>
          <w:p w14:paraId="2FE09956" w14:textId="3CE10FF6" w:rsidR="007E040C" w:rsidRDefault="007E040C" w:rsidP="007E040C">
            <w:r>
              <w:t>GC728X/XP</w:t>
            </w:r>
          </w:p>
        </w:tc>
        <w:tc>
          <w:tcPr>
            <w:tcW w:w="1751" w:type="dxa"/>
          </w:tcPr>
          <w:p w14:paraId="56673981" w14:textId="74C2F37B" w:rsidR="007E040C" w:rsidRDefault="007E040C" w:rsidP="007E040C">
            <w:r>
              <w:t>GS408EPP</w:t>
            </w:r>
          </w:p>
        </w:tc>
        <w:tc>
          <w:tcPr>
            <w:tcW w:w="2087" w:type="dxa"/>
          </w:tcPr>
          <w:p w14:paraId="5115EBB8" w14:textId="5C806CF3" w:rsidR="007E040C" w:rsidRDefault="0006445B" w:rsidP="007E040C">
            <w:r>
              <w:t>GS716T/TP/TPP</w:t>
            </w:r>
          </w:p>
        </w:tc>
        <w:tc>
          <w:tcPr>
            <w:tcW w:w="1977" w:type="dxa"/>
          </w:tcPr>
          <w:p w14:paraId="5100D439" w14:textId="6D99A8C5" w:rsidR="007E040C" w:rsidRDefault="0006445B" w:rsidP="007E040C">
            <w:r>
              <w:t>GS750E</w:t>
            </w:r>
          </w:p>
        </w:tc>
        <w:tc>
          <w:tcPr>
            <w:tcW w:w="1728" w:type="dxa"/>
          </w:tcPr>
          <w:p w14:paraId="27DA7B81" w14:textId="216FE42B" w:rsidR="007E040C" w:rsidRDefault="0006445B" w:rsidP="007E040C">
            <w:r>
              <w:t>GSM4352PB/S</w:t>
            </w:r>
          </w:p>
        </w:tc>
      </w:tr>
      <w:tr w:rsidR="007A37BA" w14:paraId="659BDA6F" w14:textId="77777777" w:rsidTr="007A37BA">
        <w:tc>
          <w:tcPr>
            <w:tcW w:w="1807" w:type="dxa"/>
          </w:tcPr>
          <w:p w14:paraId="178AA523" w14:textId="212E2DE1" w:rsidR="007E040C" w:rsidRDefault="007E040C" w:rsidP="007E040C">
            <w:r>
              <w:t>GC752X/XP</w:t>
            </w:r>
          </w:p>
        </w:tc>
        <w:tc>
          <w:tcPr>
            <w:tcW w:w="1751" w:type="dxa"/>
          </w:tcPr>
          <w:p w14:paraId="3CEDE9A3" w14:textId="079674C3" w:rsidR="007E040C" w:rsidRDefault="007576CC" w:rsidP="007E040C">
            <w:r>
              <w:t>XSM4396S</w:t>
            </w:r>
          </w:p>
        </w:tc>
        <w:tc>
          <w:tcPr>
            <w:tcW w:w="2087" w:type="dxa"/>
          </w:tcPr>
          <w:p w14:paraId="7BD2E4E7" w14:textId="77777777" w:rsidR="0006445B" w:rsidRDefault="0006445B" w:rsidP="007E040C">
            <w:r>
              <w:t>MS510TX/TXM/</w:t>
            </w:r>
          </w:p>
          <w:p w14:paraId="0E28D55B" w14:textId="792AD8FA" w:rsidR="007E040C" w:rsidRDefault="0006445B" w:rsidP="007E040C">
            <w:r>
              <w:t>TXPP/TXUP</w:t>
            </w:r>
          </w:p>
        </w:tc>
        <w:tc>
          <w:tcPr>
            <w:tcW w:w="1977" w:type="dxa"/>
          </w:tcPr>
          <w:p w14:paraId="641D905F" w14:textId="77777777" w:rsidR="0006445B" w:rsidRDefault="0006445B" w:rsidP="007E040C">
            <w:r>
              <w:t>GS752TP/TPP/TPSE/</w:t>
            </w:r>
          </w:p>
          <w:p w14:paraId="4F8DADF1" w14:textId="27B19E95" w:rsidR="007E040C" w:rsidRDefault="0006445B" w:rsidP="007E040C">
            <w:r>
              <w:t>TSB/TX/TXP/TXS</w:t>
            </w:r>
          </w:p>
        </w:tc>
        <w:tc>
          <w:tcPr>
            <w:tcW w:w="1728" w:type="dxa"/>
          </w:tcPr>
          <w:p w14:paraId="0956E500" w14:textId="54280342" w:rsidR="007E040C" w:rsidRDefault="0006445B" w:rsidP="007E040C">
            <w:r>
              <w:t>GSM7328FS</w:t>
            </w:r>
          </w:p>
        </w:tc>
      </w:tr>
      <w:tr w:rsidR="007A37BA" w14:paraId="4037C355" w14:textId="77777777" w:rsidTr="007A37BA">
        <w:tc>
          <w:tcPr>
            <w:tcW w:w="1807" w:type="dxa"/>
          </w:tcPr>
          <w:p w14:paraId="2717BF53" w14:textId="03A2DE98" w:rsidR="007E040C" w:rsidRDefault="007E040C" w:rsidP="007E040C">
            <w:r>
              <w:t>GS324/P/PP/T/TP</w:t>
            </w:r>
          </w:p>
        </w:tc>
        <w:tc>
          <w:tcPr>
            <w:tcW w:w="1751" w:type="dxa"/>
          </w:tcPr>
          <w:p w14:paraId="55139550" w14:textId="4567F4E2" w:rsidR="007E040C" w:rsidRDefault="007E040C" w:rsidP="007E040C">
            <w:r>
              <w:t>GS510TLP/TPP</w:t>
            </w:r>
          </w:p>
        </w:tc>
        <w:tc>
          <w:tcPr>
            <w:tcW w:w="2087" w:type="dxa"/>
          </w:tcPr>
          <w:p w14:paraId="6B5406CF" w14:textId="6DF97B64" w:rsidR="007E040C" w:rsidRDefault="0006445B" w:rsidP="007E040C">
            <w:r>
              <w:t>GS728TP/TPP/TX/TXP</w:t>
            </w:r>
          </w:p>
        </w:tc>
        <w:tc>
          <w:tcPr>
            <w:tcW w:w="1977" w:type="dxa"/>
          </w:tcPr>
          <w:p w14:paraId="119630DB" w14:textId="414AFD19" w:rsidR="007E040C" w:rsidRDefault="0006445B" w:rsidP="007E040C">
            <w:r>
              <w:t>GSM4210P</w:t>
            </w:r>
          </w:p>
        </w:tc>
        <w:tc>
          <w:tcPr>
            <w:tcW w:w="1728" w:type="dxa"/>
          </w:tcPr>
          <w:p w14:paraId="49DD0C90" w14:textId="455B37D5" w:rsidR="007E040C" w:rsidRDefault="0006445B" w:rsidP="007E040C">
            <w:r>
              <w:t>JGS516/PE</w:t>
            </w:r>
          </w:p>
        </w:tc>
      </w:tr>
      <w:tr w:rsidR="007A37BA" w14:paraId="03348542" w14:textId="77777777" w:rsidTr="007A37BA">
        <w:tc>
          <w:tcPr>
            <w:tcW w:w="1807" w:type="dxa"/>
          </w:tcPr>
          <w:p w14:paraId="2EB3B932" w14:textId="55018272" w:rsidR="0006445B" w:rsidRDefault="0006445B" w:rsidP="007E040C">
            <w:r>
              <w:t>JGS524/E/PE</w:t>
            </w:r>
          </w:p>
        </w:tc>
        <w:tc>
          <w:tcPr>
            <w:tcW w:w="1751" w:type="dxa"/>
          </w:tcPr>
          <w:p w14:paraId="3FD478D9" w14:textId="3C8DB8A5" w:rsidR="0006445B" w:rsidRDefault="0006445B" w:rsidP="007E040C">
            <w:r>
              <w:t>XS505M</w:t>
            </w:r>
          </w:p>
        </w:tc>
        <w:tc>
          <w:tcPr>
            <w:tcW w:w="2087" w:type="dxa"/>
          </w:tcPr>
          <w:p w14:paraId="552CF3D3" w14:textId="267BE9BC" w:rsidR="0006445B" w:rsidRDefault="0006445B" w:rsidP="007E040C">
            <w:r>
              <w:t>GS724T/TP/TPP</w:t>
            </w:r>
          </w:p>
        </w:tc>
        <w:tc>
          <w:tcPr>
            <w:tcW w:w="1977" w:type="dxa"/>
          </w:tcPr>
          <w:p w14:paraId="3892BB12" w14:textId="0B053EDD" w:rsidR="0006445B" w:rsidRDefault="0006445B" w:rsidP="007E040C">
            <w:r>
              <w:t>XS508M</w:t>
            </w:r>
          </w:p>
        </w:tc>
        <w:tc>
          <w:tcPr>
            <w:tcW w:w="1728" w:type="dxa"/>
          </w:tcPr>
          <w:p w14:paraId="701F7E13" w14:textId="31DED455" w:rsidR="0006445B" w:rsidRDefault="0006445B" w:rsidP="007E040C">
            <w:r>
              <w:t>XS512EM</w:t>
            </w:r>
          </w:p>
        </w:tc>
      </w:tr>
      <w:tr w:rsidR="0006445B" w14:paraId="4DC127B4" w14:textId="77777777" w:rsidTr="007A37BA">
        <w:tc>
          <w:tcPr>
            <w:tcW w:w="1807" w:type="dxa"/>
          </w:tcPr>
          <w:p w14:paraId="72826637" w14:textId="3420E4A2" w:rsidR="0006445B" w:rsidRDefault="0006445B" w:rsidP="007E040C">
            <w:r>
              <w:t>XS708E/T</w:t>
            </w:r>
          </w:p>
        </w:tc>
        <w:tc>
          <w:tcPr>
            <w:tcW w:w="1751" w:type="dxa"/>
          </w:tcPr>
          <w:p w14:paraId="0F9846CB" w14:textId="0D78BC0A" w:rsidR="0006445B" w:rsidRDefault="0006445B" w:rsidP="007E040C">
            <w:r>
              <w:t>XS712T</w:t>
            </w:r>
          </w:p>
        </w:tc>
        <w:tc>
          <w:tcPr>
            <w:tcW w:w="2087" w:type="dxa"/>
          </w:tcPr>
          <w:p w14:paraId="5FE08221" w14:textId="290D3BCB" w:rsidR="0006445B" w:rsidRDefault="007A37BA" w:rsidP="007E040C">
            <w:r>
              <w:t>XS716E/T</w:t>
            </w:r>
          </w:p>
        </w:tc>
        <w:tc>
          <w:tcPr>
            <w:tcW w:w="1977" w:type="dxa"/>
          </w:tcPr>
          <w:p w14:paraId="42ED2885" w14:textId="7843FEEF" w:rsidR="0006445B" w:rsidRDefault="007A37BA" w:rsidP="007E040C">
            <w:r>
              <w:t>XS724EM</w:t>
            </w:r>
          </w:p>
        </w:tc>
        <w:tc>
          <w:tcPr>
            <w:tcW w:w="1728" w:type="dxa"/>
          </w:tcPr>
          <w:p w14:paraId="1F384BD0" w14:textId="5E3B1016" w:rsidR="0006445B" w:rsidRDefault="007A37BA" w:rsidP="007E040C">
            <w:r>
              <w:t>XS728T</w:t>
            </w:r>
          </w:p>
        </w:tc>
      </w:tr>
      <w:tr w:rsidR="007A37BA" w14:paraId="55EB22D7" w14:textId="77777777" w:rsidTr="007A37BA">
        <w:tc>
          <w:tcPr>
            <w:tcW w:w="1807" w:type="dxa"/>
          </w:tcPr>
          <w:p w14:paraId="1649BF38" w14:textId="72264AA9" w:rsidR="007A37BA" w:rsidRDefault="007A37BA" w:rsidP="007A37BA">
            <w:r>
              <w:t>XS748T</w:t>
            </w:r>
          </w:p>
        </w:tc>
        <w:tc>
          <w:tcPr>
            <w:tcW w:w="1751" w:type="dxa"/>
          </w:tcPr>
          <w:p w14:paraId="2639834A" w14:textId="32EDEF0F" w:rsidR="007A37BA" w:rsidRDefault="007A37BA" w:rsidP="007A37BA">
            <w:r>
              <w:t>GS418TPP</w:t>
            </w:r>
          </w:p>
        </w:tc>
        <w:tc>
          <w:tcPr>
            <w:tcW w:w="2087" w:type="dxa"/>
          </w:tcPr>
          <w:p w14:paraId="076E6D5A" w14:textId="2EA62C64" w:rsidR="007A37BA" w:rsidRDefault="007A37BA" w:rsidP="007A37BA">
            <w:r>
              <w:t>XSM4316PA/PB/S</w:t>
            </w:r>
          </w:p>
        </w:tc>
        <w:tc>
          <w:tcPr>
            <w:tcW w:w="1977" w:type="dxa"/>
          </w:tcPr>
          <w:p w14:paraId="3265C367" w14:textId="48F43ECA" w:rsidR="007A37BA" w:rsidRDefault="007A37BA" w:rsidP="007A37BA">
            <w:r>
              <w:t>XSM4324CS/FS/S</w:t>
            </w:r>
          </w:p>
        </w:tc>
        <w:tc>
          <w:tcPr>
            <w:tcW w:w="1728" w:type="dxa"/>
          </w:tcPr>
          <w:p w14:paraId="0506189E" w14:textId="6FAD5490" w:rsidR="007A37BA" w:rsidRDefault="007A37BA" w:rsidP="007A37BA">
            <w:r>
              <w:t>XSM4348CS/FS/S</w:t>
            </w:r>
          </w:p>
        </w:tc>
      </w:tr>
      <w:tr w:rsidR="007576CC" w14:paraId="4AA32074" w14:textId="77777777" w:rsidTr="007A37BA">
        <w:tc>
          <w:tcPr>
            <w:tcW w:w="1807" w:type="dxa"/>
          </w:tcPr>
          <w:p w14:paraId="429FA849" w14:textId="0CA44568" w:rsidR="007576CC" w:rsidRDefault="007576CC" w:rsidP="007576CC">
            <w:r>
              <w:t>XSM4556</w:t>
            </w:r>
          </w:p>
        </w:tc>
        <w:tc>
          <w:tcPr>
            <w:tcW w:w="1751" w:type="dxa"/>
          </w:tcPr>
          <w:p w14:paraId="0207CBD8" w14:textId="0352C0A9" w:rsidR="007576CC" w:rsidRDefault="007576CC" w:rsidP="007576CC">
            <w:r>
              <w:t>RNR-12B</w:t>
            </w:r>
          </w:p>
        </w:tc>
        <w:tc>
          <w:tcPr>
            <w:tcW w:w="2087" w:type="dxa"/>
          </w:tcPr>
          <w:p w14:paraId="0023D059" w14:textId="2FBD9C5D" w:rsidR="007576CC" w:rsidRDefault="007576CC" w:rsidP="007576CC">
            <w:r>
              <w:t>R9000</w:t>
            </w:r>
          </w:p>
        </w:tc>
        <w:tc>
          <w:tcPr>
            <w:tcW w:w="1977" w:type="dxa"/>
          </w:tcPr>
          <w:p w14:paraId="78FCA69F" w14:textId="425F0931" w:rsidR="007576CC" w:rsidRDefault="007576CC" w:rsidP="007576CC">
            <w:r>
              <w:t>RAX120</w:t>
            </w:r>
          </w:p>
        </w:tc>
        <w:tc>
          <w:tcPr>
            <w:tcW w:w="1728" w:type="dxa"/>
          </w:tcPr>
          <w:p w14:paraId="0F910CC2" w14:textId="721CC223" w:rsidR="007576CC" w:rsidRDefault="007576CC" w:rsidP="007576CC">
            <w:r>
              <w:t>RAX200</w:t>
            </w:r>
          </w:p>
        </w:tc>
      </w:tr>
      <w:tr w:rsidR="007576CC" w14:paraId="4C113FD2" w14:textId="77777777" w:rsidTr="007A37BA">
        <w:tc>
          <w:tcPr>
            <w:tcW w:w="1807" w:type="dxa"/>
          </w:tcPr>
          <w:p w14:paraId="4974A46C" w14:textId="0D6CC7F4" w:rsidR="007576CC" w:rsidRDefault="007576CC" w:rsidP="007576CC">
            <w:r>
              <w:t>RND-2E</w:t>
            </w:r>
          </w:p>
        </w:tc>
        <w:tc>
          <w:tcPr>
            <w:tcW w:w="1751" w:type="dxa"/>
          </w:tcPr>
          <w:p w14:paraId="1AD48DF1" w14:textId="6B18E087" w:rsidR="007576CC" w:rsidRDefault="007576CC" w:rsidP="007576CC">
            <w:r>
              <w:t>RND-4E</w:t>
            </w:r>
          </w:p>
        </w:tc>
        <w:tc>
          <w:tcPr>
            <w:tcW w:w="2087" w:type="dxa"/>
          </w:tcPr>
          <w:p w14:paraId="67560DB2" w14:textId="2557B841" w:rsidR="007576CC" w:rsidRDefault="007576CC" w:rsidP="007576CC">
            <w:r>
              <w:t>RNR-4B</w:t>
            </w:r>
          </w:p>
        </w:tc>
        <w:tc>
          <w:tcPr>
            <w:tcW w:w="1977" w:type="dxa"/>
          </w:tcPr>
          <w:p w14:paraId="6B5859E0" w14:textId="2A1A53DD" w:rsidR="007576CC" w:rsidRDefault="007576CC" w:rsidP="007576CC">
            <w:r>
              <w:t>RND-2F</w:t>
            </w:r>
          </w:p>
        </w:tc>
        <w:tc>
          <w:tcPr>
            <w:tcW w:w="1728" w:type="dxa"/>
          </w:tcPr>
          <w:p w14:paraId="377CDC03" w14:textId="64E5E4BF" w:rsidR="007576CC" w:rsidRDefault="007576CC" w:rsidP="007576CC">
            <w:r>
              <w:t>RND-4G</w:t>
            </w:r>
          </w:p>
        </w:tc>
      </w:tr>
      <w:tr w:rsidR="007576CC" w14:paraId="15D0850B" w14:textId="77777777" w:rsidTr="007A37BA">
        <w:tc>
          <w:tcPr>
            <w:tcW w:w="1807" w:type="dxa"/>
          </w:tcPr>
          <w:p w14:paraId="7CCC1C74" w14:textId="75EF78A3" w:rsidR="007576CC" w:rsidRDefault="007576CC" w:rsidP="007576CC">
            <w:r>
              <w:t>RND-6E</w:t>
            </w:r>
          </w:p>
        </w:tc>
        <w:tc>
          <w:tcPr>
            <w:tcW w:w="1751" w:type="dxa"/>
          </w:tcPr>
          <w:p w14:paraId="3D6C7E29" w14:textId="681C4FB3" w:rsidR="007576CC" w:rsidRDefault="007576CC" w:rsidP="007576CC">
            <w:r>
              <w:t>RND-6F</w:t>
            </w:r>
          </w:p>
        </w:tc>
        <w:tc>
          <w:tcPr>
            <w:tcW w:w="2087" w:type="dxa"/>
          </w:tcPr>
          <w:p w14:paraId="0630B3A7" w14:textId="3BB38DC3" w:rsidR="007576CC" w:rsidRDefault="007576CC" w:rsidP="007576CC">
            <w:r>
              <w:t>RND-8A</w:t>
            </w:r>
          </w:p>
        </w:tc>
        <w:tc>
          <w:tcPr>
            <w:tcW w:w="1977" w:type="dxa"/>
          </w:tcPr>
          <w:p w14:paraId="1568CF75" w14:textId="06B231B3" w:rsidR="007576CC" w:rsidRDefault="007576CC" w:rsidP="007576CC">
            <w:r>
              <w:t>RND-8B</w:t>
            </w:r>
          </w:p>
        </w:tc>
        <w:tc>
          <w:tcPr>
            <w:tcW w:w="1728" w:type="dxa"/>
          </w:tcPr>
          <w:p w14:paraId="70EB8169" w14:textId="28B7B69F" w:rsidR="007576CC" w:rsidRDefault="007576CC" w:rsidP="007576CC">
            <w:r>
              <w:t>RNR-4C</w:t>
            </w:r>
          </w:p>
        </w:tc>
      </w:tr>
      <w:tr w:rsidR="007576CC" w14:paraId="1CA8887D" w14:textId="77777777" w:rsidTr="007A37BA">
        <w:tc>
          <w:tcPr>
            <w:tcW w:w="1807" w:type="dxa"/>
          </w:tcPr>
          <w:p w14:paraId="7B8CC00C" w14:textId="528710C6" w:rsidR="007576CC" w:rsidRDefault="006F2801" w:rsidP="007576CC">
            <w:r>
              <w:t>RNR-60A</w:t>
            </w:r>
          </w:p>
        </w:tc>
        <w:tc>
          <w:tcPr>
            <w:tcW w:w="1751" w:type="dxa"/>
          </w:tcPr>
          <w:p w14:paraId="61B09062" w14:textId="17C097AA" w:rsidR="007576CC" w:rsidRDefault="007576CC" w:rsidP="007576CC"/>
        </w:tc>
        <w:tc>
          <w:tcPr>
            <w:tcW w:w="2087" w:type="dxa"/>
          </w:tcPr>
          <w:p w14:paraId="4D9FDB8A" w14:textId="77777777" w:rsidR="007576CC" w:rsidRDefault="007576CC" w:rsidP="007576CC"/>
        </w:tc>
        <w:tc>
          <w:tcPr>
            <w:tcW w:w="1977" w:type="dxa"/>
          </w:tcPr>
          <w:p w14:paraId="08B6121B" w14:textId="77777777" w:rsidR="007576CC" w:rsidRDefault="007576CC" w:rsidP="007576CC"/>
        </w:tc>
        <w:tc>
          <w:tcPr>
            <w:tcW w:w="1728" w:type="dxa"/>
          </w:tcPr>
          <w:p w14:paraId="4BE14889" w14:textId="77777777" w:rsidR="007576CC" w:rsidRDefault="007576CC" w:rsidP="007576CC"/>
        </w:tc>
      </w:tr>
    </w:tbl>
    <w:p w14:paraId="6A296FDD" w14:textId="77777777" w:rsidR="002C7415" w:rsidRPr="000C20D9" w:rsidRDefault="002C7415" w:rsidP="000C20D9">
      <w:pPr>
        <w:pStyle w:val="Heading2"/>
      </w:pPr>
      <w:bookmarkStart w:id="6" w:name="_Toc118886364"/>
      <w:r>
        <w:t>Powiadomienia o ograniczonym dostępie</w:t>
      </w:r>
      <w:bookmarkEnd w:id="6"/>
    </w:p>
    <w:p w14:paraId="6A84E702" w14:textId="6CC645CB" w:rsidR="00DC500E" w:rsidRDefault="00DC500E" w:rsidP="00DC500E">
      <w:r>
        <w:t>Niniejsze urządzenie jest przeznaczone wyłącznie do instalacji w miejscach o ograniczonym dostępie i jest przeznaczone wyłącznie dla wykwalifikowanych pracowników technicznych:</w:t>
      </w:r>
    </w:p>
    <w:p w14:paraId="11D327FF" w14:textId="77777777" w:rsidR="002C7415" w:rsidRDefault="002C7415" w:rsidP="002C7415">
      <w:pPr>
        <w:pStyle w:val="ListParagraph"/>
        <w:numPr>
          <w:ilvl w:val="0"/>
          <w:numId w:val="23"/>
        </w:numPr>
      </w:pPr>
      <w:r>
        <w:t>RR2312</w:t>
      </w:r>
    </w:p>
    <w:p w14:paraId="6CB219D5" w14:textId="77777777" w:rsidR="002C7415" w:rsidRDefault="002C7415" w:rsidP="002C7415">
      <w:pPr>
        <w:pStyle w:val="ListParagraph"/>
        <w:numPr>
          <w:ilvl w:val="0"/>
          <w:numId w:val="23"/>
        </w:numPr>
      </w:pPr>
      <w:r>
        <w:t>RR3312</w:t>
      </w:r>
    </w:p>
    <w:p w14:paraId="0795E310" w14:textId="77777777" w:rsidR="002C7415" w:rsidRDefault="002C7415" w:rsidP="002C7415">
      <w:pPr>
        <w:pStyle w:val="ListParagraph"/>
        <w:numPr>
          <w:ilvl w:val="0"/>
          <w:numId w:val="23"/>
        </w:numPr>
      </w:pPr>
      <w:r>
        <w:t>RR4312</w:t>
      </w:r>
    </w:p>
    <w:p w14:paraId="70265AEB" w14:textId="77777777" w:rsidR="002C7415" w:rsidRPr="000C20D9" w:rsidRDefault="002C7415" w:rsidP="000C20D9">
      <w:pPr>
        <w:pStyle w:val="Heading2"/>
      </w:pPr>
      <w:bookmarkStart w:id="7" w:name="_Toc118886365"/>
      <w:r>
        <w:t>Uwaga dotycząca połączenia za pomocą przewodu koncentrycznego telewizji kablowej i Internetu (w wybranych modelach)</w:t>
      </w:r>
      <w:bookmarkEnd w:id="7"/>
    </w:p>
    <w:p w14:paraId="0A7AD0C7" w14:textId="77777777" w:rsidR="002C7415" w:rsidRPr="002C233A" w:rsidRDefault="002C7415" w:rsidP="002C7415">
      <w:pPr>
        <w:shd w:val="clear" w:color="auto" w:fill="FFFFFF"/>
        <w:spacing w:after="0" w:line="240" w:lineRule="auto"/>
        <w:rPr>
          <w:rFonts w:eastAsia="Times New Roman" w:cs="Arial"/>
          <w:sz w:val="23"/>
          <w:szCs w:val="23"/>
        </w:rPr>
      </w:pPr>
      <w:r>
        <w:rPr>
          <w:sz w:val="23"/>
        </w:rPr>
        <w:t xml:space="preserve">Informacje zawarte w tej części dotyczą produktów firmy NETGEAR wyposażonych w tuner telewizyjny. </w:t>
      </w:r>
    </w:p>
    <w:p w14:paraId="24A808E2" w14:textId="77777777" w:rsidR="002C7415" w:rsidRPr="002C233A" w:rsidRDefault="002C7415" w:rsidP="002C7415">
      <w:pPr>
        <w:shd w:val="clear" w:color="auto" w:fill="FFFFFF"/>
        <w:spacing w:after="0" w:line="240" w:lineRule="auto"/>
        <w:rPr>
          <w:rFonts w:eastAsia="Times New Roman" w:cs="Arial"/>
          <w:sz w:val="23"/>
          <w:szCs w:val="23"/>
        </w:rPr>
      </w:pPr>
      <w:r>
        <w:rPr>
          <w:sz w:val="23"/>
        </w:rPr>
        <w:t xml:space="preserve">Uwaga dla instalatora systemu CATV: To przypomnienie ma na celu zwrócenie uwagi instalatora systemu CATV na sekcję 820-93 przepisów NEC, która zawiera </w:t>
      </w:r>
    </w:p>
    <w:p w14:paraId="39EDBADC" w14:textId="5D698E7B" w:rsidR="002C7415" w:rsidRDefault="002C7415" w:rsidP="007000CC">
      <w:pPr>
        <w:spacing w:after="0"/>
      </w:pPr>
      <w:r>
        <w:rPr>
          <w:sz w:val="23"/>
        </w:rPr>
        <w:t>wytyczne dotyczące prawidłowego uziemienia, a w szczególności określają, że ekranowany kabel koncentryczny należy podłączyć do systemu uziemienia budynku możliwie blisko punktu wejścia kabla.</w:t>
      </w:r>
    </w:p>
    <w:p w14:paraId="23F05E7D" w14:textId="5357F363" w:rsidR="004E534D" w:rsidRPr="004E534D" w:rsidRDefault="004E534D" w:rsidP="00481C42">
      <w:pPr>
        <w:pStyle w:val="Heading1"/>
      </w:pPr>
      <w:bookmarkStart w:id="8" w:name="_Toc118886366"/>
      <w:r>
        <w:t>Informacje dotyczące zgodności z przepisami</w:t>
      </w:r>
      <w:bookmarkEnd w:id="8"/>
    </w:p>
    <w:p w14:paraId="5765B674" w14:textId="77777777" w:rsidR="004E534D" w:rsidRPr="004E534D" w:rsidRDefault="004E534D" w:rsidP="004E534D">
      <w:pPr>
        <w:rPr>
          <w:rFonts w:cs="Arial"/>
        </w:rPr>
      </w:pPr>
      <w:r>
        <w:t>Ten dokument zawiera wymagania użytkownika dotyczące obsługi produktów NETGEAR zgodnie z przepisami krajowymi, w tym korzystania z widma radiowego i obsługi urządzeń radiowych. Nieprzestrzeganie przez użytkownika końcowego obowiązujących wymogów może skutkować bezprawnym działaniem i podjęciem przez właściwy krajowy organ regulacyjny działań niekorzystnych dla użytkownika końcowego.</w:t>
      </w:r>
    </w:p>
    <w:p w14:paraId="74156BB3" w14:textId="77777777" w:rsidR="004E534D" w:rsidRDefault="008D3F8E" w:rsidP="004E534D">
      <w:pPr>
        <w:rPr>
          <w:rFonts w:cs="Arial"/>
        </w:rPr>
      </w:pPr>
      <w:r>
        <w:t>Oprogramowanie sprzętowe urządzenia bezprzewodowego NETGEAR pozwala na korzystanie wyłącznie z kanałów dopuszczonych w konkretnym regionie lub kraju. W związku z tym niektóre opcje opisane w niniejszym dokumencie mogą być niedostępne w wersji posiadanej przez użytkownika.</w:t>
      </w:r>
    </w:p>
    <w:p w14:paraId="74D1953B" w14:textId="77777777" w:rsidR="00AC23E2" w:rsidRDefault="00AC23E2" w:rsidP="004E534D">
      <w:pPr>
        <w:rPr>
          <w:rFonts w:cs="Arial"/>
        </w:rPr>
      </w:pPr>
      <w:r>
        <w:t>Niniejszy dokument dotyczy zarówno urządzeń klasy A, jak i klasy B:</w:t>
      </w:r>
    </w:p>
    <w:p w14:paraId="2756E528" w14:textId="77777777" w:rsidR="00AC23E2" w:rsidRPr="00AC23E2" w:rsidRDefault="00375F22" w:rsidP="00AC23E2">
      <w:pPr>
        <w:pStyle w:val="ListParagraph"/>
        <w:numPr>
          <w:ilvl w:val="0"/>
          <w:numId w:val="14"/>
        </w:numPr>
        <w:rPr>
          <w:rFonts w:cs="Arial"/>
        </w:rPr>
      </w:pPr>
      <w:r>
        <w:t>Urządzenia klasy A są przeznaczone do stosowania w środowisku komercyjnym lub przemysłowym.  Nie są one przeznaczone do użytku w domach mieszkalnych ani do ogólnego użytku publicznego.</w:t>
      </w:r>
    </w:p>
    <w:p w14:paraId="4BA1F896" w14:textId="77777777" w:rsidR="001E4EB5" w:rsidRPr="00BE55C8" w:rsidRDefault="00375F22" w:rsidP="009B16CB">
      <w:pPr>
        <w:pStyle w:val="ListParagraph"/>
        <w:numPr>
          <w:ilvl w:val="0"/>
          <w:numId w:val="14"/>
        </w:numPr>
        <w:rPr>
          <w:rFonts w:cstheme="majorBidi"/>
        </w:rPr>
      </w:pPr>
      <w:r>
        <w:t>Urządzenia klasy B są przeznaczone do użytku w pomieszczeniach mieszkalnych, mogą być również stosowane w obiektach handlowych i przemysłowych.  Przykładami urządzeń klasy B są telefony, komputery osobiste i domowe bramy danych.</w:t>
      </w:r>
    </w:p>
    <w:p w14:paraId="1FCA7028" w14:textId="77777777" w:rsidR="00BE55C8" w:rsidRDefault="00BE55C8" w:rsidP="00BE55C8">
      <w:pPr>
        <w:pStyle w:val="ListParagraph"/>
        <w:numPr>
          <w:ilvl w:val="0"/>
          <w:numId w:val="14"/>
        </w:numPr>
        <w:spacing w:after="0" w:line="240" w:lineRule="auto"/>
        <w:contextualSpacing w:val="0"/>
      </w:pPr>
      <w:r>
        <w:t>Bezpieczniki powinny być instalowane wyłącznie przez personel serwisowy.</w:t>
      </w:r>
    </w:p>
    <w:p w14:paraId="343D63F5" w14:textId="77777777" w:rsidR="00BE55C8" w:rsidRDefault="00BE55C8" w:rsidP="00BE55C8">
      <w:pPr>
        <w:pStyle w:val="ListParagraph"/>
        <w:numPr>
          <w:ilvl w:val="0"/>
          <w:numId w:val="14"/>
        </w:numPr>
        <w:spacing w:after="0" w:line="240" w:lineRule="auto"/>
        <w:contextualSpacing w:val="0"/>
      </w:pPr>
      <w:r>
        <w:t>Firma NETGEAR zaleca stosowanie przewodów linii telefonicznej o przekroju 26 AWG lub większym.</w:t>
      </w:r>
    </w:p>
    <w:p w14:paraId="30D2F333" w14:textId="15030AD4" w:rsidR="000A4B34" w:rsidRDefault="000A4B34" w:rsidP="007000CC">
      <w:pPr>
        <w:spacing w:after="0"/>
        <w:ind w:left="360"/>
      </w:pPr>
    </w:p>
    <w:p w14:paraId="1CC588A6" w14:textId="3BA5F85A" w:rsidR="00A670DE" w:rsidRDefault="00A670DE" w:rsidP="00A670DE">
      <w:pPr>
        <w:pStyle w:val="Heading2"/>
      </w:pPr>
      <w:bookmarkStart w:id="9" w:name="_Toc118886367"/>
      <w:r>
        <w:t>Sprzęt certyfikowany do użytku na zewnątrz</w:t>
      </w:r>
      <w:bookmarkEnd w:id="9"/>
    </w:p>
    <w:p w14:paraId="1DBDC0E3" w14:textId="4B1C0261" w:rsidR="00995943" w:rsidRDefault="00995943" w:rsidP="00A670DE">
      <w:pPr>
        <w:rPr>
          <w:rFonts w:cs="Arial"/>
        </w:rPr>
      </w:pPr>
      <w:r>
        <w:t>Produkty firmy Netgear przeznaczone są do użytku wewnątrz pomieszczeń z następującymi wyjątkami:</w:t>
      </w:r>
    </w:p>
    <w:p w14:paraId="6A498825" w14:textId="31081296" w:rsidR="00A670DE" w:rsidRDefault="00A670DE" w:rsidP="00A670DE">
      <w:pPr>
        <w:rPr>
          <w:rFonts w:cs="Arial"/>
        </w:rPr>
      </w:pPr>
      <w:r>
        <w:t>Następujące produkty są certyfikowane do użytku zewnętrznego:</w:t>
      </w:r>
    </w:p>
    <w:p w14:paraId="21F8D2AD" w14:textId="7DCB25AC" w:rsidR="00A670DE" w:rsidRDefault="00A670DE" w:rsidP="00A670DE">
      <w:pPr>
        <w:pStyle w:val="Heading4"/>
      </w:pPr>
      <w:r>
        <w:t>Tabela 1: Produkty certyfikowane do użytku zewnętrznego</w:t>
      </w:r>
    </w:p>
    <w:tbl>
      <w:tblPr>
        <w:tblStyle w:val="TableGrid"/>
        <w:tblW w:w="0" w:type="auto"/>
        <w:tblLook w:val="04A0" w:firstRow="1" w:lastRow="0" w:firstColumn="1" w:lastColumn="0" w:noHBand="0" w:noVBand="1"/>
      </w:tblPr>
      <w:tblGrid>
        <w:gridCol w:w="1690"/>
        <w:gridCol w:w="1185"/>
        <w:gridCol w:w="1260"/>
        <w:gridCol w:w="1080"/>
        <w:gridCol w:w="1260"/>
        <w:gridCol w:w="1260"/>
      </w:tblGrid>
      <w:tr w:rsidR="00260503" w14:paraId="3325B1ED" w14:textId="396B803C" w:rsidTr="00260503">
        <w:tc>
          <w:tcPr>
            <w:tcW w:w="1690" w:type="dxa"/>
            <w:tcBorders>
              <w:bottom w:val="nil"/>
            </w:tcBorders>
          </w:tcPr>
          <w:p w14:paraId="0D932872" w14:textId="153A6124" w:rsidR="00260503" w:rsidRPr="00E63B27" w:rsidRDefault="00260503" w:rsidP="00260503">
            <w:pPr>
              <w:rPr>
                <w:rFonts w:cs="Arial"/>
                <w:u w:val="single"/>
              </w:rPr>
            </w:pPr>
            <w:r>
              <w:rPr>
                <w:u w:val="single"/>
              </w:rPr>
              <w:t>Stałe:</w:t>
            </w:r>
          </w:p>
        </w:tc>
        <w:tc>
          <w:tcPr>
            <w:tcW w:w="1185" w:type="dxa"/>
          </w:tcPr>
          <w:p w14:paraId="61B70B84" w14:textId="290DB2DA" w:rsidR="00260503" w:rsidRDefault="00260503" w:rsidP="00260503">
            <w:pPr>
              <w:rPr>
                <w:rFonts w:cs="Arial"/>
              </w:rPr>
            </w:pPr>
            <w:r>
              <w:t>WND930</w:t>
            </w:r>
          </w:p>
        </w:tc>
        <w:tc>
          <w:tcPr>
            <w:tcW w:w="1260" w:type="dxa"/>
          </w:tcPr>
          <w:p w14:paraId="4641AA88" w14:textId="77777777" w:rsidR="00260503" w:rsidRPr="0060535B" w:rsidRDefault="00260503" w:rsidP="00260503">
            <w:pPr>
              <w:rPr>
                <w:rFonts w:cs="Arial"/>
                <w:highlight w:val="yellow"/>
              </w:rPr>
            </w:pPr>
            <w:r>
              <w:t>WBC502</w:t>
            </w:r>
          </w:p>
        </w:tc>
        <w:tc>
          <w:tcPr>
            <w:tcW w:w="1080" w:type="dxa"/>
          </w:tcPr>
          <w:p w14:paraId="60380C9B" w14:textId="35F588A4" w:rsidR="00260503" w:rsidRPr="0060535B" w:rsidRDefault="00260503" w:rsidP="00260503">
            <w:pPr>
              <w:rPr>
                <w:rFonts w:cs="Arial"/>
                <w:highlight w:val="yellow"/>
              </w:rPr>
            </w:pPr>
            <w:r>
              <w:t>RBS50Y</w:t>
            </w:r>
          </w:p>
        </w:tc>
        <w:tc>
          <w:tcPr>
            <w:tcW w:w="1260" w:type="dxa"/>
          </w:tcPr>
          <w:p w14:paraId="6148710C" w14:textId="2787CE13" w:rsidR="00260503" w:rsidRDefault="00260503" w:rsidP="00260503">
            <w:pPr>
              <w:rPr>
                <w:rFonts w:cs="Arial"/>
              </w:rPr>
            </w:pPr>
            <w:r>
              <w:t>WAX610Y</w:t>
            </w:r>
          </w:p>
        </w:tc>
        <w:tc>
          <w:tcPr>
            <w:tcW w:w="1260" w:type="dxa"/>
          </w:tcPr>
          <w:p w14:paraId="6C23408E" w14:textId="77777777" w:rsidR="00260503" w:rsidRDefault="00260503" w:rsidP="00260503">
            <w:pPr>
              <w:rPr>
                <w:rFonts w:cs="Arial"/>
              </w:rPr>
            </w:pPr>
          </w:p>
        </w:tc>
      </w:tr>
      <w:tr w:rsidR="00260503" w14:paraId="57BBDDCF" w14:textId="1F7081B9" w:rsidTr="00260503">
        <w:tc>
          <w:tcPr>
            <w:tcW w:w="1690" w:type="dxa"/>
            <w:tcBorders>
              <w:top w:val="nil"/>
            </w:tcBorders>
          </w:tcPr>
          <w:p w14:paraId="04A0B991" w14:textId="77777777" w:rsidR="00260503" w:rsidRDefault="00260503" w:rsidP="00260503">
            <w:pPr>
              <w:rPr>
                <w:rFonts w:cs="Arial"/>
              </w:rPr>
            </w:pPr>
          </w:p>
        </w:tc>
        <w:tc>
          <w:tcPr>
            <w:tcW w:w="1185" w:type="dxa"/>
          </w:tcPr>
          <w:p w14:paraId="48279F66" w14:textId="77B63F89" w:rsidR="00260503" w:rsidRDefault="00260503" w:rsidP="00260503">
            <w:pPr>
              <w:rPr>
                <w:rFonts w:cs="Arial"/>
              </w:rPr>
            </w:pPr>
          </w:p>
        </w:tc>
        <w:tc>
          <w:tcPr>
            <w:tcW w:w="1260" w:type="dxa"/>
          </w:tcPr>
          <w:p w14:paraId="331ADEC7" w14:textId="23867153" w:rsidR="00260503" w:rsidRDefault="00260503" w:rsidP="00260503">
            <w:pPr>
              <w:rPr>
                <w:rFonts w:cs="Arial"/>
              </w:rPr>
            </w:pPr>
          </w:p>
        </w:tc>
        <w:tc>
          <w:tcPr>
            <w:tcW w:w="1080" w:type="dxa"/>
          </w:tcPr>
          <w:p w14:paraId="28E14027" w14:textId="77777777" w:rsidR="00260503" w:rsidRDefault="00260503" w:rsidP="00260503">
            <w:pPr>
              <w:rPr>
                <w:rFonts w:cs="Arial"/>
              </w:rPr>
            </w:pPr>
          </w:p>
        </w:tc>
        <w:tc>
          <w:tcPr>
            <w:tcW w:w="1260" w:type="dxa"/>
          </w:tcPr>
          <w:p w14:paraId="6466D30F" w14:textId="77777777" w:rsidR="00260503" w:rsidRDefault="00260503" w:rsidP="00260503">
            <w:pPr>
              <w:rPr>
                <w:rFonts w:cs="Arial"/>
              </w:rPr>
            </w:pPr>
          </w:p>
        </w:tc>
        <w:tc>
          <w:tcPr>
            <w:tcW w:w="1260" w:type="dxa"/>
          </w:tcPr>
          <w:p w14:paraId="3A2D4CAE" w14:textId="77777777" w:rsidR="00260503" w:rsidRDefault="00260503" w:rsidP="00260503">
            <w:pPr>
              <w:rPr>
                <w:rFonts w:cs="Arial"/>
              </w:rPr>
            </w:pPr>
          </w:p>
        </w:tc>
      </w:tr>
      <w:tr w:rsidR="00260503" w14:paraId="2BE46B21" w14:textId="76E38B12" w:rsidTr="00E63B27">
        <w:trPr>
          <w:trHeight w:val="89"/>
        </w:trPr>
        <w:tc>
          <w:tcPr>
            <w:tcW w:w="1690" w:type="dxa"/>
            <w:tcBorders>
              <w:bottom w:val="single" w:sz="4" w:space="0" w:color="auto"/>
            </w:tcBorders>
          </w:tcPr>
          <w:p w14:paraId="63C04B92" w14:textId="77777777" w:rsidR="00260503" w:rsidRDefault="00260503" w:rsidP="00260503">
            <w:pPr>
              <w:rPr>
                <w:rFonts w:cs="Arial"/>
              </w:rPr>
            </w:pPr>
          </w:p>
        </w:tc>
        <w:tc>
          <w:tcPr>
            <w:tcW w:w="1185" w:type="dxa"/>
          </w:tcPr>
          <w:p w14:paraId="70C61DD3" w14:textId="24FB9CEF" w:rsidR="00260503" w:rsidRDefault="00260503" w:rsidP="00260503">
            <w:pPr>
              <w:rPr>
                <w:rFonts w:cs="Arial"/>
              </w:rPr>
            </w:pPr>
          </w:p>
        </w:tc>
        <w:tc>
          <w:tcPr>
            <w:tcW w:w="1260" w:type="dxa"/>
          </w:tcPr>
          <w:p w14:paraId="7B732A40" w14:textId="77777777" w:rsidR="00260503" w:rsidRDefault="00260503" w:rsidP="00260503">
            <w:pPr>
              <w:rPr>
                <w:rFonts w:cs="Arial"/>
              </w:rPr>
            </w:pPr>
          </w:p>
        </w:tc>
        <w:tc>
          <w:tcPr>
            <w:tcW w:w="1080" w:type="dxa"/>
          </w:tcPr>
          <w:p w14:paraId="0C28CA2C" w14:textId="77777777" w:rsidR="00260503" w:rsidRDefault="00260503" w:rsidP="00260503">
            <w:pPr>
              <w:rPr>
                <w:rFonts w:cs="Arial"/>
              </w:rPr>
            </w:pPr>
          </w:p>
        </w:tc>
        <w:tc>
          <w:tcPr>
            <w:tcW w:w="1260" w:type="dxa"/>
          </w:tcPr>
          <w:p w14:paraId="13E0A346" w14:textId="77777777" w:rsidR="00260503" w:rsidRDefault="00260503" w:rsidP="00260503">
            <w:pPr>
              <w:rPr>
                <w:rFonts w:cs="Arial"/>
              </w:rPr>
            </w:pPr>
          </w:p>
        </w:tc>
        <w:tc>
          <w:tcPr>
            <w:tcW w:w="1260" w:type="dxa"/>
          </w:tcPr>
          <w:p w14:paraId="125B25E8" w14:textId="77777777" w:rsidR="00260503" w:rsidRDefault="00260503" w:rsidP="00260503">
            <w:pPr>
              <w:rPr>
                <w:rFonts w:cs="Arial"/>
              </w:rPr>
            </w:pPr>
          </w:p>
        </w:tc>
      </w:tr>
      <w:tr w:rsidR="00260503" w14:paraId="48ED5DD5" w14:textId="4DC9EC34" w:rsidTr="00260503">
        <w:tc>
          <w:tcPr>
            <w:tcW w:w="1690" w:type="dxa"/>
            <w:tcBorders>
              <w:bottom w:val="nil"/>
            </w:tcBorders>
          </w:tcPr>
          <w:p w14:paraId="61F4E288" w14:textId="7BAD6A88" w:rsidR="00260503" w:rsidRPr="00E63B27" w:rsidRDefault="00260503" w:rsidP="00260503">
            <w:pPr>
              <w:rPr>
                <w:rFonts w:cs="Arial"/>
                <w:u w:val="single"/>
              </w:rPr>
            </w:pPr>
            <w:r>
              <w:rPr>
                <w:u w:val="single"/>
              </w:rPr>
              <w:t>Przenośne:</w:t>
            </w:r>
          </w:p>
        </w:tc>
        <w:tc>
          <w:tcPr>
            <w:tcW w:w="1185" w:type="dxa"/>
          </w:tcPr>
          <w:p w14:paraId="66A8D0C7" w14:textId="63201C91" w:rsidR="00260503" w:rsidRDefault="00260503" w:rsidP="00260503">
            <w:pPr>
              <w:rPr>
                <w:rFonts w:cs="Arial"/>
              </w:rPr>
            </w:pPr>
            <w:r>
              <w:t>MR1100</w:t>
            </w:r>
          </w:p>
        </w:tc>
        <w:tc>
          <w:tcPr>
            <w:tcW w:w="1260" w:type="dxa"/>
          </w:tcPr>
          <w:p w14:paraId="755E4425" w14:textId="0282426E" w:rsidR="00260503" w:rsidRDefault="00260503" w:rsidP="00260503">
            <w:pPr>
              <w:rPr>
                <w:rFonts w:cs="Arial"/>
              </w:rPr>
            </w:pPr>
            <w:r>
              <w:t>MR2100</w:t>
            </w:r>
          </w:p>
        </w:tc>
        <w:tc>
          <w:tcPr>
            <w:tcW w:w="1080" w:type="dxa"/>
          </w:tcPr>
          <w:p w14:paraId="3C694830" w14:textId="3BA67D45" w:rsidR="00260503" w:rsidRDefault="00260503" w:rsidP="00260503">
            <w:pPr>
              <w:rPr>
                <w:rFonts w:cs="Arial"/>
              </w:rPr>
            </w:pPr>
            <w:r>
              <w:t>MR5100</w:t>
            </w:r>
          </w:p>
        </w:tc>
        <w:tc>
          <w:tcPr>
            <w:tcW w:w="1260" w:type="dxa"/>
          </w:tcPr>
          <w:p w14:paraId="2E031FF2" w14:textId="698B71A8" w:rsidR="00260503" w:rsidRDefault="00260503" w:rsidP="00260503">
            <w:pPr>
              <w:rPr>
                <w:rFonts w:cs="Arial"/>
              </w:rPr>
            </w:pPr>
            <w:r>
              <w:t>MR5200</w:t>
            </w:r>
          </w:p>
        </w:tc>
        <w:tc>
          <w:tcPr>
            <w:tcW w:w="1260" w:type="dxa"/>
          </w:tcPr>
          <w:p w14:paraId="56776633" w14:textId="77777777" w:rsidR="00260503" w:rsidRDefault="00260503" w:rsidP="00260503">
            <w:pPr>
              <w:rPr>
                <w:rFonts w:cs="Arial"/>
              </w:rPr>
            </w:pPr>
          </w:p>
        </w:tc>
      </w:tr>
      <w:tr w:rsidR="00260503" w14:paraId="71D84E0B" w14:textId="3D988E2A" w:rsidTr="00260503">
        <w:tc>
          <w:tcPr>
            <w:tcW w:w="1690" w:type="dxa"/>
            <w:tcBorders>
              <w:top w:val="nil"/>
              <w:bottom w:val="nil"/>
            </w:tcBorders>
          </w:tcPr>
          <w:p w14:paraId="387CF2E0" w14:textId="77777777" w:rsidR="00260503" w:rsidRPr="008172B1" w:rsidRDefault="00260503" w:rsidP="00260503">
            <w:pPr>
              <w:rPr>
                <w:rFonts w:cs="Arial"/>
              </w:rPr>
            </w:pPr>
          </w:p>
        </w:tc>
        <w:tc>
          <w:tcPr>
            <w:tcW w:w="1185" w:type="dxa"/>
          </w:tcPr>
          <w:p w14:paraId="0CFED318" w14:textId="0AA35EEA" w:rsidR="00260503" w:rsidRDefault="00260503" w:rsidP="00260503">
            <w:pPr>
              <w:rPr>
                <w:rFonts w:cs="Arial"/>
              </w:rPr>
            </w:pPr>
            <w:r>
              <w:t>MR61XX</w:t>
            </w:r>
          </w:p>
        </w:tc>
        <w:tc>
          <w:tcPr>
            <w:tcW w:w="1260" w:type="dxa"/>
          </w:tcPr>
          <w:p w14:paraId="26F4FFEF" w14:textId="7BD338F4" w:rsidR="00260503" w:rsidRDefault="00260503" w:rsidP="00260503">
            <w:pPr>
              <w:rPr>
                <w:rFonts w:cs="Arial"/>
              </w:rPr>
            </w:pPr>
            <w:r>
              <w:t>MR64XX</w:t>
            </w:r>
          </w:p>
        </w:tc>
        <w:tc>
          <w:tcPr>
            <w:tcW w:w="1080" w:type="dxa"/>
          </w:tcPr>
          <w:p w14:paraId="200B40DA" w14:textId="40D19BCB" w:rsidR="00260503" w:rsidRDefault="00260503" w:rsidP="00260503">
            <w:pPr>
              <w:rPr>
                <w:rFonts w:cs="Arial"/>
              </w:rPr>
            </w:pPr>
            <w:r>
              <w:t>MR65XX</w:t>
            </w:r>
          </w:p>
        </w:tc>
        <w:tc>
          <w:tcPr>
            <w:tcW w:w="1260" w:type="dxa"/>
          </w:tcPr>
          <w:p w14:paraId="6AC3BA8B" w14:textId="370748EA" w:rsidR="00260503" w:rsidRDefault="00260503" w:rsidP="00260503">
            <w:pPr>
              <w:rPr>
                <w:rFonts w:cs="Arial"/>
              </w:rPr>
            </w:pPr>
          </w:p>
        </w:tc>
        <w:tc>
          <w:tcPr>
            <w:tcW w:w="1260" w:type="dxa"/>
          </w:tcPr>
          <w:p w14:paraId="2092C0B8" w14:textId="77777777" w:rsidR="00260503" w:rsidRDefault="00260503" w:rsidP="00260503">
            <w:pPr>
              <w:rPr>
                <w:rFonts w:cs="Arial"/>
              </w:rPr>
            </w:pPr>
          </w:p>
        </w:tc>
      </w:tr>
      <w:tr w:rsidR="00260503" w14:paraId="5B0347CF" w14:textId="38F8160E" w:rsidTr="00260503">
        <w:tc>
          <w:tcPr>
            <w:tcW w:w="1690" w:type="dxa"/>
            <w:tcBorders>
              <w:top w:val="nil"/>
            </w:tcBorders>
          </w:tcPr>
          <w:p w14:paraId="065887FE" w14:textId="77777777" w:rsidR="00260503" w:rsidRDefault="00260503" w:rsidP="00260503">
            <w:pPr>
              <w:rPr>
                <w:rFonts w:cs="Arial"/>
              </w:rPr>
            </w:pPr>
          </w:p>
        </w:tc>
        <w:tc>
          <w:tcPr>
            <w:tcW w:w="1185" w:type="dxa"/>
          </w:tcPr>
          <w:p w14:paraId="24CB52F8" w14:textId="2C7E5A3C" w:rsidR="00260503" w:rsidRDefault="00260503" w:rsidP="00260503">
            <w:pPr>
              <w:rPr>
                <w:rFonts w:cs="Arial"/>
              </w:rPr>
            </w:pPr>
            <w:r>
              <w:t>A6100</w:t>
            </w:r>
          </w:p>
        </w:tc>
        <w:tc>
          <w:tcPr>
            <w:tcW w:w="1260" w:type="dxa"/>
          </w:tcPr>
          <w:p w14:paraId="273AC192" w14:textId="0395CF09" w:rsidR="00260503" w:rsidRDefault="00260503" w:rsidP="00260503">
            <w:pPr>
              <w:rPr>
                <w:rFonts w:cs="Arial"/>
              </w:rPr>
            </w:pPr>
            <w:r>
              <w:t>A6150</w:t>
            </w:r>
          </w:p>
        </w:tc>
        <w:tc>
          <w:tcPr>
            <w:tcW w:w="1080" w:type="dxa"/>
          </w:tcPr>
          <w:p w14:paraId="1420D0D6" w14:textId="25344AE9" w:rsidR="00260503" w:rsidRDefault="00260503" w:rsidP="00260503">
            <w:pPr>
              <w:rPr>
                <w:rFonts w:cs="Arial"/>
              </w:rPr>
            </w:pPr>
            <w:r>
              <w:t>A6210</w:t>
            </w:r>
          </w:p>
        </w:tc>
        <w:tc>
          <w:tcPr>
            <w:tcW w:w="1260" w:type="dxa"/>
          </w:tcPr>
          <w:p w14:paraId="49F87091" w14:textId="622AA0CA" w:rsidR="00260503" w:rsidRDefault="00260503" w:rsidP="00260503">
            <w:pPr>
              <w:rPr>
                <w:rFonts w:cs="Arial"/>
              </w:rPr>
            </w:pPr>
            <w:r>
              <w:t>A7000</w:t>
            </w:r>
          </w:p>
        </w:tc>
        <w:tc>
          <w:tcPr>
            <w:tcW w:w="1260" w:type="dxa"/>
          </w:tcPr>
          <w:p w14:paraId="2072EE4E" w14:textId="7740B07D" w:rsidR="00260503" w:rsidRDefault="00DF5D73" w:rsidP="00260503">
            <w:pPr>
              <w:rPr>
                <w:rFonts w:cs="Arial"/>
              </w:rPr>
            </w:pPr>
            <w:r>
              <w:t>A8000</w:t>
            </w:r>
          </w:p>
        </w:tc>
      </w:tr>
    </w:tbl>
    <w:p w14:paraId="5D393599" w14:textId="77777777" w:rsidR="00A670DE" w:rsidRDefault="00A670DE" w:rsidP="00A670DE">
      <w:pPr>
        <w:rPr>
          <w:rFonts w:cs="Arial"/>
        </w:rPr>
      </w:pPr>
    </w:p>
    <w:p w14:paraId="30C31AB8" w14:textId="25942375" w:rsidR="00A670DE" w:rsidRDefault="00A670DE" w:rsidP="0055419A">
      <w:r>
        <w:t xml:space="preserve">Uwaga dotycząca </w:t>
      </w:r>
      <w:r>
        <w:rPr>
          <w:b/>
        </w:rPr>
        <w:t>instalacji</w:t>
      </w:r>
      <w:r>
        <w:t xml:space="preserve"> urządzenia na zewnątrz: Należy pamiętać, że instalacje zewnętrzne wymagają szczególnej uwagi i mogą być wykonane wyłącznie przez przeszkolony i wykwalifikowany personel instalacyjny.  Nikt z ogółu społeczeństwa nie może instalować produktów bezprzewodowych NETGEAR na zewnątrz, gdy do ich użytkowania konieczne jest zainstalowanie anten zewnętrznych, zasilania i uziemienia.  Szczególną uwagę należy zwrócić na dozwolone częstotliwości operacyjne.  Jeśli ten produkt wymaga specjalnych warunków dla instalacji na zewnątrz, należy skontaktować się z firmą NETGEAR, aby uzyskać dane kontaktowe do instalatora.  Aby uzyskać szczegółowe informacje dotyczące instalacji we Francji, użytkownik powinien skontaktować się z krajowym organem ds. widma radiowego we Francji (http://www.arcep.fr/ )</w:t>
      </w:r>
    </w:p>
    <w:p w14:paraId="0D8A05E1" w14:textId="38604C89" w:rsidR="00430601" w:rsidRPr="000E6B64" w:rsidRDefault="00430601" w:rsidP="00D14AE9">
      <w:pPr>
        <w:spacing w:after="80" w:line="240" w:lineRule="auto"/>
      </w:pPr>
      <w:bookmarkStart w:id="10" w:name="_Hlk90038977"/>
      <w:r>
        <w:t>W przypadku pracy w zakresach częstotliwości obowiązujących w niektórych krajach urządzenie przeznaczone jest wyłącznie do użytku wewnątrz pomieszczeń:</w:t>
      </w:r>
    </w:p>
    <w:p w14:paraId="0310517F" w14:textId="77777777" w:rsidR="00430601" w:rsidRPr="000E6B64" w:rsidRDefault="00430601" w:rsidP="00430601">
      <w:pPr>
        <w:pStyle w:val="ListParagraph"/>
        <w:spacing w:after="0" w:line="240" w:lineRule="auto"/>
        <w:contextualSpacing w:val="0"/>
      </w:pPr>
      <w:r>
        <w:t>Od 5150 do 5350 MHz</w:t>
      </w:r>
    </w:p>
    <w:p w14:paraId="241336ED" w14:textId="2466F7EC" w:rsidR="00430601" w:rsidRDefault="00430601" w:rsidP="00430601">
      <w:pPr>
        <w:pStyle w:val="ListParagraph"/>
        <w:spacing w:after="80" w:line="240" w:lineRule="auto"/>
        <w:contextualSpacing w:val="0"/>
      </w:pPr>
      <w:r>
        <w:t>Od 5925 do 7125 MHz.</w:t>
      </w:r>
    </w:p>
    <w:p w14:paraId="4C64A96E" w14:textId="3CEB85A4" w:rsidR="00430601" w:rsidRDefault="00430601" w:rsidP="006F2801">
      <w:r>
        <w:t>Przepisy FCC i ISED ograniczają działanie tego urządzenia do użytku wewnątrz pomieszczeń wyłącznie w trybie punktu dostępowego dla częstotliwości 5850–7125 MHz.</w:t>
      </w:r>
      <w:bookmarkEnd w:id="10"/>
    </w:p>
    <w:p w14:paraId="27C8BB2E" w14:textId="77777777" w:rsidR="000A4B34" w:rsidRDefault="000A4B34" w:rsidP="007000CC">
      <w:pPr>
        <w:pStyle w:val="Heading2"/>
      </w:pPr>
      <w:bookmarkStart w:id="11" w:name="_Toc118886368"/>
      <w:r>
        <w:t>Urządzenia z antenami zewnętrznymi</w:t>
      </w:r>
      <w:bookmarkEnd w:id="11"/>
    </w:p>
    <w:p w14:paraId="5AC18A68" w14:textId="5D6BC179" w:rsidR="000A4B34" w:rsidRDefault="000A4B34" w:rsidP="000A4B34">
      <w:r>
        <w:t>Urządzenia zewnętrzne muszą posiadać anteny i kable, aby wzmocnienie (antena + kabel) było mniejsze niż podano poniżej lub dla zalecanych anten:</w:t>
      </w:r>
    </w:p>
    <w:p w14:paraId="4DE7A88C" w14:textId="77777777" w:rsidR="000A4B34" w:rsidRDefault="000A4B34" w:rsidP="0060535B">
      <w:pPr>
        <w:pStyle w:val="Heading4"/>
      </w:pPr>
      <w:r>
        <w:t>Tabela 2. Wzmocnienie anteny zewnętrznej</w:t>
      </w:r>
    </w:p>
    <w:tbl>
      <w:tblPr>
        <w:tblStyle w:val="TableGrid"/>
        <w:tblW w:w="9895" w:type="dxa"/>
        <w:tblLook w:val="04A0" w:firstRow="1" w:lastRow="0" w:firstColumn="1" w:lastColumn="0" w:noHBand="0" w:noVBand="1"/>
      </w:tblPr>
      <w:tblGrid>
        <w:gridCol w:w="2039"/>
        <w:gridCol w:w="3551"/>
        <w:gridCol w:w="1337"/>
        <w:gridCol w:w="2968"/>
      </w:tblGrid>
      <w:tr w:rsidR="00CF0E11" w:rsidRPr="00DB1424" w14:paraId="37059F38" w14:textId="77777777" w:rsidTr="00260503">
        <w:tc>
          <w:tcPr>
            <w:tcW w:w="2065" w:type="dxa"/>
          </w:tcPr>
          <w:p w14:paraId="127F10B4" w14:textId="77777777" w:rsidR="00CF0E11" w:rsidRPr="00DB1424" w:rsidRDefault="00CF0E11" w:rsidP="00CF0E11">
            <w:pPr>
              <w:rPr>
                <w:b/>
              </w:rPr>
            </w:pPr>
            <w:bookmarkStart w:id="12" w:name="_Hlk106972936"/>
            <w:r>
              <w:rPr>
                <w:b/>
              </w:rPr>
              <w:t>Produkt</w:t>
            </w:r>
          </w:p>
        </w:tc>
        <w:tc>
          <w:tcPr>
            <w:tcW w:w="3690" w:type="dxa"/>
          </w:tcPr>
          <w:p w14:paraId="2FB089E8" w14:textId="77777777" w:rsidR="00CF0E11" w:rsidRPr="00DB1424" w:rsidRDefault="00CF0E11" w:rsidP="00CF0E11">
            <w:pPr>
              <w:rPr>
                <w:b/>
              </w:rPr>
            </w:pPr>
            <w:r>
              <w:rPr>
                <w:b/>
              </w:rPr>
              <w:t>Częstotliwość</w:t>
            </w:r>
          </w:p>
        </w:tc>
        <w:tc>
          <w:tcPr>
            <w:tcW w:w="1077" w:type="dxa"/>
          </w:tcPr>
          <w:p w14:paraId="22A74BD2" w14:textId="380011D9" w:rsidR="00CF0E11" w:rsidRPr="00DB1424" w:rsidRDefault="006D1744" w:rsidP="00CF0E11">
            <w:pPr>
              <w:rPr>
                <w:b/>
              </w:rPr>
            </w:pPr>
            <w:r>
              <w:rPr>
                <w:b/>
              </w:rPr>
              <w:t>Antena zewnętrzna — maksymalne wzmocnienie netto (dBi)</w:t>
            </w:r>
          </w:p>
        </w:tc>
        <w:tc>
          <w:tcPr>
            <w:tcW w:w="3063" w:type="dxa"/>
          </w:tcPr>
          <w:p w14:paraId="07147628" w14:textId="3B9A763D" w:rsidR="00CF0E11" w:rsidRPr="00DB1424" w:rsidRDefault="00CF0E11" w:rsidP="00CF0E11">
            <w:pPr>
              <w:rPr>
                <w:b/>
              </w:rPr>
            </w:pPr>
            <w:r>
              <w:rPr>
                <w:b/>
              </w:rPr>
              <w:t>Zalecana lub domyślna antena(y)</w:t>
            </w:r>
          </w:p>
        </w:tc>
      </w:tr>
      <w:bookmarkEnd w:id="12"/>
      <w:tr w:rsidR="00CF0E11" w14:paraId="1DECA623" w14:textId="77777777" w:rsidTr="00260503">
        <w:tc>
          <w:tcPr>
            <w:tcW w:w="2065" w:type="dxa"/>
          </w:tcPr>
          <w:p w14:paraId="682A2009" w14:textId="3A0AD87F" w:rsidR="000A4B34" w:rsidRDefault="000A4B34" w:rsidP="008D4B1D">
            <w:r>
              <w:t>EX6200</w:t>
            </w:r>
          </w:p>
        </w:tc>
        <w:tc>
          <w:tcPr>
            <w:tcW w:w="3690" w:type="dxa"/>
          </w:tcPr>
          <w:p w14:paraId="5C51595D" w14:textId="4FB09232" w:rsidR="000A4B34" w:rsidRDefault="008A3B83" w:rsidP="008D4B1D">
            <w:r>
              <w:t>2400–2500 MHz.</w:t>
            </w:r>
          </w:p>
          <w:p w14:paraId="331BE2FF" w14:textId="1EB5EE5C" w:rsidR="008A3B83" w:rsidRDefault="008A3B83" w:rsidP="008D4B1D">
            <w:r>
              <w:t>5100–5850 MHz.</w:t>
            </w:r>
          </w:p>
        </w:tc>
        <w:tc>
          <w:tcPr>
            <w:tcW w:w="1077" w:type="dxa"/>
          </w:tcPr>
          <w:p w14:paraId="4FE00F6D" w14:textId="0C015180" w:rsidR="008A3B83" w:rsidRDefault="008A3B83" w:rsidP="008D4B1D"/>
        </w:tc>
        <w:tc>
          <w:tcPr>
            <w:tcW w:w="3063" w:type="dxa"/>
          </w:tcPr>
          <w:p w14:paraId="61BCAAAD" w14:textId="5BE8CE53" w:rsidR="000A4B34" w:rsidRDefault="008A3B83" w:rsidP="008D4B1D">
            <w:r>
              <w:t xml:space="preserve">Masterwave </w:t>
            </w:r>
            <w:hyperlink r:id="rId14" w:history="1">
              <w:r>
                <w:rPr>
                  <w:rStyle w:val="Hyperlink"/>
                  <w:color w:val="auto"/>
                  <w:sz w:val="17"/>
                  <w:u w:val="none"/>
                </w:rPr>
                <w:t>98619PRSX005</w:t>
              </w:r>
            </w:hyperlink>
          </w:p>
        </w:tc>
      </w:tr>
      <w:tr w:rsidR="00CF0E11" w14:paraId="0254762D" w14:textId="77777777" w:rsidTr="00260503">
        <w:tc>
          <w:tcPr>
            <w:tcW w:w="2065" w:type="dxa"/>
          </w:tcPr>
          <w:p w14:paraId="1AAE46C9" w14:textId="7A9FB905" w:rsidR="00AA7FAE" w:rsidRDefault="00AA7FAE" w:rsidP="00AA7FAE">
            <w:r>
              <w:t>RS400</w:t>
            </w:r>
          </w:p>
        </w:tc>
        <w:tc>
          <w:tcPr>
            <w:tcW w:w="3690" w:type="dxa"/>
          </w:tcPr>
          <w:p w14:paraId="53F892B6" w14:textId="77777777" w:rsidR="00AA7FAE" w:rsidRDefault="00AA7FAE" w:rsidP="00AA7FAE">
            <w:r>
              <w:t>2400–2500 MHz.</w:t>
            </w:r>
          </w:p>
          <w:p w14:paraId="2ADE5E18" w14:textId="02212D42" w:rsidR="00AA7FAE" w:rsidRDefault="00AA7FAE" w:rsidP="00AA7FAE">
            <w:r>
              <w:t>5100–5850 MHz.</w:t>
            </w:r>
          </w:p>
        </w:tc>
        <w:tc>
          <w:tcPr>
            <w:tcW w:w="1077" w:type="dxa"/>
          </w:tcPr>
          <w:p w14:paraId="2FCC86BA" w14:textId="29A063F5" w:rsidR="00AA7FAE" w:rsidRDefault="00AA7FAE" w:rsidP="00AA7FAE"/>
        </w:tc>
        <w:tc>
          <w:tcPr>
            <w:tcW w:w="3063" w:type="dxa"/>
          </w:tcPr>
          <w:p w14:paraId="54595666" w14:textId="19567375" w:rsidR="00AA7FAE" w:rsidRDefault="00AA7FAE" w:rsidP="00AA7FAE">
            <w:r>
              <w:t>Masterwave 98364PRSX004</w:t>
            </w:r>
          </w:p>
        </w:tc>
      </w:tr>
      <w:tr w:rsidR="00CF0E11" w14:paraId="0D2B0AE0" w14:textId="77777777" w:rsidTr="00260503">
        <w:tc>
          <w:tcPr>
            <w:tcW w:w="2065" w:type="dxa"/>
          </w:tcPr>
          <w:p w14:paraId="7D465E22" w14:textId="33E86E39" w:rsidR="009A054E" w:rsidRDefault="009A054E" w:rsidP="009A054E">
            <w:r>
              <w:t>R6800</w:t>
            </w:r>
          </w:p>
        </w:tc>
        <w:tc>
          <w:tcPr>
            <w:tcW w:w="3690" w:type="dxa"/>
          </w:tcPr>
          <w:p w14:paraId="2F806D67" w14:textId="77777777" w:rsidR="009A054E" w:rsidRDefault="009A054E" w:rsidP="009A054E">
            <w:r>
              <w:t>2400–2500 MHz.</w:t>
            </w:r>
          </w:p>
          <w:p w14:paraId="0F962AA1" w14:textId="6CF1DB10" w:rsidR="009A054E" w:rsidRDefault="009A054E" w:rsidP="009A054E">
            <w:r>
              <w:t>5100–5850 MHz.</w:t>
            </w:r>
          </w:p>
        </w:tc>
        <w:tc>
          <w:tcPr>
            <w:tcW w:w="1077" w:type="dxa"/>
          </w:tcPr>
          <w:p w14:paraId="0EEE18AA" w14:textId="09277A49" w:rsidR="009A054E" w:rsidRDefault="009A054E" w:rsidP="009A054E"/>
        </w:tc>
        <w:tc>
          <w:tcPr>
            <w:tcW w:w="3063" w:type="dxa"/>
          </w:tcPr>
          <w:p w14:paraId="5F34F1BF" w14:textId="03F92659" w:rsidR="009A054E" w:rsidRDefault="009A054E" w:rsidP="009A054E">
            <w:r>
              <w:t>Masterwave 98364PRSX004</w:t>
            </w:r>
          </w:p>
        </w:tc>
      </w:tr>
      <w:tr w:rsidR="00CF0E11" w14:paraId="61DCF2B1" w14:textId="77777777" w:rsidTr="00260503">
        <w:tc>
          <w:tcPr>
            <w:tcW w:w="2065" w:type="dxa"/>
          </w:tcPr>
          <w:p w14:paraId="495DE587" w14:textId="3AC5C1AC" w:rsidR="00BB66B4" w:rsidRDefault="00BB66B4" w:rsidP="00BB66B4">
            <w:r>
              <w:t>R6900P, R7000P</w:t>
            </w:r>
          </w:p>
        </w:tc>
        <w:tc>
          <w:tcPr>
            <w:tcW w:w="3690" w:type="dxa"/>
          </w:tcPr>
          <w:p w14:paraId="3BEE52BA" w14:textId="77777777" w:rsidR="00BB66B4" w:rsidRDefault="00BB66B4" w:rsidP="00BB66B4">
            <w:r>
              <w:t>2400–2500 MHz.</w:t>
            </w:r>
          </w:p>
          <w:p w14:paraId="323B37B9" w14:textId="40E86CEE" w:rsidR="00BB66B4" w:rsidRDefault="00BB66B4" w:rsidP="00BB66B4">
            <w:r>
              <w:t>5100–5850 MHz.</w:t>
            </w:r>
          </w:p>
        </w:tc>
        <w:tc>
          <w:tcPr>
            <w:tcW w:w="1077" w:type="dxa"/>
          </w:tcPr>
          <w:p w14:paraId="24D57938" w14:textId="4A8AF28C" w:rsidR="00BB66B4" w:rsidRDefault="00BB66B4" w:rsidP="00BB66B4"/>
        </w:tc>
        <w:tc>
          <w:tcPr>
            <w:tcW w:w="3063" w:type="dxa"/>
          </w:tcPr>
          <w:p w14:paraId="2C9817FC" w14:textId="2426BCDA" w:rsidR="00BB66B4" w:rsidRDefault="00BB66B4" w:rsidP="00BB66B4">
            <w:r>
              <w:t>Masterwave 98364PRSX004</w:t>
            </w:r>
          </w:p>
        </w:tc>
      </w:tr>
      <w:tr w:rsidR="00CF0E11" w14:paraId="210F4A4D" w14:textId="77777777" w:rsidTr="00260503">
        <w:tc>
          <w:tcPr>
            <w:tcW w:w="2065" w:type="dxa"/>
          </w:tcPr>
          <w:p w14:paraId="4F645E14" w14:textId="624D758F" w:rsidR="00BB66B4" w:rsidRDefault="00BB66B4" w:rsidP="00BB66B4">
            <w:r>
              <w:t>R6900, R7450</w:t>
            </w:r>
          </w:p>
        </w:tc>
        <w:tc>
          <w:tcPr>
            <w:tcW w:w="3690" w:type="dxa"/>
          </w:tcPr>
          <w:p w14:paraId="04429390" w14:textId="77777777" w:rsidR="00BB66B4" w:rsidRDefault="00BB66B4" w:rsidP="00BB66B4">
            <w:r>
              <w:t>2400–2500 MHz.</w:t>
            </w:r>
          </w:p>
          <w:p w14:paraId="587A0925" w14:textId="0923A3B4" w:rsidR="00BB66B4" w:rsidRDefault="00BB66B4" w:rsidP="00BB66B4">
            <w:r>
              <w:t>5100–5850 MHz.</w:t>
            </w:r>
          </w:p>
        </w:tc>
        <w:tc>
          <w:tcPr>
            <w:tcW w:w="1077" w:type="dxa"/>
          </w:tcPr>
          <w:p w14:paraId="5CBDAF26" w14:textId="4F87CF42" w:rsidR="00BB66B4" w:rsidRDefault="00BB66B4" w:rsidP="00BB66B4"/>
        </w:tc>
        <w:tc>
          <w:tcPr>
            <w:tcW w:w="3063" w:type="dxa"/>
          </w:tcPr>
          <w:p w14:paraId="73F5356B" w14:textId="0B82950A" w:rsidR="00BB66B4" w:rsidRDefault="00BB66B4" w:rsidP="00BB66B4">
            <w:r>
              <w:t>Masterwave 98364PRSX009</w:t>
            </w:r>
          </w:p>
        </w:tc>
      </w:tr>
      <w:tr w:rsidR="00CF0E11" w14:paraId="7E39978B" w14:textId="77777777" w:rsidTr="00260503">
        <w:tc>
          <w:tcPr>
            <w:tcW w:w="2065" w:type="dxa"/>
          </w:tcPr>
          <w:p w14:paraId="718CB771" w14:textId="3137C2ED" w:rsidR="00D76DE3" w:rsidRDefault="00D76DE3" w:rsidP="00D76DE3">
            <w:r>
              <w:t xml:space="preserve">AC2600, </w:t>
            </w:r>
          </w:p>
        </w:tc>
        <w:tc>
          <w:tcPr>
            <w:tcW w:w="3690" w:type="dxa"/>
          </w:tcPr>
          <w:p w14:paraId="0290509A" w14:textId="77777777" w:rsidR="00D76DE3" w:rsidRDefault="00D76DE3" w:rsidP="00D76DE3">
            <w:r>
              <w:t>2400–2500 MHz.</w:t>
            </w:r>
          </w:p>
          <w:p w14:paraId="3E665AF8" w14:textId="7570E38E" w:rsidR="00D76DE3" w:rsidRDefault="00D76DE3" w:rsidP="00D76DE3">
            <w:r>
              <w:t>5100–5850 MHz.</w:t>
            </w:r>
          </w:p>
        </w:tc>
        <w:tc>
          <w:tcPr>
            <w:tcW w:w="1077" w:type="dxa"/>
          </w:tcPr>
          <w:p w14:paraId="77BCABBD" w14:textId="2826EE1F" w:rsidR="00D76DE3" w:rsidRDefault="00D76DE3" w:rsidP="00D76DE3"/>
        </w:tc>
        <w:tc>
          <w:tcPr>
            <w:tcW w:w="3063" w:type="dxa"/>
          </w:tcPr>
          <w:p w14:paraId="1C157516" w14:textId="6AB21B9A" w:rsidR="00D76DE3" w:rsidRDefault="00D76DE3" w:rsidP="00D76DE3">
            <w:r>
              <w:t>Masterwave 98364PRSX009</w:t>
            </w:r>
          </w:p>
        </w:tc>
      </w:tr>
      <w:tr w:rsidR="00CF0E11" w14:paraId="61939BFC" w14:textId="77777777" w:rsidTr="00260503">
        <w:tc>
          <w:tcPr>
            <w:tcW w:w="2065" w:type="dxa"/>
          </w:tcPr>
          <w:p w14:paraId="0277A570" w14:textId="15D3694F" w:rsidR="00D76DE3" w:rsidRDefault="00D76DE3" w:rsidP="00D76DE3">
            <w:r>
              <w:t>R7200, R7350, R7400</w:t>
            </w:r>
          </w:p>
        </w:tc>
        <w:tc>
          <w:tcPr>
            <w:tcW w:w="3690" w:type="dxa"/>
          </w:tcPr>
          <w:p w14:paraId="7E5C7F3E" w14:textId="77777777" w:rsidR="00D76DE3" w:rsidRDefault="00D76DE3" w:rsidP="00D76DE3">
            <w:r>
              <w:t>2400–2500 MHz.</w:t>
            </w:r>
          </w:p>
          <w:p w14:paraId="43126991" w14:textId="3D8A71A0" w:rsidR="00D76DE3" w:rsidRDefault="00D76DE3" w:rsidP="00D76DE3">
            <w:r>
              <w:t>5100–5850 MHz.</w:t>
            </w:r>
          </w:p>
        </w:tc>
        <w:tc>
          <w:tcPr>
            <w:tcW w:w="1077" w:type="dxa"/>
          </w:tcPr>
          <w:p w14:paraId="3468BC24" w14:textId="7889D840" w:rsidR="00D76DE3" w:rsidRDefault="00D76DE3" w:rsidP="00D76DE3"/>
        </w:tc>
        <w:tc>
          <w:tcPr>
            <w:tcW w:w="3063" w:type="dxa"/>
          </w:tcPr>
          <w:p w14:paraId="3106811A" w14:textId="78D1A42B" w:rsidR="00D76DE3" w:rsidRDefault="00D76DE3" w:rsidP="00D76DE3">
            <w:r>
              <w:t>Masterwave 98364PRSX009</w:t>
            </w:r>
          </w:p>
        </w:tc>
      </w:tr>
      <w:tr w:rsidR="00CF0E11" w14:paraId="238B29A9" w14:textId="77777777" w:rsidTr="00260503">
        <w:tc>
          <w:tcPr>
            <w:tcW w:w="2065" w:type="dxa"/>
          </w:tcPr>
          <w:p w14:paraId="74574976" w14:textId="4B8BAFE5" w:rsidR="00D76DE3" w:rsidRDefault="00D76DE3" w:rsidP="00D76DE3">
            <w:r>
              <w:t>D7000</w:t>
            </w:r>
          </w:p>
        </w:tc>
        <w:tc>
          <w:tcPr>
            <w:tcW w:w="3690" w:type="dxa"/>
          </w:tcPr>
          <w:p w14:paraId="791B15B2" w14:textId="77777777" w:rsidR="00D76DE3" w:rsidRDefault="00D76DE3" w:rsidP="00D76DE3">
            <w:r>
              <w:t>2400–2500 MHz.</w:t>
            </w:r>
          </w:p>
          <w:p w14:paraId="53AA39EA" w14:textId="1F1C51EA" w:rsidR="00D76DE3" w:rsidRDefault="00D76DE3" w:rsidP="00D76DE3">
            <w:r>
              <w:t>5100–5850 MHz.</w:t>
            </w:r>
          </w:p>
        </w:tc>
        <w:tc>
          <w:tcPr>
            <w:tcW w:w="1077" w:type="dxa"/>
          </w:tcPr>
          <w:p w14:paraId="447C9E33" w14:textId="5B3A09E8" w:rsidR="00D76DE3" w:rsidRDefault="00D76DE3" w:rsidP="00D76DE3"/>
        </w:tc>
        <w:tc>
          <w:tcPr>
            <w:tcW w:w="3063" w:type="dxa"/>
          </w:tcPr>
          <w:p w14:paraId="7BCDDC59" w14:textId="532EA4F8" w:rsidR="00D76DE3" w:rsidRDefault="00D76DE3" w:rsidP="00D76DE3">
            <w:r>
              <w:t xml:space="preserve">Masterwave </w:t>
            </w:r>
            <w:r>
              <w:rPr>
                <w:color w:val="333333"/>
                <w:sz w:val="17"/>
              </w:rPr>
              <w:t>98365PRSX000</w:t>
            </w:r>
          </w:p>
        </w:tc>
      </w:tr>
      <w:tr w:rsidR="00CF0E11" w14:paraId="2E453C45" w14:textId="77777777" w:rsidTr="00260503">
        <w:tc>
          <w:tcPr>
            <w:tcW w:w="2065" w:type="dxa"/>
          </w:tcPr>
          <w:p w14:paraId="2CC9FE74" w14:textId="3D11C28A" w:rsidR="00620E05" w:rsidRDefault="00620E05" w:rsidP="00620E05">
            <w:r>
              <w:t>EX7000, DC112A</w:t>
            </w:r>
          </w:p>
        </w:tc>
        <w:tc>
          <w:tcPr>
            <w:tcW w:w="3690" w:type="dxa"/>
          </w:tcPr>
          <w:p w14:paraId="34F58689" w14:textId="77777777" w:rsidR="00620E05" w:rsidRDefault="00620E05" w:rsidP="00620E05">
            <w:r>
              <w:t>2400–2500 MHz.</w:t>
            </w:r>
          </w:p>
          <w:p w14:paraId="5C337B9C" w14:textId="4A36FFA6" w:rsidR="00620E05" w:rsidRDefault="00620E05" w:rsidP="00620E05">
            <w:r>
              <w:t>5100–5850 MHz.</w:t>
            </w:r>
          </w:p>
        </w:tc>
        <w:tc>
          <w:tcPr>
            <w:tcW w:w="1077" w:type="dxa"/>
          </w:tcPr>
          <w:p w14:paraId="3E19F6D9" w14:textId="7C94EF01" w:rsidR="00620E05" w:rsidRDefault="006F2801" w:rsidP="00620E05">
            <w:r>
              <w:t>2 dB</w:t>
            </w:r>
          </w:p>
        </w:tc>
        <w:tc>
          <w:tcPr>
            <w:tcW w:w="3063" w:type="dxa"/>
          </w:tcPr>
          <w:p w14:paraId="051FC13F" w14:textId="0E2D9653" w:rsidR="00620E05" w:rsidRDefault="00620E05" w:rsidP="00620E05">
            <w:r>
              <w:rPr>
                <w:color w:val="333333"/>
                <w:sz w:val="17"/>
              </w:rPr>
              <w:t>Masterwave 98619PRSX006</w:t>
            </w:r>
          </w:p>
        </w:tc>
      </w:tr>
      <w:tr w:rsidR="00CF0E11" w14:paraId="681B26C2" w14:textId="77777777" w:rsidTr="00260503">
        <w:tc>
          <w:tcPr>
            <w:tcW w:w="2065" w:type="dxa"/>
          </w:tcPr>
          <w:p w14:paraId="5E85FE76" w14:textId="348D4703" w:rsidR="00AD5F1E" w:rsidRDefault="00AD5F1E" w:rsidP="00AD5F1E">
            <w:r>
              <w:t>D7800, R7800</w:t>
            </w:r>
          </w:p>
        </w:tc>
        <w:tc>
          <w:tcPr>
            <w:tcW w:w="3690" w:type="dxa"/>
          </w:tcPr>
          <w:p w14:paraId="435A5BC3" w14:textId="77777777" w:rsidR="00AD5F1E" w:rsidRDefault="00AD5F1E" w:rsidP="00AD5F1E">
            <w:r>
              <w:t>2400–2500 MHz.</w:t>
            </w:r>
          </w:p>
          <w:p w14:paraId="557FEFD3" w14:textId="7C7F13BD" w:rsidR="00AD5F1E" w:rsidRDefault="00AD5F1E" w:rsidP="00AD5F1E">
            <w:r>
              <w:t>5100–5850 MHz.</w:t>
            </w:r>
          </w:p>
        </w:tc>
        <w:tc>
          <w:tcPr>
            <w:tcW w:w="1077" w:type="dxa"/>
          </w:tcPr>
          <w:p w14:paraId="28204E44" w14:textId="3F0796EA" w:rsidR="00AD5F1E" w:rsidRDefault="00AD5F1E" w:rsidP="00AD5F1E"/>
        </w:tc>
        <w:tc>
          <w:tcPr>
            <w:tcW w:w="3063" w:type="dxa"/>
          </w:tcPr>
          <w:p w14:paraId="2591B78F" w14:textId="77777777" w:rsidR="00AD5F1E" w:rsidRDefault="001D77A4" w:rsidP="00AD5F1E">
            <w:pPr>
              <w:rPr>
                <w:rFonts w:cs="Arial"/>
                <w:color w:val="333333"/>
                <w:sz w:val="17"/>
                <w:szCs w:val="17"/>
              </w:rPr>
            </w:pPr>
            <w:r>
              <w:t xml:space="preserve">Masterwave </w:t>
            </w:r>
            <w:r>
              <w:rPr>
                <w:color w:val="333333"/>
                <w:sz w:val="17"/>
              </w:rPr>
              <w:t>98365PRSX003</w:t>
            </w:r>
          </w:p>
          <w:p w14:paraId="7A674DA8" w14:textId="768170C3" w:rsidR="001D77A4" w:rsidRDefault="001D77A4" w:rsidP="00AD5F1E">
            <w:r>
              <w:rPr>
                <w:color w:val="333333"/>
                <w:sz w:val="17"/>
              </w:rPr>
              <w:t>98365PRSX004</w:t>
            </w:r>
          </w:p>
        </w:tc>
      </w:tr>
      <w:tr w:rsidR="00CF0E11" w14:paraId="4BF4C16A" w14:textId="77777777" w:rsidTr="00260503">
        <w:tc>
          <w:tcPr>
            <w:tcW w:w="2065" w:type="dxa"/>
          </w:tcPr>
          <w:p w14:paraId="74AABCB6" w14:textId="34A99AD9" w:rsidR="007F284C" w:rsidRDefault="007F284C" w:rsidP="007F284C">
            <w:r>
              <w:t>C6220</w:t>
            </w:r>
          </w:p>
        </w:tc>
        <w:tc>
          <w:tcPr>
            <w:tcW w:w="3690" w:type="dxa"/>
          </w:tcPr>
          <w:p w14:paraId="1282C75A" w14:textId="77777777" w:rsidR="007F284C" w:rsidRDefault="007F284C" w:rsidP="007F284C">
            <w:r>
              <w:t>2400–2500 MHz.</w:t>
            </w:r>
          </w:p>
          <w:p w14:paraId="551682F5" w14:textId="3E2689EF" w:rsidR="007F284C" w:rsidRDefault="007F284C" w:rsidP="007F284C">
            <w:r>
              <w:t>5100–5850 MHz.</w:t>
            </w:r>
          </w:p>
        </w:tc>
        <w:tc>
          <w:tcPr>
            <w:tcW w:w="1077" w:type="dxa"/>
          </w:tcPr>
          <w:p w14:paraId="5BAAE01F" w14:textId="213563C1" w:rsidR="007F284C" w:rsidRDefault="007F284C" w:rsidP="007F284C"/>
        </w:tc>
        <w:tc>
          <w:tcPr>
            <w:tcW w:w="3063" w:type="dxa"/>
          </w:tcPr>
          <w:p w14:paraId="0E934D51" w14:textId="77777777" w:rsidR="007F284C" w:rsidRDefault="007F284C" w:rsidP="007F284C">
            <w:pPr>
              <w:rPr>
                <w:rFonts w:cs="Arial"/>
                <w:color w:val="333333"/>
                <w:sz w:val="17"/>
                <w:szCs w:val="17"/>
              </w:rPr>
            </w:pPr>
            <w:r>
              <w:t xml:space="preserve">Masterwave </w:t>
            </w:r>
            <w:r>
              <w:rPr>
                <w:color w:val="333333"/>
                <w:sz w:val="17"/>
              </w:rPr>
              <w:t>98365PRSX003</w:t>
            </w:r>
          </w:p>
          <w:p w14:paraId="4564ED69" w14:textId="4409C94F" w:rsidR="007F284C" w:rsidRDefault="007F284C" w:rsidP="007F284C">
            <w:r>
              <w:rPr>
                <w:color w:val="333333"/>
                <w:sz w:val="17"/>
              </w:rPr>
              <w:t>98365PRSX004</w:t>
            </w:r>
          </w:p>
        </w:tc>
      </w:tr>
      <w:tr w:rsidR="00CF0E11" w14:paraId="5CEF4F49" w14:textId="77777777" w:rsidTr="00260503">
        <w:tc>
          <w:tcPr>
            <w:tcW w:w="2065" w:type="dxa"/>
          </w:tcPr>
          <w:p w14:paraId="07ACEB69" w14:textId="33EC11AE" w:rsidR="00D76DE3" w:rsidRDefault="00D76DE3" w:rsidP="00D76DE3">
            <w:r>
              <w:t>XR450, XR500</w:t>
            </w:r>
          </w:p>
        </w:tc>
        <w:tc>
          <w:tcPr>
            <w:tcW w:w="3690" w:type="dxa"/>
          </w:tcPr>
          <w:p w14:paraId="24DE65DD" w14:textId="77777777" w:rsidR="00180FB9" w:rsidRDefault="00180FB9" w:rsidP="00180FB9">
            <w:r>
              <w:t>2400–2500 MHz.</w:t>
            </w:r>
          </w:p>
          <w:p w14:paraId="0FCFBDD7" w14:textId="02F68277" w:rsidR="00D76DE3" w:rsidRDefault="00180FB9" w:rsidP="00180FB9">
            <w:r>
              <w:t>5100–5850 MHz.</w:t>
            </w:r>
          </w:p>
        </w:tc>
        <w:tc>
          <w:tcPr>
            <w:tcW w:w="1077" w:type="dxa"/>
          </w:tcPr>
          <w:p w14:paraId="2FB29867" w14:textId="1840A74D" w:rsidR="00F409B7" w:rsidRDefault="00F409B7" w:rsidP="00F409B7"/>
        </w:tc>
        <w:tc>
          <w:tcPr>
            <w:tcW w:w="3063" w:type="dxa"/>
          </w:tcPr>
          <w:p w14:paraId="4DBDCED2" w14:textId="77777777" w:rsidR="00D76DE3" w:rsidRDefault="00F409B7" w:rsidP="00D76DE3">
            <w:pPr>
              <w:rPr>
                <w:rFonts w:cs="Arial"/>
                <w:color w:val="333333"/>
                <w:sz w:val="17"/>
                <w:szCs w:val="17"/>
              </w:rPr>
            </w:pPr>
            <w:r>
              <w:t xml:space="preserve">Masterwave </w:t>
            </w:r>
            <w:r>
              <w:rPr>
                <w:color w:val="333333"/>
                <w:sz w:val="17"/>
              </w:rPr>
              <w:t>98366PRSX000</w:t>
            </w:r>
          </w:p>
          <w:p w14:paraId="21313658" w14:textId="77777777" w:rsidR="00F409B7" w:rsidRDefault="00F409B7" w:rsidP="00D76DE3">
            <w:pPr>
              <w:rPr>
                <w:rFonts w:cs="Arial"/>
                <w:color w:val="333333"/>
                <w:sz w:val="17"/>
                <w:szCs w:val="17"/>
              </w:rPr>
            </w:pPr>
            <w:r>
              <w:rPr>
                <w:color w:val="333333"/>
                <w:sz w:val="17"/>
              </w:rPr>
              <w:t>98366PRSX001</w:t>
            </w:r>
          </w:p>
          <w:p w14:paraId="718D8334" w14:textId="3F2F34FC" w:rsidR="00F409B7" w:rsidRDefault="00F409B7" w:rsidP="00D76DE3">
            <w:r>
              <w:rPr>
                <w:color w:val="333333"/>
                <w:sz w:val="17"/>
              </w:rPr>
              <w:t>98366PRSX002</w:t>
            </w:r>
          </w:p>
        </w:tc>
      </w:tr>
      <w:tr w:rsidR="00CF0E11" w14:paraId="7B0FCBB4" w14:textId="77777777" w:rsidTr="00260503">
        <w:tc>
          <w:tcPr>
            <w:tcW w:w="2065" w:type="dxa"/>
          </w:tcPr>
          <w:p w14:paraId="63C184D9" w14:textId="69B00642" w:rsidR="00180FB9" w:rsidRPr="008350C8" w:rsidRDefault="00C77FC0" w:rsidP="00180FB9">
            <w:bookmarkStart w:id="13" w:name="_Hlk37158303"/>
            <w:r>
              <w:t>RAX42, RAX43, RAX45, RAX48</w:t>
            </w:r>
          </w:p>
        </w:tc>
        <w:tc>
          <w:tcPr>
            <w:tcW w:w="3690" w:type="dxa"/>
          </w:tcPr>
          <w:p w14:paraId="55BD8E1D" w14:textId="77777777" w:rsidR="00180FB9" w:rsidRPr="008350C8" w:rsidRDefault="00180FB9" w:rsidP="00180FB9">
            <w:r>
              <w:t>2400–2500 MHz.</w:t>
            </w:r>
          </w:p>
          <w:p w14:paraId="1212772A" w14:textId="6401CB98" w:rsidR="00180FB9" w:rsidRPr="008350C8" w:rsidRDefault="00180FB9" w:rsidP="00180FB9">
            <w:r>
              <w:t>5100–5850 MHz.</w:t>
            </w:r>
          </w:p>
        </w:tc>
        <w:tc>
          <w:tcPr>
            <w:tcW w:w="1077" w:type="dxa"/>
          </w:tcPr>
          <w:p w14:paraId="6972432C" w14:textId="035EF3B1" w:rsidR="00180FB9" w:rsidRPr="008350C8" w:rsidRDefault="00180FB9" w:rsidP="00180FB9"/>
        </w:tc>
        <w:tc>
          <w:tcPr>
            <w:tcW w:w="3063" w:type="dxa"/>
          </w:tcPr>
          <w:p w14:paraId="0E750BF9" w14:textId="098038E4" w:rsidR="00180FB9" w:rsidRPr="008350C8" w:rsidRDefault="00180FB9" w:rsidP="00180FB9">
            <w:pPr>
              <w:rPr>
                <w:rFonts w:cs="Arial"/>
                <w:color w:val="333333"/>
                <w:sz w:val="17"/>
                <w:szCs w:val="17"/>
              </w:rPr>
            </w:pPr>
            <w:r>
              <w:t xml:space="preserve">Masterwave </w:t>
            </w:r>
            <w:r>
              <w:rPr>
                <w:color w:val="333333"/>
                <w:sz w:val="17"/>
              </w:rPr>
              <w:t>98369PRSX000,</w:t>
            </w:r>
          </w:p>
          <w:p w14:paraId="5F87E2AC" w14:textId="035FDF9B" w:rsidR="00180FB9" w:rsidRPr="008350C8" w:rsidRDefault="00180FB9" w:rsidP="00180FB9">
            <w:r>
              <w:rPr>
                <w:color w:val="333333"/>
                <w:sz w:val="17"/>
              </w:rPr>
              <w:t>98369URSX000, 98369PRSX001</w:t>
            </w:r>
          </w:p>
        </w:tc>
      </w:tr>
      <w:tr w:rsidR="00A03195" w14:paraId="71777BC4" w14:textId="77777777" w:rsidTr="00260503">
        <w:tc>
          <w:tcPr>
            <w:tcW w:w="2065" w:type="dxa"/>
          </w:tcPr>
          <w:p w14:paraId="71BCF967" w14:textId="1ADC6B8A" w:rsidR="00A03195" w:rsidRDefault="00A03195" w:rsidP="00A03195">
            <w:bookmarkStart w:id="14" w:name="_Hlk37144583"/>
            <w:bookmarkEnd w:id="13"/>
            <w:r>
              <w:t>RAX50, RAX50S</w:t>
            </w:r>
          </w:p>
        </w:tc>
        <w:tc>
          <w:tcPr>
            <w:tcW w:w="3690" w:type="dxa"/>
          </w:tcPr>
          <w:p w14:paraId="681CF493" w14:textId="77777777" w:rsidR="00A03195" w:rsidRPr="008350C8" w:rsidRDefault="00A03195" w:rsidP="00A03195">
            <w:r>
              <w:t>2400–2500 MHz.</w:t>
            </w:r>
          </w:p>
          <w:p w14:paraId="79B8E751" w14:textId="39DF992C" w:rsidR="00A03195" w:rsidRDefault="00A03195" w:rsidP="00A03195">
            <w:r>
              <w:t>5100–5850 MHz.</w:t>
            </w:r>
          </w:p>
        </w:tc>
        <w:tc>
          <w:tcPr>
            <w:tcW w:w="1077" w:type="dxa"/>
          </w:tcPr>
          <w:p w14:paraId="458EF4DA" w14:textId="77777777" w:rsidR="00A03195" w:rsidRDefault="00A03195" w:rsidP="00A03195"/>
        </w:tc>
        <w:tc>
          <w:tcPr>
            <w:tcW w:w="3063" w:type="dxa"/>
          </w:tcPr>
          <w:p w14:paraId="52040ACB" w14:textId="77777777" w:rsidR="00A03195" w:rsidRPr="008350C8" w:rsidRDefault="00A03195" w:rsidP="00A03195">
            <w:pPr>
              <w:rPr>
                <w:rFonts w:cs="Arial"/>
                <w:color w:val="333333"/>
                <w:sz w:val="17"/>
                <w:szCs w:val="17"/>
              </w:rPr>
            </w:pPr>
            <w:r>
              <w:t xml:space="preserve">Masterwave </w:t>
            </w:r>
            <w:r>
              <w:rPr>
                <w:color w:val="333333"/>
                <w:sz w:val="17"/>
              </w:rPr>
              <w:t>98369PRSX000,</w:t>
            </w:r>
          </w:p>
          <w:p w14:paraId="185434BA" w14:textId="001EF779" w:rsidR="00A03195" w:rsidRDefault="00A03195" w:rsidP="00A03195">
            <w:r>
              <w:rPr>
                <w:color w:val="333333"/>
                <w:sz w:val="17"/>
              </w:rPr>
              <w:t>98369URSX000, 98369PRSX001</w:t>
            </w:r>
          </w:p>
        </w:tc>
      </w:tr>
      <w:tr w:rsidR="00A03195" w14:paraId="6F00C26C" w14:textId="77777777" w:rsidTr="00260503">
        <w:tc>
          <w:tcPr>
            <w:tcW w:w="2065" w:type="dxa"/>
          </w:tcPr>
          <w:p w14:paraId="0FD3F0E3" w14:textId="77777777" w:rsidR="00A03195" w:rsidRDefault="00A03195" w:rsidP="00A03195"/>
        </w:tc>
        <w:tc>
          <w:tcPr>
            <w:tcW w:w="3690" w:type="dxa"/>
            <w:tcBorders>
              <w:bottom w:val="single" w:sz="4" w:space="0" w:color="auto"/>
            </w:tcBorders>
          </w:tcPr>
          <w:p w14:paraId="50CCF07B" w14:textId="77777777" w:rsidR="00A03195" w:rsidRDefault="00A03195" w:rsidP="00A03195"/>
        </w:tc>
        <w:tc>
          <w:tcPr>
            <w:tcW w:w="1077" w:type="dxa"/>
            <w:tcBorders>
              <w:bottom w:val="single" w:sz="4" w:space="0" w:color="auto"/>
            </w:tcBorders>
          </w:tcPr>
          <w:p w14:paraId="61328B7A" w14:textId="77777777" w:rsidR="00A03195" w:rsidRDefault="00A03195" w:rsidP="00A03195"/>
        </w:tc>
        <w:tc>
          <w:tcPr>
            <w:tcW w:w="3063" w:type="dxa"/>
          </w:tcPr>
          <w:p w14:paraId="6B1DBDA1" w14:textId="77777777" w:rsidR="00A03195" w:rsidRDefault="00A03195" w:rsidP="00A03195"/>
        </w:tc>
      </w:tr>
      <w:bookmarkEnd w:id="14"/>
      <w:tr w:rsidR="00F550FF" w14:paraId="61D0DDBA" w14:textId="77777777" w:rsidTr="00260503">
        <w:tc>
          <w:tcPr>
            <w:tcW w:w="2065" w:type="dxa"/>
          </w:tcPr>
          <w:p w14:paraId="4C92035B" w14:textId="34B2B18C" w:rsidR="00F550FF" w:rsidRDefault="00F550FF" w:rsidP="00F550FF">
            <w:r>
              <w:t>MR1100, MR2100</w:t>
            </w:r>
          </w:p>
        </w:tc>
        <w:tc>
          <w:tcPr>
            <w:tcW w:w="3690" w:type="dxa"/>
            <w:tcBorders>
              <w:bottom w:val="nil"/>
            </w:tcBorders>
          </w:tcPr>
          <w:p w14:paraId="7E45B5C0" w14:textId="4DABE2AF" w:rsidR="00F550FF" w:rsidRDefault="00F550FF" w:rsidP="00F550FF">
            <w:r>
              <w:t>2,4 i 5 GHz</w:t>
            </w:r>
          </w:p>
          <w:p w14:paraId="1897A522" w14:textId="535A848E" w:rsidR="00F550FF" w:rsidRDefault="00F550FF" w:rsidP="00F550FF">
            <w:r>
              <w:t>Pasma WCDMA i LTE</w:t>
            </w:r>
          </w:p>
        </w:tc>
        <w:tc>
          <w:tcPr>
            <w:tcW w:w="1077" w:type="dxa"/>
            <w:tcBorders>
              <w:bottom w:val="nil"/>
            </w:tcBorders>
          </w:tcPr>
          <w:p w14:paraId="0CA6D27C" w14:textId="1A50671E" w:rsidR="00F550FF" w:rsidRDefault="00F550FF" w:rsidP="00F550FF">
            <w:r>
              <w:t>wewnętrzne</w:t>
            </w:r>
          </w:p>
        </w:tc>
        <w:tc>
          <w:tcPr>
            <w:tcW w:w="3063" w:type="dxa"/>
          </w:tcPr>
          <w:p w14:paraId="7487F82D" w14:textId="199625D1" w:rsidR="00F550FF" w:rsidRDefault="00F550FF" w:rsidP="00F550FF">
            <w:r>
              <w:t>Wewnętrzne</w:t>
            </w:r>
          </w:p>
          <w:p w14:paraId="76E59D4F" w14:textId="5BC43F9D" w:rsidR="00F550FF" w:rsidRDefault="00F550FF" w:rsidP="00F550FF">
            <w:r>
              <w:t>Wewnętrzne lub NETGEAR 6000451</w:t>
            </w:r>
          </w:p>
        </w:tc>
      </w:tr>
      <w:tr w:rsidR="00F550FF" w14:paraId="1B8387CE" w14:textId="77777777" w:rsidTr="00260503">
        <w:tc>
          <w:tcPr>
            <w:tcW w:w="2065" w:type="dxa"/>
          </w:tcPr>
          <w:p w14:paraId="6FFB371A" w14:textId="3377DC85" w:rsidR="00F550FF" w:rsidRDefault="00F550FF" w:rsidP="00F550FF">
            <w:r>
              <w:t>XR1000</w:t>
            </w:r>
          </w:p>
        </w:tc>
        <w:tc>
          <w:tcPr>
            <w:tcW w:w="3690" w:type="dxa"/>
          </w:tcPr>
          <w:p w14:paraId="247BFE48" w14:textId="77777777" w:rsidR="00F550FF" w:rsidRPr="008350C8" w:rsidRDefault="00F550FF" w:rsidP="00F550FF">
            <w:r>
              <w:t>2400–2500 MHz.</w:t>
            </w:r>
          </w:p>
          <w:p w14:paraId="137DC501" w14:textId="43D6DCCF" w:rsidR="00F550FF" w:rsidRDefault="00F550FF" w:rsidP="00F550FF">
            <w:r>
              <w:t>5100–5850 MHz.</w:t>
            </w:r>
          </w:p>
        </w:tc>
        <w:tc>
          <w:tcPr>
            <w:tcW w:w="1077" w:type="dxa"/>
          </w:tcPr>
          <w:p w14:paraId="5AFB61D9" w14:textId="77777777" w:rsidR="00F550FF" w:rsidRDefault="00F550FF" w:rsidP="00F550FF"/>
        </w:tc>
        <w:tc>
          <w:tcPr>
            <w:tcW w:w="3063" w:type="dxa"/>
          </w:tcPr>
          <w:p w14:paraId="78E59B4B" w14:textId="3367D605" w:rsidR="00F550FF" w:rsidRDefault="00F550FF" w:rsidP="00F550FF">
            <w:r>
              <w:t>Netgear 400-10088-01, 400-10090-01, 400-10094-01</w:t>
            </w:r>
          </w:p>
        </w:tc>
      </w:tr>
      <w:tr w:rsidR="00F550FF" w14:paraId="185012CB" w14:textId="77777777" w:rsidTr="00260503">
        <w:tc>
          <w:tcPr>
            <w:tcW w:w="2065" w:type="dxa"/>
          </w:tcPr>
          <w:p w14:paraId="1FFDB18B" w14:textId="65869F44" w:rsidR="00F550FF" w:rsidRDefault="00F550FF" w:rsidP="00F550FF">
            <w:r>
              <w:t>MR5100/MR5200</w:t>
            </w:r>
          </w:p>
        </w:tc>
        <w:tc>
          <w:tcPr>
            <w:tcW w:w="3690" w:type="dxa"/>
          </w:tcPr>
          <w:p w14:paraId="20886D8B" w14:textId="7EDC5B0B" w:rsidR="00F550FF" w:rsidRDefault="00F550FF" w:rsidP="00F550FF">
            <w:r>
              <w:t>2,4 i 5 GHz</w:t>
            </w:r>
          </w:p>
          <w:p w14:paraId="46AB1800" w14:textId="57586108" w:rsidR="00F550FF" w:rsidRDefault="00F550FF" w:rsidP="00F550FF">
            <w:r>
              <w:t>Pasma WCDMA, LTE i 5G:</w:t>
            </w:r>
          </w:p>
          <w:p w14:paraId="7F3E1DA8" w14:textId="3B8D14A1" w:rsidR="00F550FF" w:rsidRDefault="00F550FF" w:rsidP="00F550FF">
            <w:r>
              <w:t>B2, B4, B25, B66</w:t>
            </w:r>
          </w:p>
          <w:p w14:paraId="616E4C01" w14:textId="3FB00F82" w:rsidR="00F550FF" w:rsidRDefault="00F550FF" w:rsidP="00F550FF">
            <w:r>
              <w:t>B5, B12, B13, B17, B71</w:t>
            </w:r>
          </w:p>
          <w:p w14:paraId="6290F4D1" w14:textId="5A799F20" w:rsidR="00F550FF" w:rsidRDefault="00F550FF" w:rsidP="00F550FF">
            <w:r>
              <w:t>B7, B30, B38, B41</w:t>
            </w:r>
          </w:p>
        </w:tc>
        <w:tc>
          <w:tcPr>
            <w:tcW w:w="1077" w:type="dxa"/>
          </w:tcPr>
          <w:p w14:paraId="2FD16934" w14:textId="5500417B" w:rsidR="00F550FF" w:rsidRDefault="00F550FF" w:rsidP="00F550FF">
            <w:r>
              <w:t>Wewnętrzne.</w:t>
            </w:r>
          </w:p>
          <w:p w14:paraId="503B82E0" w14:textId="77777777" w:rsidR="00F550FF" w:rsidRDefault="00F550FF" w:rsidP="00F550FF"/>
          <w:p w14:paraId="2C1E238F" w14:textId="77777777" w:rsidR="00F550FF" w:rsidRDefault="00F550FF" w:rsidP="00F550FF">
            <w:r>
              <w:t>-,48, 0,25</w:t>
            </w:r>
          </w:p>
          <w:p w14:paraId="57C35AA2" w14:textId="77777777" w:rsidR="00F550FF" w:rsidRDefault="00F550FF" w:rsidP="00F550FF">
            <w:r>
              <w:t>0,54, 0,48</w:t>
            </w:r>
          </w:p>
          <w:p w14:paraId="6E0CCF2A" w14:textId="06DA8444" w:rsidR="00F550FF" w:rsidRDefault="00F550FF" w:rsidP="00F550FF">
            <w:r>
              <w:t>0,24, 0,28</w:t>
            </w:r>
          </w:p>
        </w:tc>
        <w:tc>
          <w:tcPr>
            <w:tcW w:w="3063" w:type="dxa"/>
          </w:tcPr>
          <w:p w14:paraId="524D8B7D" w14:textId="77777777" w:rsidR="00F550FF" w:rsidRDefault="00F550FF" w:rsidP="00F550FF"/>
          <w:p w14:paraId="7C7464E8" w14:textId="03B46FB1" w:rsidR="00F550FF" w:rsidRDefault="00F550FF" w:rsidP="00F550FF">
            <w:r>
              <w:t>Wewnętrzne</w:t>
            </w:r>
          </w:p>
        </w:tc>
      </w:tr>
      <w:tr w:rsidR="00F550FF" w14:paraId="5A0AC148" w14:textId="77777777" w:rsidTr="00260503">
        <w:tc>
          <w:tcPr>
            <w:tcW w:w="2065" w:type="dxa"/>
          </w:tcPr>
          <w:p w14:paraId="52EDA89F" w14:textId="456C39C4" w:rsidR="00F550FF" w:rsidRDefault="00F550FF" w:rsidP="00F550FF">
            <w:r>
              <w:t>LAX20</w:t>
            </w:r>
          </w:p>
        </w:tc>
        <w:tc>
          <w:tcPr>
            <w:tcW w:w="3690" w:type="dxa"/>
          </w:tcPr>
          <w:p w14:paraId="058B696D" w14:textId="77777777" w:rsidR="00F550FF" w:rsidRDefault="00F550FF" w:rsidP="00F550FF">
            <w:r>
              <w:t>2400–2500 MHz.</w:t>
            </w:r>
          </w:p>
          <w:p w14:paraId="484DC322" w14:textId="77777777" w:rsidR="00F550FF" w:rsidRDefault="00F550FF" w:rsidP="00F550FF">
            <w:r>
              <w:t>5100–5850 MHz.</w:t>
            </w:r>
          </w:p>
          <w:p w14:paraId="026AC26B" w14:textId="3D936805" w:rsidR="00F550FF" w:rsidRDefault="00F550FF" w:rsidP="00F550FF">
            <w:r>
              <w:t>Pasma WCDMA i LTE</w:t>
            </w:r>
          </w:p>
        </w:tc>
        <w:tc>
          <w:tcPr>
            <w:tcW w:w="1077" w:type="dxa"/>
          </w:tcPr>
          <w:p w14:paraId="54B13080" w14:textId="77777777" w:rsidR="00F550FF" w:rsidRDefault="00F550FF" w:rsidP="00F550FF"/>
        </w:tc>
        <w:tc>
          <w:tcPr>
            <w:tcW w:w="3063" w:type="dxa"/>
          </w:tcPr>
          <w:p w14:paraId="6CF25812" w14:textId="77777777" w:rsidR="00F550FF" w:rsidRDefault="00F550FF" w:rsidP="00F550FF">
            <w:r>
              <w:t>Netgear 400-10092-01</w:t>
            </w:r>
          </w:p>
          <w:p w14:paraId="31DC4D9B" w14:textId="77777777" w:rsidR="00F550FF" w:rsidRDefault="00F550FF" w:rsidP="00F550FF">
            <w:r>
              <w:t>Netgear 400-10092-01</w:t>
            </w:r>
          </w:p>
          <w:p w14:paraId="2C9E9018" w14:textId="295DFB24" w:rsidR="00F550FF" w:rsidRDefault="00F550FF" w:rsidP="00F550FF">
            <w:r>
              <w:t>Wewnętrzne</w:t>
            </w:r>
          </w:p>
        </w:tc>
      </w:tr>
      <w:tr w:rsidR="00F550FF" w14:paraId="5D9AA5FB" w14:textId="77777777" w:rsidTr="00260503">
        <w:tc>
          <w:tcPr>
            <w:tcW w:w="2065" w:type="dxa"/>
          </w:tcPr>
          <w:p w14:paraId="69A5DBD1" w14:textId="2370EC96" w:rsidR="00F550FF" w:rsidRDefault="00F550FF" w:rsidP="00F550FF">
            <w:r>
              <w:t>LM1200</w:t>
            </w:r>
          </w:p>
        </w:tc>
        <w:tc>
          <w:tcPr>
            <w:tcW w:w="3690" w:type="dxa"/>
          </w:tcPr>
          <w:p w14:paraId="1CAE7747" w14:textId="77777777" w:rsidR="00F550FF" w:rsidRDefault="00F550FF" w:rsidP="00F550FF">
            <w:r>
              <w:t>600 MHz</w:t>
            </w:r>
          </w:p>
          <w:p w14:paraId="288BAC77" w14:textId="77777777" w:rsidR="00F550FF" w:rsidRDefault="00F550FF" w:rsidP="00F550FF">
            <w:r>
              <w:t>700 MHz</w:t>
            </w:r>
          </w:p>
          <w:p w14:paraId="08751F5D" w14:textId="77777777" w:rsidR="00F550FF" w:rsidRDefault="00F550FF" w:rsidP="00F550FF">
            <w:r>
              <w:t>800 MHz</w:t>
            </w:r>
          </w:p>
          <w:p w14:paraId="07ED480D" w14:textId="77777777" w:rsidR="00F550FF" w:rsidRDefault="00F550FF" w:rsidP="00F550FF">
            <w:r>
              <w:t>1700 MHz</w:t>
            </w:r>
          </w:p>
          <w:p w14:paraId="1AEEDA03" w14:textId="625FD847" w:rsidR="00F550FF" w:rsidRDefault="00F550FF" w:rsidP="00F550FF">
            <w:r>
              <w:t>1800 MHz</w:t>
            </w:r>
          </w:p>
        </w:tc>
        <w:tc>
          <w:tcPr>
            <w:tcW w:w="1077" w:type="dxa"/>
          </w:tcPr>
          <w:p w14:paraId="6B29F60A" w14:textId="77777777" w:rsidR="00F550FF" w:rsidRDefault="00F550FF" w:rsidP="00F550FF">
            <w:r>
              <w:t>8,55</w:t>
            </w:r>
          </w:p>
          <w:p w14:paraId="065E3C7A" w14:textId="77777777" w:rsidR="00F550FF" w:rsidRDefault="00F550FF" w:rsidP="00F550FF">
            <w:r>
              <w:t>8,73</w:t>
            </w:r>
          </w:p>
          <w:p w14:paraId="162D4B54" w14:textId="77777777" w:rsidR="00F550FF" w:rsidRDefault="00F550FF" w:rsidP="00F550FF">
            <w:r>
              <w:t>9,42</w:t>
            </w:r>
          </w:p>
          <w:p w14:paraId="5BDD6AB7" w14:textId="77777777" w:rsidR="00F550FF" w:rsidRDefault="00F550FF" w:rsidP="00F550FF">
            <w:r>
              <w:t>5</w:t>
            </w:r>
          </w:p>
          <w:p w14:paraId="582E6CF2" w14:textId="5853CFF6" w:rsidR="00F550FF" w:rsidRDefault="00F550FF" w:rsidP="00F550FF">
            <w:r>
              <w:t>8</w:t>
            </w:r>
          </w:p>
        </w:tc>
        <w:tc>
          <w:tcPr>
            <w:tcW w:w="3063" w:type="dxa"/>
          </w:tcPr>
          <w:p w14:paraId="0816612D" w14:textId="77777777" w:rsidR="00F550FF" w:rsidRDefault="00F550FF" w:rsidP="00F550FF"/>
        </w:tc>
      </w:tr>
      <w:tr w:rsidR="00F550FF" w14:paraId="68230531" w14:textId="77777777" w:rsidTr="00260503">
        <w:tc>
          <w:tcPr>
            <w:tcW w:w="2065" w:type="dxa"/>
          </w:tcPr>
          <w:p w14:paraId="6907F81F" w14:textId="6DCE3C61" w:rsidR="00F550FF" w:rsidRDefault="00F550FF" w:rsidP="00F550FF">
            <w:r>
              <w:t>NBR750</w:t>
            </w:r>
          </w:p>
        </w:tc>
        <w:tc>
          <w:tcPr>
            <w:tcW w:w="3690" w:type="dxa"/>
          </w:tcPr>
          <w:p w14:paraId="6FE32294" w14:textId="77777777" w:rsidR="00F550FF" w:rsidRDefault="00F550FF" w:rsidP="00F550FF">
            <w:r>
              <w:t>2,4 i 5 GHz</w:t>
            </w:r>
          </w:p>
          <w:p w14:paraId="6CED2B56" w14:textId="4D4CA644" w:rsidR="00F550FF" w:rsidRDefault="00F550FF" w:rsidP="00F550FF">
            <w:r>
              <w:t>Pasma WCDMA, LTE i 5G:</w:t>
            </w:r>
          </w:p>
          <w:p w14:paraId="1673B4CF" w14:textId="43888582" w:rsidR="00F550FF" w:rsidRDefault="00F550FF" w:rsidP="00F550FF">
            <w:r>
              <w:t>663–849</w:t>
            </w:r>
          </w:p>
          <w:p w14:paraId="298F741A" w14:textId="55653280" w:rsidR="00F550FF" w:rsidRDefault="00F550FF" w:rsidP="00F550FF">
            <w:r>
              <w:t>1710–1915</w:t>
            </w:r>
          </w:p>
          <w:p w14:paraId="71C6AB1B" w14:textId="7BC541AB" w:rsidR="00F550FF" w:rsidRDefault="00F550FF" w:rsidP="00F550FF">
            <w:r>
              <w:t>2305–3700</w:t>
            </w:r>
          </w:p>
        </w:tc>
        <w:tc>
          <w:tcPr>
            <w:tcW w:w="1077" w:type="dxa"/>
          </w:tcPr>
          <w:p w14:paraId="01118EA7" w14:textId="34A754E7" w:rsidR="00F550FF" w:rsidRDefault="00F550FF" w:rsidP="00F550FF">
            <w:r>
              <w:t>Wewnętrzne</w:t>
            </w:r>
          </w:p>
          <w:p w14:paraId="509126A6" w14:textId="77777777" w:rsidR="00F550FF" w:rsidRDefault="00F550FF" w:rsidP="00F550FF"/>
          <w:p w14:paraId="63E48ED5" w14:textId="77777777" w:rsidR="00F550FF" w:rsidRDefault="00F550FF" w:rsidP="00F550FF">
            <w:r>
              <w:t>-2,8</w:t>
            </w:r>
          </w:p>
          <w:p w14:paraId="2E1E1BD4" w14:textId="70E387FB" w:rsidR="00F550FF" w:rsidRDefault="00F550FF" w:rsidP="00F550FF">
            <w:r>
              <w:t>-4,0</w:t>
            </w:r>
          </w:p>
          <w:p w14:paraId="6D9F0F96" w14:textId="38B00166" w:rsidR="00F550FF" w:rsidRDefault="00F550FF" w:rsidP="00F550FF">
            <w:r>
              <w:t>-4,53</w:t>
            </w:r>
          </w:p>
        </w:tc>
        <w:tc>
          <w:tcPr>
            <w:tcW w:w="3063" w:type="dxa"/>
          </w:tcPr>
          <w:p w14:paraId="4955D0F4" w14:textId="77777777" w:rsidR="00F550FF" w:rsidRDefault="00F550FF" w:rsidP="00F550FF"/>
          <w:p w14:paraId="0A25D32C" w14:textId="7C3E0351" w:rsidR="00F550FF" w:rsidRDefault="00F550FF" w:rsidP="00F550FF">
            <w:r>
              <w:t>Wewnętrzne</w:t>
            </w:r>
          </w:p>
        </w:tc>
      </w:tr>
      <w:tr w:rsidR="00F550FF" w14:paraId="4985B816" w14:textId="77777777" w:rsidTr="00260503">
        <w:tc>
          <w:tcPr>
            <w:tcW w:w="2065" w:type="dxa"/>
          </w:tcPr>
          <w:p w14:paraId="2C3F6DC9" w14:textId="1FA595D6" w:rsidR="00F550FF" w:rsidRDefault="00F550FF" w:rsidP="00F550FF">
            <w:r>
              <w:t>LBR20</w:t>
            </w:r>
          </w:p>
        </w:tc>
        <w:tc>
          <w:tcPr>
            <w:tcW w:w="3690" w:type="dxa"/>
          </w:tcPr>
          <w:p w14:paraId="39EAF38D" w14:textId="77777777" w:rsidR="00F550FF" w:rsidRDefault="00F550FF" w:rsidP="00F550FF">
            <w:r>
              <w:t>2,4 i 5 GHz</w:t>
            </w:r>
          </w:p>
          <w:p w14:paraId="1863814D" w14:textId="058E2C69" w:rsidR="00F550FF" w:rsidRDefault="00F550FF" w:rsidP="00F550FF">
            <w:r>
              <w:t>Pasma WCDMA i LTE</w:t>
            </w:r>
          </w:p>
        </w:tc>
        <w:tc>
          <w:tcPr>
            <w:tcW w:w="1077" w:type="dxa"/>
          </w:tcPr>
          <w:p w14:paraId="3C64332D" w14:textId="3A4A76DC" w:rsidR="00F550FF" w:rsidRDefault="00F550FF" w:rsidP="00F550FF">
            <w:r>
              <w:t>wewnętrzne</w:t>
            </w:r>
          </w:p>
        </w:tc>
        <w:tc>
          <w:tcPr>
            <w:tcW w:w="3063" w:type="dxa"/>
          </w:tcPr>
          <w:p w14:paraId="55BEB109" w14:textId="77777777" w:rsidR="00F550FF" w:rsidRDefault="00F550FF" w:rsidP="00F550FF">
            <w:r>
              <w:t>Wewnętrzne</w:t>
            </w:r>
          </w:p>
          <w:p w14:paraId="6B0C14C5" w14:textId="0F9A7B51" w:rsidR="00F550FF" w:rsidRDefault="00F550FF" w:rsidP="00F550FF">
            <w:r>
              <w:t>Wewnętrzne lub NETGEAR 6000451</w:t>
            </w:r>
          </w:p>
        </w:tc>
      </w:tr>
      <w:tr w:rsidR="00260503" w14:paraId="66586DFF" w14:textId="77777777" w:rsidTr="00260503">
        <w:tc>
          <w:tcPr>
            <w:tcW w:w="2065" w:type="dxa"/>
          </w:tcPr>
          <w:p w14:paraId="355D9A58" w14:textId="4E61DDC9" w:rsidR="00260503" w:rsidRPr="00E63B27" w:rsidRDefault="00260503" w:rsidP="00260503">
            <w:pPr>
              <w:rPr>
                <w:color w:val="FF0000"/>
              </w:rPr>
            </w:pPr>
            <w:bookmarkStart w:id="15" w:name="_Hlk106972905"/>
            <w:r>
              <w:rPr>
                <w:color w:val="FF0000"/>
              </w:rPr>
              <w:t>MR61XX / MR64XX / MR65XX</w:t>
            </w:r>
          </w:p>
        </w:tc>
        <w:tc>
          <w:tcPr>
            <w:tcW w:w="3690" w:type="dxa"/>
          </w:tcPr>
          <w:p w14:paraId="069B7BC6" w14:textId="1439F11B" w:rsidR="00260503" w:rsidRDefault="00DF24E4" w:rsidP="00260503">
            <w:r>
              <w:rPr>
                <w:rStyle w:val="cf01"/>
              </w:rPr>
              <w:t>2,4 GHz, 5 GHz, 6 GHz</w:t>
            </w:r>
            <w:r w:rsidR="00260503">
              <w:t>Pasma WCDMA, LTE i 5G:</w:t>
            </w:r>
          </w:p>
          <w:p w14:paraId="625A9F6D" w14:textId="7D7D8EAF" w:rsidR="0034553B" w:rsidRDefault="0034553B" w:rsidP="00260503">
            <w:r>
              <w:t>B30 (2305–2312,5 MHz)</w:t>
            </w:r>
          </w:p>
          <w:p w14:paraId="4F7A6DC7" w14:textId="3080144B" w:rsidR="0034553B" w:rsidRDefault="0034553B" w:rsidP="00260503">
            <w:r>
              <w:t>B48 (3552,5–3697,5 MHz)</w:t>
            </w:r>
          </w:p>
          <w:p w14:paraId="7F755109" w14:textId="056A1190" w:rsidR="0034553B" w:rsidRDefault="0034553B" w:rsidP="00260503">
            <w:r>
              <w:t>Wszystkie inne pasma LTE i 5G</w:t>
            </w:r>
          </w:p>
          <w:p w14:paraId="62F6EFBE" w14:textId="6089CDA5" w:rsidR="00620D32" w:rsidRDefault="00620D32" w:rsidP="00260503"/>
        </w:tc>
        <w:tc>
          <w:tcPr>
            <w:tcW w:w="1077" w:type="dxa"/>
          </w:tcPr>
          <w:p w14:paraId="51CFDB2C" w14:textId="77777777" w:rsidR="00260503" w:rsidRDefault="00260503" w:rsidP="00260503">
            <w:r>
              <w:t>Wewnętrzne.</w:t>
            </w:r>
          </w:p>
          <w:p w14:paraId="2E17F68F" w14:textId="2B05662F" w:rsidR="00260503" w:rsidRDefault="00AC1FC9" w:rsidP="00260503">
            <w:r>
              <w:t>Ant1, Ant2</w:t>
            </w:r>
          </w:p>
          <w:p w14:paraId="48CCB446" w14:textId="3CBAA69D" w:rsidR="0034553B" w:rsidRDefault="00AC1FC9" w:rsidP="00260503">
            <w:r>
              <w:t xml:space="preserve">   -   , 1,05</w:t>
            </w:r>
          </w:p>
          <w:p w14:paraId="7EBA3C01" w14:textId="6010F207" w:rsidR="0034553B" w:rsidRDefault="009C2166" w:rsidP="00260503">
            <w:r>
              <w:t>0,17, 0,47</w:t>
            </w:r>
          </w:p>
          <w:p w14:paraId="1FE001FF" w14:textId="19195216" w:rsidR="002B58BB" w:rsidRDefault="00AC1FC9" w:rsidP="00260503">
            <w:r>
              <w:t xml:space="preserve">   4  ,  4</w:t>
            </w:r>
          </w:p>
          <w:p w14:paraId="36583AB2" w14:textId="0A474958" w:rsidR="00F21D50" w:rsidRDefault="00F21D50"/>
        </w:tc>
        <w:tc>
          <w:tcPr>
            <w:tcW w:w="3063" w:type="dxa"/>
          </w:tcPr>
          <w:p w14:paraId="2A0E9E7C" w14:textId="77777777" w:rsidR="00260503" w:rsidRDefault="00260503" w:rsidP="00260503"/>
          <w:p w14:paraId="71D07D00" w14:textId="0DE2BE09" w:rsidR="00260503" w:rsidRDefault="00260503" w:rsidP="00260503">
            <w:r>
              <w:t>Wewnętrzne</w:t>
            </w:r>
          </w:p>
        </w:tc>
      </w:tr>
      <w:tr w:rsidR="00260503" w14:paraId="354C974B" w14:textId="77777777" w:rsidTr="00260503">
        <w:tc>
          <w:tcPr>
            <w:tcW w:w="2065" w:type="dxa"/>
          </w:tcPr>
          <w:p w14:paraId="60011B86" w14:textId="57105735" w:rsidR="00260503" w:rsidRPr="00E63B27" w:rsidRDefault="00260503" w:rsidP="00F550FF">
            <w:pPr>
              <w:rPr>
                <w:color w:val="FF0000"/>
              </w:rPr>
            </w:pPr>
          </w:p>
        </w:tc>
        <w:tc>
          <w:tcPr>
            <w:tcW w:w="3690" w:type="dxa"/>
          </w:tcPr>
          <w:p w14:paraId="2589DB1E" w14:textId="66ADDCA5" w:rsidR="00315237" w:rsidRDefault="00315237" w:rsidP="00F550FF"/>
        </w:tc>
        <w:tc>
          <w:tcPr>
            <w:tcW w:w="1077" w:type="dxa"/>
          </w:tcPr>
          <w:p w14:paraId="34A7D5E8" w14:textId="0D2EDCF6" w:rsidR="00315237" w:rsidRDefault="00315237" w:rsidP="00F550FF"/>
        </w:tc>
        <w:tc>
          <w:tcPr>
            <w:tcW w:w="3063" w:type="dxa"/>
          </w:tcPr>
          <w:p w14:paraId="25C5EE1D" w14:textId="77777777" w:rsidR="00260503" w:rsidRDefault="00260503" w:rsidP="00F550FF"/>
        </w:tc>
      </w:tr>
    </w:tbl>
    <w:p w14:paraId="32307509" w14:textId="2D34DF45" w:rsidR="004E534D" w:rsidRPr="004E534D" w:rsidRDefault="00086ECA" w:rsidP="00481C42">
      <w:pPr>
        <w:pStyle w:val="Heading1"/>
      </w:pPr>
      <w:bookmarkStart w:id="16" w:name="_Toc118886369"/>
      <w:bookmarkEnd w:id="15"/>
      <w:r>
        <w:t>Wymagania prawne dotyczące eksploatacji w Europie (GB, UK i UE)</w:t>
      </w:r>
      <w:bookmarkEnd w:id="16"/>
    </w:p>
    <w:p w14:paraId="0806BB9B" w14:textId="5326F58B" w:rsidR="00AC23E2" w:rsidRDefault="00AC23E2" w:rsidP="004E534D">
      <w:pPr>
        <w:spacing w:line="240" w:lineRule="auto"/>
        <w:rPr>
          <w:rFonts w:cs="Arial"/>
        </w:rPr>
      </w:pPr>
      <w:r>
        <w:t>Niniejsza sekcja dotyczy produktów oznaczonych znakiem CE i/lub znakiem UKCA:</w:t>
      </w:r>
    </w:p>
    <w:p w14:paraId="0557DAEA" w14:textId="2DB31AB2" w:rsidR="00AC23E2" w:rsidRDefault="00AC23E2" w:rsidP="004E534D">
      <w:pPr>
        <w:spacing w:line="240" w:lineRule="auto"/>
        <w:rPr>
          <w:rFonts w:cs="Arial"/>
        </w:rPr>
      </w:pPr>
      <w:r>
        <w:rPr>
          <w:noProof/>
        </w:rPr>
        <w:drawing>
          <wp:inline distT="0" distB="0" distL="0" distR="0" wp14:anchorId="64BECF13" wp14:editId="581FB314">
            <wp:extent cx="323850" cy="222595"/>
            <wp:effectExtent l="0" t="0" r="0" b="6350"/>
            <wp:docPr id="2" name="Picture 2" descr="V:\Engineering\TechnicalPublications\4TechPubs\Templates\Manuals FM-10\Manuals_FM10_5April13\FrameSrc\Images\ImgSrc\CE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gineering\TechnicalPublications\4TechPubs\Templates\Manuals FM-10\Manuals_FM10_5April13\FrameSrc\Images\ImgSrc\CE_Mar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461" cy="227139"/>
                    </a:xfrm>
                    <a:prstGeom prst="rect">
                      <a:avLst/>
                    </a:prstGeom>
                    <a:noFill/>
                    <a:ln>
                      <a:noFill/>
                    </a:ln>
                  </pic:spPr>
                </pic:pic>
              </a:graphicData>
            </a:graphic>
          </wp:inline>
        </w:drawing>
      </w:r>
      <w:r>
        <w:t xml:space="preserve">          </w:t>
      </w:r>
      <w:r>
        <w:rPr>
          <w:noProof/>
        </w:rPr>
        <w:drawing>
          <wp:inline distT="0" distB="0" distL="0" distR="0" wp14:anchorId="4B13EE9D" wp14:editId="6938FDAA">
            <wp:extent cx="238125" cy="237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CA black fill.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805" cy="250564"/>
                    </a:xfrm>
                    <a:prstGeom prst="rect">
                      <a:avLst/>
                    </a:prstGeom>
                  </pic:spPr>
                </pic:pic>
              </a:graphicData>
            </a:graphic>
          </wp:inline>
        </w:drawing>
      </w:r>
      <w:r>
        <w:t xml:space="preserve">         </w:t>
      </w:r>
    </w:p>
    <w:p w14:paraId="1675FFED" w14:textId="77777777" w:rsidR="004E534D" w:rsidRPr="004E534D" w:rsidRDefault="004E534D" w:rsidP="004E534D">
      <w:pPr>
        <w:spacing w:line="240" w:lineRule="auto"/>
        <w:rPr>
          <w:rFonts w:cs="Arial"/>
        </w:rPr>
      </w:pPr>
      <w:r>
        <w:t>Produkty opatrzone znakiem CE są zgodne z następującymi dyrektywami UE:</w:t>
      </w:r>
    </w:p>
    <w:p w14:paraId="47E7F46C" w14:textId="77777777" w:rsidR="00086ECA" w:rsidRDefault="00086ECA" w:rsidP="00086ECA">
      <w:pPr>
        <w:pStyle w:val="ListParagraph"/>
        <w:numPr>
          <w:ilvl w:val="0"/>
          <w:numId w:val="11"/>
        </w:numPr>
        <w:spacing w:line="240" w:lineRule="auto"/>
        <w:rPr>
          <w:rFonts w:cs="Arial"/>
        </w:rPr>
      </w:pPr>
      <w:r>
        <w:t>Dyrektywa w sprawie ekoprojektu 2009/125/WE</w:t>
      </w:r>
    </w:p>
    <w:p w14:paraId="2898BE75" w14:textId="77777777" w:rsidR="00086ECA" w:rsidRDefault="00086ECA" w:rsidP="00086ECA">
      <w:pPr>
        <w:pStyle w:val="ListParagraph"/>
        <w:numPr>
          <w:ilvl w:val="0"/>
          <w:numId w:val="11"/>
        </w:numPr>
        <w:spacing w:after="60" w:line="240" w:lineRule="auto"/>
        <w:rPr>
          <w:rFonts w:cs="Arial"/>
        </w:rPr>
      </w:pPr>
      <w:r>
        <w:t>Dyrektywa RoHS 2011/65/UE</w:t>
      </w:r>
    </w:p>
    <w:p w14:paraId="06CF6593" w14:textId="77777777" w:rsidR="00086ECA" w:rsidRPr="00086ECA" w:rsidRDefault="00086ECA" w:rsidP="00086ECA">
      <w:pPr>
        <w:spacing w:after="0" w:line="240" w:lineRule="auto"/>
        <w:ind w:left="360"/>
        <w:rPr>
          <w:rFonts w:cs="Arial"/>
        </w:rPr>
      </w:pPr>
      <w:r>
        <w:t>Dla urządzeń nieradiowych:</w:t>
      </w:r>
    </w:p>
    <w:p w14:paraId="5D786E6D" w14:textId="77777777" w:rsidR="004E534D" w:rsidRPr="004E534D" w:rsidRDefault="00594E54" w:rsidP="004E534D">
      <w:pPr>
        <w:pStyle w:val="ListParagraph"/>
        <w:numPr>
          <w:ilvl w:val="0"/>
          <w:numId w:val="11"/>
        </w:numPr>
        <w:spacing w:line="240" w:lineRule="auto"/>
        <w:rPr>
          <w:rFonts w:cs="Arial"/>
        </w:rPr>
      </w:pPr>
      <w:r>
        <w:t>Dyrektywa EMC 2014/30/UE</w:t>
      </w:r>
    </w:p>
    <w:p w14:paraId="70312403" w14:textId="77777777" w:rsidR="004E534D" w:rsidRDefault="004E534D" w:rsidP="00086ECA">
      <w:pPr>
        <w:pStyle w:val="ListParagraph"/>
        <w:numPr>
          <w:ilvl w:val="0"/>
          <w:numId w:val="11"/>
        </w:numPr>
        <w:spacing w:after="60" w:line="240" w:lineRule="auto"/>
        <w:rPr>
          <w:rFonts w:cs="Arial"/>
        </w:rPr>
      </w:pPr>
      <w:r>
        <w:t>Dyrektywa niskonapięciowa 2014/35/UE</w:t>
      </w:r>
    </w:p>
    <w:p w14:paraId="283F6DD1" w14:textId="77777777" w:rsidR="00086ECA" w:rsidRPr="00086ECA" w:rsidRDefault="00086ECA" w:rsidP="00086ECA">
      <w:pPr>
        <w:spacing w:after="0" w:line="240" w:lineRule="auto"/>
        <w:ind w:left="360"/>
        <w:rPr>
          <w:rFonts w:cs="Arial"/>
        </w:rPr>
      </w:pPr>
      <w:r>
        <w:t>W przypadku urządzeń radiowych:</w:t>
      </w:r>
    </w:p>
    <w:p w14:paraId="2464C5F7" w14:textId="77777777" w:rsidR="00631365" w:rsidRDefault="00631365" w:rsidP="004E534D">
      <w:pPr>
        <w:pStyle w:val="ListParagraph"/>
        <w:numPr>
          <w:ilvl w:val="0"/>
          <w:numId w:val="11"/>
        </w:numPr>
        <w:spacing w:line="240" w:lineRule="auto"/>
        <w:rPr>
          <w:rFonts w:cs="Arial"/>
        </w:rPr>
      </w:pPr>
      <w:r>
        <w:t>Dyrektywa w sprawie urządzeń radiowych 2014/53/UE (RED)</w:t>
      </w:r>
    </w:p>
    <w:p w14:paraId="490B62CE" w14:textId="6F99AAA2" w:rsidR="004E534D" w:rsidRDefault="004E534D" w:rsidP="004E534D">
      <w:pPr>
        <w:rPr>
          <w:rFonts w:cs="Arial"/>
        </w:rPr>
      </w:pPr>
      <w:r>
        <w:t xml:space="preserve">Zgodność z tymi dyrektywami oznacza zgodność ze zharmonizowanymi normami europejskimi, które są odnotowane w Deklaracji Zgodności UE. Deklarację zgodności CE UE można znaleźć pod adresem </w:t>
      </w:r>
      <w:hyperlink r:id="rId17" w:history="1">
        <w:r>
          <w:rPr>
            <w:rStyle w:val="Hyperlink"/>
          </w:rPr>
          <w:t>http://support.netgear.com/app/answers/detail/a_id/11621/</w:t>
        </w:r>
      </w:hyperlink>
      <w:r>
        <w:t>.</w:t>
      </w:r>
    </w:p>
    <w:p w14:paraId="0C2C461C" w14:textId="23454CDD" w:rsidR="000A4825" w:rsidRDefault="000A4825" w:rsidP="000A4825">
      <w:pPr>
        <w:spacing w:line="240" w:lineRule="auto"/>
        <w:rPr>
          <w:rFonts w:cs="Arial"/>
        </w:rPr>
      </w:pPr>
      <w:r>
        <w:t>Produkty opatrzone znakiem UKCA są zgodne z przepisami UK Statutory Instruments i odpowiednimi wyznaczonymi normami, jak wskazano w Deklaracji Zgodności UKCA. Deklarację zgodności UKCA można znaleźć pod adresem:</w:t>
      </w:r>
    </w:p>
    <w:p w14:paraId="34A28F2E" w14:textId="66A882B6" w:rsidR="000A4825" w:rsidRPr="004E534D" w:rsidRDefault="005F0D70" w:rsidP="000A4825">
      <w:pPr>
        <w:spacing w:line="240" w:lineRule="auto"/>
        <w:rPr>
          <w:rFonts w:cs="Arial"/>
        </w:rPr>
      </w:pPr>
      <w:hyperlink r:id="rId18" w:history="1">
        <w:r w:rsidR="00E63B27">
          <w:rPr>
            <w:color w:val="0563C1"/>
            <w:u w:val="single"/>
          </w:rPr>
          <w:t>https://kb.netgear.com/000062897/UKCA-Declarations-of-Conformity</w:t>
        </w:r>
      </w:hyperlink>
    </w:p>
    <w:p w14:paraId="54DA5D04" w14:textId="77777777" w:rsidR="000C0C1B" w:rsidRDefault="000C0C1B" w:rsidP="0060535B">
      <w:pPr>
        <w:pStyle w:val="Heading2"/>
      </w:pPr>
      <w:bookmarkStart w:id="17" w:name="_Toc118886370"/>
      <w:r>
        <w:t>Zgodność z dyrektywą 2014/53/UE dotyczącą sprzętu radiowego (RED)</w:t>
      </w:r>
      <w:bookmarkEnd w:id="17"/>
    </w:p>
    <w:p w14:paraId="2651449F" w14:textId="247618D8" w:rsidR="00944A3B" w:rsidRDefault="00B76660" w:rsidP="004E534D">
      <w:pPr>
        <w:rPr>
          <w:rFonts w:cs="Arial"/>
        </w:rPr>
      </w:pPr>
      <w:r>
        <w:t xml:space="preserve">Produkty NETGEAR z oznakowaniem CE spełniają wymagania art. 10 ust. 2, ponieważ mogą być użytkowane w co najmniej jednym państwie członkowskim, które zostało zbadane. </w:t>
      </w:r>
    </w:p>
    <w:p w14:paraId="16C23CF7" w14:textId="1EB1C1AB" w:rsidR="00B76660" w:rsidRDefault="00944A3B" w:rsidP="004E534D">
      <w:pPr>
        <w:rPr>
          <w:rFonts w:cs="Arial"/>
        </w:rPr>
      </w:pPr>
      <w:r>
        <w:t>Zgodnie z artykułem 10(10) produkty NETGEAR, na których opakowaniu znajduje się następujący piktogram, oznaczają, że to urządzenie podlega opisanym poniżej ograniczeniom w przedstawionych krajach:</w:t>
      </w:r>
    </w:p>
    <w:p w14:paraId="34A981DC" w14:textId="77B738A4" w:rsidR="00944A3B" w:rsidRDefault="001F2CF2" w:rsidP="008E0AE0">
      <w:pPr>
        <w:rPr>
          <w:rFonts w:cs="Arial"/>
        </w:rPr>
      </w:pPr>
      <w:r>
        <w:rPr>
          <w:noProof/>
        </w:rPr>
        <w:drawing>
          <wp:inline distT="0" distB="0" distL="0" distR="0" wp14:anchorId="4112DDF7" wp14:editId="4A21484B">
            <wp:extent cx="1778091" cy="75568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ogram.PNG"/>
                    <pic:cNvPicPr/>
                  </pic:nvPicPr>
                  <pic:blipFill>
                    <a:blip r:embed="rId19">
                      <a:extLst>
                        <a:ext uri="{28A0092B-C50C-407E-A947-70E740481C1C}">
                          <a14:useLocalDpi xmlns:a14="http://schemas.microsoft.com/office/drawing/2010/main" val="0"/>
                        </a:ext>
                      </a:extLst>
                    </a:blip>
                    <a:stretch>
                      <a:fillRect/>
                    </a:stretch>
                  </pic:blipFill>
                  <pic:spPr>
                    <a:xfrm>
                      <a:off x="0" y="0"/>
                      <a:ext cx="1778091" cy="755689"/>
                    </a:xfrm>
                    <a:prstGeom prst="rect">
                      <a:avLst/>
                    </a:prstGeom>
                  </pic:spPr>
                </pic:pic>
              </a:graphicData>
            </a:graphic>
          </wp:inline>
        </w:drawing>
      </w:r>
    </w:p>
    <w:p w14:paraId="15F5F37E" w14:textId="77777777" w:rsidR="00683FD5" w:rsidRPr="000E6B64" w:rsidRDefault="00683FD5" w:rsidP="000E6B64">
      <w:pPr>
        <w:pStyle w:val="ListParagraph"/>
        <w:numPr>
          <w:ilvl w:val="0"/>
          <w:numId w:val="11"/>
        </w:numPr>
        <w:spacing w:after="80" w:line="240" w:lineRule="auto"/>
        <w:contextualSpacing w:val="0"/>
      </w:pPr>
      <w:r>
        <w:t>Urządzenie może być używane wyłącznie wewnątrz pomieszczeń, gdy pracuje w zakresach częstotliwości:</w:t>
      </w:r>
    </w:p>
    <w:p w14:paraId="178AF14F" w14:textId="77777777" w:rsidR="00683FD5" w:rsidRPr="000E6B64" w:rsidRDefault="00683FD5" w:rsidP="000E6B64">
      <w:pPr>
        <w:pStyle w:val="ListParagraph"/>
        <w:spacing w:after="0" w:line="240" w:lineRule="auto"/>
        <w:contextualSpacing w:val="0"/>
      </w:pPr>
      <w:r>
        <w:t>Od 5150 do 5350 MHz</w:t>
      </w:r>
    </w:p>
    <w:p w14:paraId="48581095" w14:textId="6C73678A" w:rsidR="00683FD5" w:rsidRDefault="00683FD5" w:rsidP="000E6B64">
      <w:pPr>
        <w:pStyle w:val="ListParagraph"/>
        <w:spacing w:after="80" w:line="240" w:lineRule="auto"/>
        <w:contextualSpacing w:val="0"/>
      </w:pPr>
      <w:r>
        <w:t>Od 5945 do 6425 MHz.</w:t>
      </w:r>
    </w:p>
    <w:p w14:paraId="249ADA6A" w14:textId="77777777" w:rsidR="00BB2455" w:rsidRDefault="00BB2455" w:rsidP="00BB2455">
      <w:pPr>
        <w:pStyle w:val="ListParagraph"/>
        <w:spacing w:after="80" w:line="240" w:lineRule="auto"/>
        <w:contextualSpacing w:val="0"/>
      </w:pPr>
      <w:r>
        <w:t>(MR61XX, MR64XX i MR65XX nie są ograniczone do pracy w pomieszczeniach)</w:t>
      </w:r>
    </w:p>
    <w:p w14:paraId="2257FD3D" w14:textId="77777777" w:rsidR="00BB2455" w:rsidRDefault="00BB2455" w:rsidP="000E6B64">
      <w:pPr>
        <w:pStyle w:val="ListParagraph"/>
        <w:spacing w:after="80" w:line="240" w:lineRule="auto"/>
        <w:contextualSpacing w:val="0"/>
      </w:pPr>
    </w:p>
    <w:p w14:paraId="64777D0B" w14:textId="21B367B8" w:rsidR="0052671E" w:rsidRDefault="0052671E">
      <w:pPr>
        <w:pStyle w:val="ListParagraph"/>
        <w:numPr>
          <w:ilvl w:val="0"/>
          <w:numId w:val="11"/>
        </w:numPr>
        <w:spacing w:after="80" w:line="240" w:lineRule="auto"/>
        <w:contextualSpacing w:val="0"/>
      </w:pPr>
      <w:r>
        <w:t xml:space="preserve">Eksploatacja w zakresie częstotliwości 5945–6425 MHz nie jest dozwolona w krajach UE i EFTA przed grudniem 2021 r., z wyjątkiem CY, CZ, DE, FR, SI, NO i UK (NI). </w:t>
      </w:r>
    </w:p>
    <w:p w14:paraId="0B719C94" w14:textId="0FE969BE" w:rsidR="00643CD4" w:rsidRDefault="00EB1502">
      <w:pPr>
        <w:pStyle w:val="ListParagraph"/>
        <w:numPr>
          <w:ilvl w:val="0"/>
          <w:numId w:val="11"/>
        </w:numPr>
        <w:spacing w:after="80" w:line="240" w:lineRule="auto"/>
        <w:contextualSpacing w:val="0"/>
      </w:pPr>
      <w:r>
        <w:t>Urządzenia o częstotliwości 5945–6425 MHz są dozwolone w Belgii od października 2021 r. na podstawie reżimu autoryzacji, dopóki dekret królewski nie zostanie zaktualizowany, aby uczynić ten zakres częstotliwości zwolnionym lub nielicencjonowanym. Każda lokalizacja, w której znajdują się urządzenia, wymaga licencji ogólnej, szczegóły w BIPT. Dodatkowe odnośniki:</w:t>
      </w:r>
    </w:p>
    <w:p w14:paraId="753CA84C" w14:textId="7291E507" w:rsidR="00EB1502" w:rsidRDefault="005F0D70" w:rsidP="00EB1502">
      <w:pPr>
        <w:pStyle w:val="ListParagraph"/>
        <w:numPr>
          <w:ilvl w:val="1"/>
          <w:numId w:val="11"/>
        </w:numPr>
        <w:spacing w:after="80" w:line="240" w:lineRule="auto"/>
        <w:contextualSpacing w:val="0"/>
      </w:pPr>
      <w:hyperlink r:id="rId20" w:history="1">
        <w:r w:rsidR="00E63B27">
          <w:rPr>
            <w:rStyle w:val="Hyperlink"/>
          </w:rPr>
          <w:t>https://www.bipt.be/consumers/free-use-of-radio</w:t>
        </w:r>
      </w:hyperlink>
    </w:p>
    <w:p w14:paraId="6739C049" w14:textId="0A4D9E47" w:rsidR="00EB1502" w:rsidRDefault="005F0D70" w:rsidP="000E6B64">
      <w:pPr>
        <w:pStyle w:val="ListParagraph"/>
        <w:numPr>
          <w:ilvl w:val="1"/>
          <w:numId w:val="11"/>
        </w:numPr>
        <w:spacing w:after="80" w:line="240" w:lineRule="auto"/>
        <w:contextualSpacing w:val="0"/>
      </w:pPr>
      <w:hyperlink r:id="rId21" w:history="1">
        <w:r w:rsidR="00E63B27">
          <w:rPr>
            <w:rStyle w:val="Hyperlink"/>
          </w:rPr>
          <w:t>https://www.bipt.be/operators/general-holders-licences</w:t>
        </w:r>
      </w:hyperlink>
    </w:p>
    <w:p w14:paraId="4B04E5F0" w14:textId="77777777" w:rsidR="00683FD5" w:rsidRPr="004E534D" w:rsidRDefault="00683FD5" w:rsidP="007000CC">
      <w:pPr>
        <w:spacing w:after="0"/>
      </w:pPr>
    </w:p>
    <w:p w14:paraId="077F017B" w14:textId="77777777" w:rsidR="00A81D71" w:rsidRDefault="00A81D71" w:rsidP="007000CC">
      <w:pPr>
        <w:pStyle w:val="Heading3"/>
      </w:pPr>
      <w:bookmarkStart w:id="18" w:name="_Toc118886371"/>
      <w:r>
        <w:t>Wytyczne dotyczące narażenia na częstotliwości radiowe</w:t>
      </w:r>
      <w:bookmarkEnd w:id="18"/>
    </w:p>
    <w:p w14:paraId="2E688860" w14:textId="18E71016" w:rsidR="00A81D71" w:rsidRDefault="00A81D71" w:rsidP="0060535B">
      <w:pPr>
        <w:spacing w:before="80" w:after="80"/>
        <w:jc w:val="both"/>
        <w:rPr>
          <w:highlight w:val="yellow"/>
        </w:rPr>
      </w:pPr>
      <w:r>
        <w:t>W przypadku urządzeń innych niż mobilne hotspoty i modemy USB, aby spełnić warunki maksymalnego dopuszczalnego poziomu ekspozycji (ang. Maximum Permissible Exposure, MPE), należy zapewnić co najmniej 20 cm odstępu pomiędzy urządzeniem bezprzewodowym NETGEAR a ciałem użytkownika. Więcej informacji na ten temat można znaleźć w rozdziale Narażenie na promieniowanie radiowe:</w:t>
      </w:r>
    </w:p>
    <w:p w14:paraId="18D51646" w14:textId="2DD10BBC" w:rsidR="008350C8" w:rsidRDefault="005F0D70" w:rsidP="008350C8">
      <w:hyperlink r:id="rId22" w:history="1">
        <w:r w:rsidR="00E63B27">
          <w:rPr>
            <w:rStyle w:val="Hyperlink"/>
          </w:rPr>
          <w:t>https://www.netgear.com/about/regulatory/</w:t>
        </w:r>
      </w:hyperlink>
    </w:p>
    <w:p w14:paraId="11C541B8" w14:textId="5CDCE30B" w:rsidR="00711C6D" w:rsidRDefault="00711C6D" w:rsidP="00631365">
      <w:r>
        <w:t>Zgodnie z artykułem 10.8 (a) i 10.8 (b) dyrektywy RED w poniższej tabeli przedstawiono informacje dotyczące wykorzystywanych pasm częstotliwości i maksymalnej mocy nadawania częstotliwości radiowych przez sprzęt bezprzewodowy firmy NETGEAR sprzedawany na terenie UE:</w:t>
      </w:r>
    </w:p>
    <w:p w14:paraId="5776E1F8" w14:textId="77777777" w:rsidR="003B3E0A" w:rsidRPr="003B3E0A" w:rsidRDefault="003B3E0A" w:rsidP="0037608F">
      <w:pPr>
        <w:rPr>
          <w:i/>
        </w:rPr>
      </w:pPr>
      <w:r>
        <w:rPr>
          <w:i/>
        </w:rPr>
        <w:t>WiFi</w:t>
      </w:r>
    </w:p>
    <w:tbl>
      <w:tblPr>
        <w:tblW w:w="0" w:type="auto"/>
        <w:tblCellMar>
          <w:left w:w="0" w:type="dxa"/>
          <w:right w:w="0" w:type="dxa"/>
        </w:tblCellMar>
        <w:tblLook w:val="04A0" w:firstRow="1" w:lastRow="0" w:firstColumn="1" w:lastColumn="0" w:noHBand="0" w:noVBand="1"/>
      </w:tblPr>
      <w:tblGrid>
        <w:gridCol w:w="2496"/>
        <w:gridCol w:w="1671"/>
        <w:gridCol w:w="3299"/>
      </w:tblGrid>
      <w:tr w:rsidR="00711C6D" w:rsidRPr="00711C6D" w14:paraId="29CABE01" w14:textId="77777777" w:rsidTr="00711C6D">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C7D4CB" w14:textId="77777777" w:rsidR="00711C6D" w:rsidRPr="00711C6D" w:rsidRDefault="00711C6D">
            <w:pPr>
              <w:rPr>
                <w:rFonts w:ascii="Calibri" w:hAnsi="Calibri"/>
                <w:b/>
                <w:sz w:val="22"/>
              </w:rPr>
            </w:pPr>
            <w:r>
              <w:rPr>
                <w:b/>
              </w:rPr>
              <w:t>Zakres częstotliwości (MHz)</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B203A" w14:textId="77777777" w:rsidR="00711C6D" w:rsidRPr="00711C6D" w:rsidRDefault="00711C6D">
            <w:pPr>
              <w:rPr>
                <w:b/>
              </w:rPr>
            </w:pPr>
            <w:r>
              <w:rPr>
                <w:b/>
              </w:rPr>
              <w:t>Wykorzystywane kanały</w:t>
            </w: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0188D" w14:textId="77777777" w:rsidR="00711C6D" w:rsidRPr="00711C6D" w:rsidRDefault="00711C6D">
            <w:pPr>
              <w:rPr>
                <w:b/>
              </w:rPr>
            </w:pPr>
            <w:r>
              <w:rPr>
                <w:b/>
              </w:rPr>
              <w:t>Maksymalna moc transmisji (dBm/mW)</w:t>
            </w:r>
          </w:p>
        </w:tc>
      </w:tr>
      <w:tr w:rsidR="00711C6D" w14:paraId="78B5A328"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7EB9A" w14:textId="77777777" w:rsidR="00711C6D" w:rsidRDefault="00711C6D" w:rsidP="00711C6D">
            <w:pPr>
              <w:spacing w:after="0"/>
            </w:pPr>
            <w:r>
              <w:t>2400–2483,5</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1946587A" w14:textId="77777777" w:rsidR="00711C6D" w:rsidRDefault="00711C6D" w:rsidP="00711C6D">
            <w:pPr>
              <w:spacing w:after="0"/>
            </w:pPr>
            <w:r>
              <w:t>1–13</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3ABCF884" w14:textId="77777777" w:rsidR="00711C6D" w:rsidRDefault="00711C6D" w:rsidP="00711C6D">
            <w:pPr>
              <w:spacing w:after="0"/>
            </w:pPr>
            <w:r>
              <w:t>ODFM: 19,9 dBm (97,7 mW)</w:t>
            </w:r>
          </w:p>
          <w:p w14:paraId="7E96C2A1" w14:textId="77777777" w:rsidR="00711C6D" w:rsidRDefault="00711C6D" w:rsidP="00711C6D">
            <w:pPr>
              <w:spacing w:after="0"/>
            </w:pPr>
            <w:r>
              <w:t>CCK: 17,9 dBm (61,7 mW)</w:t>
            </w:r>
          </w:p>
        </w:tc>
      </w:tr>
      <w:tr w:rsidR="00711C6D" w14:paraId="5FBD2AA8"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11B5B" w14:textId="77777777" w:rsidR="00711C6D" w:rsidRDefault="00711C6D" w:rsidP="00711C6D">
            <w:pPr>
              <w:spacing w:after="0"/>
            </w:pPr>
            <w:r>
              <w:t>5150–5250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3BC36C91" w14:textId="77777777" w:rsidR="00711C6D" w:rsidRDefault="00711C6D" w:rsidP="00711C6D">
            <w:pPr>
              <w:spacing w:after="0"/>
            </w:pPr>
            <w:r>
              <w:t>36–48</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5328CFEA" w14:textId="77777777" w:rsidR="00711C6D" w:rsidRDefault="00711C6D" w:rsidP="00711C6D">
            <w:pPr>
              <w:spacing w:after="0"/>
            </w:pPr>
            <w:r>
              <w:t>22,9 dBm (195 mW)</w:t>
            </w:r>
          </w:p>
        </w:tc>
      </w:tr>
      <w:tr w:rsidR="00711C6D" w14:paraId="2028A40D"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A6963" w14:textId="77777777" w:rsidR="00711C6D" w:rsidRDefault="00711C6D" w:rsidP="00711C6D">
            <w:pPr>
              <w:spacing w:after="0"/>
            </w:pPr>
            <w:r>
              <w:t>5250–5350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4B49EC8E" w14:textId="77777777" w:rsidR="00711C6D" w:rsidRDefault="00711C6D" w:rsidP="00711C6D">
            <w:pPr>
              <w:spacing w:after="0"/>
            </w:pPr>
            <w:r>
              <w:t>52–64</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6E04EB82" w14:textId="77777777" w:rsidR="00711C6D" w:rsidRDefault="00711C6D" w:rsidP="00711C6D">
            <w:pPr>
              <w:spacing w:after="0"/>
            </w:pPr>
            <w:r>
              <w:t>22,9 dBm (195 mW) z TPC</w:t>
            </w:r>
          </w:p>
          <w:p w14:paraId="4DCBD7F5" w14:textId="77777777" w:rsidR="00711C6D" w:rsidRDefault="00711C6D" w:rsidP="00711C6D">
            <w:pPr>
              <w:spacing w:after="0"/>
            </w:pPr>
            <w:r>
              <w:t>19,9 dBm (97,7 mW) bez TPC</w:t>
            </w:r>
          </w:p>
        </w:tc>
      </w:tr>
      <w:tr w:rsidR="00711C6D" w14:paraId="3C7A7DB4" w14:textId="77777777" w:rsidTr="000E6B64">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A5C97" w14:textId="77777777" w:rsidR="00711C6D" w:rsidRDefault="00711C6D" w:rsidP="00711C6D">
            <w:pPr>
              <w:spacing w:after="0"/>
            </w:pPr>
            <w:r>
              <w:t>5470–5725</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3E2EECD7" w14:textId="77777777" w:rsidR="00711C6D" w:rsidRDefault="00711C6D" w:rsidP="00711C6D">
            <w:pPr>
              <w:spacing w:after="0"/>
            </w:pPr>
            <w:r>
              <w:t>100–140</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2940C1BC" w14:textId="77777777" w:rsidR="00711C6D" w:rsidRDefault="00711C6D" w:rsidP="00711C6D">
            <w:pPr>
              <w:spacing w:after="0"/>
            </w:pPr>
            <w:r>
              <w:t>29,9 dBm (977 mW) z TPC</w:t>
            </w:r>
          </w:p>
          <w:p w14:paraId="345503AB" w14:textId="77777777" w:rsidR="00711C6D" w:rsidRDefault="00711C6D" w:rsidP="00711C6D">
            <w:pPr>
              <w:spacing w:after="0"/>
            </w:pPr>
            <w:r>
              <w:t>26,9 dBm (490 mW) bez TPC</w:t>
            </w:r>
          </w:p>
        </w:tc>
      </w:tr>
      <w:tr w:rsidR="00683FD5" w14:paraId="248016E0" w14:textId="77777777" w:rsidTr="000E6B64">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138824" w14:textId="751E6F91" w:rsidR="00683FD5" w:rsidRDefault="00683FD5" w:rsidP="00683FD5">
            <w:pPr>
              <w:spacing w:after="0"/>
            </w:pPr>
            <w:r>
              <w:t>5945–6425</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5AAD71" w14:textId="77777777" w:rsidR="00683FD5" w:rsidRDefault="00683FD5" w:rsidP="00683FD5">
            <w:pPr>
              <w:spacing w:after="0"/>
            </w:pP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BC6BCB" w14:textId="2BAB1632" w:rsidR="00683FD5" w:rsidRDefault="00683FD5" w:rsidP="00683FD5">
            <w:pPr>
              <w:spacing w:after="0"/>
            </w:pPr>
            <w:r>
              <w:t>22,9 dBm (195 mW)</w:t>
            </w:r>
          </w:p>
        </w:tc>
      </w:tr>
    </w:tbl>
    <w:p w14:paraId="42354047" w14:textId="77777777" w:rsidR="00844B44" w:rsidRDefault="00844B44" w:rsidP="00844B44">
      <w:pPr>
        <w:spacing w:after="0"/>
      </w:pPr>
    </w:p>
    <w:p w14:paraId="0FEFAE20" w14:textId="77777777" w:rsidR="003B3E0A" w:rsidRDefault="00711C6D" w:rsidP="0037608F">
      <w:r>
        <w:t>TPC: kontrola mocy transmisji</w:t>
      </w:r>
    </w:p>
    <w:p w14:paraId="78F7BC4A" w14:textId="77777777" w:rsidR="00711C6D" w:rsidRPr="003B3E0A" w:rsidRDefault="003B3E0A" w:rsidP="0037608F">
      <w:pPr>
        <w:rPr>
          <w:i/>
        </w:rPr>
      </w:pPr>
      <w:r>
        <w:rPr>
          <w:i/>
        </w:rPr>
        <w:t>Komórkowa</w:t>
      </w:r>
    </w:p>
    <w:tbl>
      <w:tblPr>
        <w:tblStyle w:val="TableGrid"/>
        <w:tblW w:w="0" w:type="auto"/>
        <w:tblLook w:val="04A0" w:firstRow="1" w:lastRow="0" w:firstColumn="1" w:lastColumn="0" w:noHBand="0" w:noVBand="1"/>
      </w:tblPr>
      <w:tblGrid>
        <w:gridCol w:w="2515"/>
        <w:gridCol w:w="1620"/>
        <w:gridCol w:w="5215"/>
      </w:tblGrid>
      <w:tr w:rsidR="003B3E0A" w:rsidRPr="003B3E0A" w14:paraId="058A3622" w14:textId="77777777" w:rsidTr="003B3E0A">
        <w:tc>
          <w:tcPr>
            <w:tcW w:w="2515" w:type="dxa"/>
          </w:tcPr>
          <w:p w14:paraId="52FF6BB3" w14:textId="77777777" w:rsidR="003B3E0A" w:rsidRPr="003B3E0A" w:rsidRDefault="003B3E0A" w:rsidP="0037608F">
            <w:pPr>
              <w:rPr>
                <w:b/>
              </w:rPr>
            </w:pPr>
            <w:bookmarkStart w:id="19" w:name="_Hlk106973063"/>
            <w:r>
              <w:rPr>
                <w:b/>
              </w:rPr>
              <w:t>Częstotliwość (MHz)</w:t>
            </w:r>
          </w:p>
        </w:tc>
        <w:tc>
          <w:tcPr>
            <w:tcW w:w="1620" w:type="dxa"/>
          </w:tcPr>
          <w:p w14:paraId="2BD3A5F1" w14:textId="77777777" w:rsidR="003B3E0A" w:rsidRPr="003B3E0A" w:rsidRDefault="003B3E0A" w:rsidP="0037608F">
            <w:pPr>
              <w:rPr>
                <w:b/>
              </w:rPr>
            </w:pPr>
            <w:r>
              <w:rPr>
                <w:b/>
              </w:rPr>
              <w:t>Wykorzystane pasma</w:t>
            </w:r>
          </w:p>
        </w:tc>
        <w:tc>
          <w:tcPr>
            <w:tcW w:w="5215" w:type="dxa"/>
          </w:tcPr>
          <w:p w14:paraId="7191E850" w14:textId="77777777" w:rsidR="003B3E0A" w:rsidRPr="003B3E0A" w:rsidRDefault="003B3E0A" w:rsidP="0037608F">
            <w:pPr>
              <w:rPr>
                <w:b/>
              </w:rPr>
            </w:pPr>
            <w:r>
              <w:rPr>
                <w:b/>
              </w:rPr>
              <w:t>Maksymalna moc transmisji (dBm/mW)</w:t>
            </w:r>
          </w:p>
        </w:tc>
      </w:tr>
      <w:tr w:rsidR="003B3E0A" w:rsidRPr="003B3E0A" w14:paraId="3AF796E1" w14:textId="77777777" w:rsidTr="003B3E0A">
        <w:tc>
          <w:tcPr>
            <w:tcW w:w="2515" w:type="dxa"/>
          </w:tcPr>
          <w:p w14:paraId="224B6D93" w14:textId="7212AE7A" w:rsidR="003B3E0A" w:rsidRPr="003B3E0A" w:rsidRDefault="003B3E0A" w:rsidP="0037608F">
            <w:r>
              <w:t>703–748</w:t>
            </w:r>
          </w:p>
        </w:tc>
        <w:tc>
          <w:tcPr>
            <w:tcW w:w="1620" w:type="dxa"/>
          </w:tcPr>
          <w:p w14:paraId="42B77539" w14:textId="51BC7CE0" w:rsidR="003B3E0A" w:rsidRPr="003B3E0A" w:rsidRDefault="003B3E0A" w:rsidP="0037608F">
            <w:r>
              <w:t>Pasmo 28</w:t>
            </w:r>
          </w:p>
        </w:tc>
        <w:tc>
          <w:tcPr>
            <w:tcW w:w="5215" w:type="dxa"/>
          </w:tcPr>
          <w:p w14:paraId="1318D6DD" w14:textId="470F6F46" w:rsidR="003B3E0A" w:rsidRPr="003B3E0A" w:rsidRDefault="003B3E0A" w:rsidP="0037608F">
            <w:r>
              <w:t>23,9 dBm (245 mW)</w:t>
            </w:r>
          </w:p>
        </w:tc>
      </w:tr>
      <w:tr w:rsidR="003B3E0A" w:rsidRPr="003B3E0A" w14:paraId="76D80DF3" w14:textId="77777777" w:rsidTr="003B3E0A">
        <w:tc>
          <w:tcPr>
            <w:tcW w:w="2515" w:type="dxa"/>
          </w:tcPr>
          <w:p w14:paraId="4764113A" w14:textId="362C985D" w:rsidR="003B3E0A" w:rsidRDefault="003B3E0A" w:rsidP="003B3E0A">
            <w:r>
              <w:t>832–862</w:t>
            </w:r>
          </w:p>
        </w:tc>
        <w:tc>
          <w:tcPr>
            <w:tcW w:w="1620" w:type="dxa"/>
          </w:tcPr>
          <w:p w14:paraId="64F5AF97" w14:textId="67DDE9A5" w:rsidR="003B3E0A" w:rsidRDefault="003B3E0A" w:rsidP="003B3E0A">
            <w:r>
              <w:t>Pasmo 20</w:t>
            </w:r>
          </w:p>
        </w:tc>
        <w:tc>
          <w:tcPr>
            <w:tcW w:w="5215" w:type="dxa"/>
          </w:tcPr>
          <w:p w14:paraId="405E25AC" w14:textId="4759522E" w:rsidR="003B3E0A" w:rsidRPr="003B3E0A" w:rsidRDefault="003B3E0A" w:rsidP="003B3E0A">
            <w:r>
              <w:t>23,9 dBm (245 mW)</w:t>
            </w:r>
          </w:p>
        </w:tc>
      </w:tr>
      <w:tr w:rsidR="003B3E0A" w14:paraId="759366BE" w14:textId="77777777" w:rsidTr="003B3E0A">
        <w:tc>
          <w:tcPr>
            <w:tcW w:w="2515" w:type="dxa"/>
          </w:tcPr>
          <w:p w14:paraId="599C14A5" w14:textId="48B2967D" w:rsidR="003B3E0A" w:rsidRDefault="000B36AE" w:rsidP="003B3E0A">
            <w:r>
              <w:t>880–915</w:t>
            </w:r>
          </w:p>
        </w:tc>
        <w:tc>
          <w:tcPr>
            <w:tcW w:w="1620" w:type="dxa"/>
          </w:tcPr>
          <w:p w14:paraId="53D0D109" w14:textId="064402D8" w:rsidR="003B3E0A" w:rsidRDefault="001F3313" w:rsidP="003B3E0A">
            <w:r>
              <w:t>Pasmo 8</w:t>
            </w:r>
          </w:p>
        </w:tc>
        <w:tc>
          <w:tcPr>
            <w:tcW w:w="5215" w:type="dxa"/>
          </w:tcPr>
          <w:p w14:paraId="0CF030F9" w14:textId="4A015411" w:rsidR="003B3E0A" w:rsidRPr="003B3E0A" w:rsidRDefault="003B3E0A" w:rsidP="003B3E0A">
            <w:r>
              <w:t>23,9 dBm (245 mW)</w:t>
            </w:r>
          </w:p>
        </w:tc>
      </w:tr>
      <w:tr w:rsidR="00821506" w14:paraId="3EFAD9A0" w14:textId="77777777" w:rsidTr="003B3E0A">
        <w:tc>
          <w:tcPr>
            <w:tcW w:w="2515" w:type="dxa"/>
          </w:tcPr>
          <w:p w14:paraId="3BBE6E24" w14:textId="3002FF98" w:rsidR="00821506" w:rsidRDefault="00821506" w:rsidP="00821506">
            <w:r>
              <w:t>1710–1785</w:t>
            </w:r>
          </w:p>
        </w:tc>
        <w:tc>
          <w:tcPr>
            <w:tcW w:w="1620" w:type="dxa"/>
          </w:tcPr>
          <w:p w14:paraId="13941E24" w14:textId="7E1447E0" w:rsidR="00821506" w:rsidRDefault="00821506" w:rsidP="00821506">
            <w:r>
              <w:t>Pasmo 3</w:t>
            </w:r>
          </w:p>
        </w:tc>
        <w:tc>
          <w:tcPr>
            <w:tcW w:w="5215" w:type="dxa"/>
          </w:tcPr>
          <w:p w14:paraId="3455145C" w14:textId="77777777" w:rsidR="00821506" w:rsidRPr="003B3E0A" w:rsidRDefault="00821506" w:rsidP="00821506">
            <w:r>
              <w:t>FDD: 23,9 dBm (245 mW)</w:t>
            </w:r>
          </w:p>
        </w:tc>
      </w:tr>
      <w:tr w:rsidR="00821506" w14:paraId="19BDF464" w14:textId="77777777" w:rsidTr="003B3E0A">
        <w:tc>
          <w:tcPr>
            <w:tcW w:w="2515" w:type="dxa"/>
          </w:tcPr>
          <w:p w14:paraId="387B9E8D" w14:textId="6B165E86" w:rsidR="00821506" w:rsidRDefault="000B36AE" w:rsidP="00821506">
            <w:r>
              <w:t>1920–1980</w:t>
            </w:r>
          </w:p>
        </w:tc>
        <w:tc>
          <w:tcPr>
            <w:tcW w:w="1620" w:type="dxa"/>
          </w:tcPr>
          <w:p w14:paraId="797E4F60" w14:textId="54352826" w:rsidR="00821506" w:rsidRDefault="00821506" w:rsidP="00821506">
            <w:r>
              <w:t>Pasmo 1</w:t>
            </w:r>
          </w:p>
        </w:tc>
        <w:tc>
          <w:tcPr>
            <w:tcW w:w="5215" w:type="dxa"/>
          </w:tcPr>
          <w:p w14:paraId="7DB81300" w14:textId="1652222F" w:rsidR="00821506" w:rsidRPr="003B3E0A" w:rsidRDefault="00821506" w:rsidP="00821506">
            <w:r>
              <w:t>23,9 dBm (245 mW)</w:t>
            </w:r>
          </w:p>
        </w:tc>
      </w:tr>
      <w:tr w:rsidR="00821506" w14:paraId="7FD51F81" w14:textId="77777777" w:rsidTr="003B3E0A">
        <w:tc>
          <w:tcPr>
            <w:tcW w:w="2515" w:type="dxa"/>
          </w:tcPr>
          <w:p w14:paraId="4E3C070C" w14:textId="45CFEAAF" w:rsidR="00821506" w:rsidRDefault="00821506" w:rsidP="00821506">
            <w:r>
              <w:t>2300–2400</w:t>
            </w:r>
          </w:p>
        </w:tc>
        <w:tc>
          <w:tcPr>
            <w:tcW w:w="1620" w:type="dxa"/>
          </w:tcPr>
          <w:p w14:paraId="6FE73A7D" w14:textId="67F61986" w:rsidR="00821506" w:rsidRDefault="00821506" w:rsidP="00821506">
            <w:r>
              <w:t>Pasmo 40</w:t>
            </w:r>
          </w:p>
        </w:tc>
        <w:tc>
          <w:tcPr>
            <w:tcW w:w="5215" w:type="dxa"/>
          </w:tcPr>
          <w:p w14:paraId="14BBB32A" w14:textId="673E0936" w:rsidR="00821506" w:rsidRPr="003B3E0A" w:rsidRDefault="00821506" w:rsidP="00821506">
            <w:r>
              <w:t>23,9 dBm (245 mW)</w:t>
            </w:r>
          </w:p>
        </w:tc>
      </w:tr>
      <w:tr w:rsidR="000B36AE" w14:paraId="6A4BE03D" w14:textId="77777777" w:rsidTr="003B3E0A">
        <w:tc>
          <w:tcPr>
            <w:tcW w:w="2515" w:type="dxa"/>
          </w:tcPr>
          <w:p w14:paraId="25D9DD83" w14:textId="578FA346" w:rsidR="000B36AE" w:rsidRDefault="000B36AE" w:rsidP="00821506">
            <w:r>
              <w:t>2496–2690</w:t>
            </w:r>
          </w:p>
        </w:tc>
        <w:tc>
          <w:tcPr>
            <w:tcW w:w="1620" w:type="dxa"/>
          </w:tcPr>
          <w:p w14:paraId="3213A855" w14:textId="4976BA71" w:rsidR="000B36AE" w:rsidDel="000B36AE" w:rsidRDefault="000B36AE" w:rsidP="00821506">
            <w:r>
              <w:t>Pasmo 41</w:t>
            </w:r>
          </w:p>
        </w:tc>
        <w:tc>
          <w:tcPr>
            <w:tcW w:w="5215" w:type="dxa"/>
          </w:tcPr>
          <w:p w14:paraId="372D9221" w14:textId="55A57802" w:rsidR="000B36AE" w:rsidDel="000B36AE" w:rsidRDefault="000B36AE" w:rsidP="00821506">
            <w:r>
              <w:t>26,9dBm (500 mW)</w:t>
            </w:r>
          </w:p>
        </w:tc>
      </w:tr>
      <w:tr w:rsidR="00821506" w14:paraId="2CBADBE6" w14:textId="77777777" w:rsidTr="003B3E0A">
        <w:tc>
          <w:tcPr>
            <w:tcW w:w="2515" w:type="dxa"/>
          </w:tcPr>
          <w:p w14:paraId="2E26A27B" w14:textId="51F44D29" w:rsidR="00821506" w:rsidRDefault="00821506" w:rsidP="00821506">
            <w:r>
              <w:t>2500–2570</w:t>
            </w:r>
          </w:p>
        </w:tc>
        <w:tc>
          <w:tcPr>
            <w:tcW w:w="1620" w:type="dxa"/>
          </w:tcPr>
          <w:p w14:paraId="1B342406" w14:textId="2440F0FE" w:rsidR="00821506" w:rsidRDefault="00821506" w:rsidP="00821506">
            <w:r>
              <w:t>Pasmo 7</w:t>
            </w:r>
          </w:p>
        </w:tc>
        <w:tc>
          <w:tcPr>
            <w:tcW w:w="5215" w:type="dxa"/>
          </w:tcPr>
          <w:p w14:paraId="3A56BDC4" w14:textId="6A6A049B" w:rsidR="00821506" w:rsidRPr="003B3E0A" w:rsidRDefault="00821506" w:rsidP="00821506">
            <w:r>
              <w:t>23,9 dBm (245 mW)</w:t>
            </w:r>
          </w:p>
        </w:tc>
      </w:tr>
      <w:tr w:rsidR="00821506" w14:paraId="05344A93" w14:textId="77777777" w:rsidTr="003B3E0A">
        <w:tc>
          <w:tcPr>
            <w:tcW w:w="2515" w:type="dxa"/>
          </w:tcPr>
          <w:p w14:paraId="1792DC47" w14:textId="003FA154" w:rsidR="00821506" w:rsidRDefault="000B36AE" w:rsidP="00821506">
            <w:r>
              <w:t>2570–2620</w:t>
            </w:r>
          </w:p>
        </w:tc>
        <w:tc>
          <w:tcPr>
            <w:tcW w:w="1620" w:type="dxa"/>
          </w:tcPr>
          <w:p w14:paraId="78193B79" w14:textId="241CC006" w:rsidR="00821506" w:rsidRDefault="00821506" w:rsidP="00821506">
            <w:r>
              <w:t>Pasmo 38</w:t>
            </w:r>
          </w:p>
        </w:tc>
        <w:tc>
          <w:tcPr>
            <w:tcW w:w="5215" w:type="dxa"/>
          </w:tcPr>
          <w:p w14:paraId="7B0B8D2F" w14:textId="40FC52E0" w:rsidR="00821506" w:rsidRPr="003B3E0A" w:rsidRDefault="00821506" w:rsidP="00821506">
            <w:r>
              <w:t>23,9 dBm (245 mW)</w:t>
            </w:r>
          </w:p>
        </w:tc>
      </w:tr>
      <w:tr w:rsidR="000B36AE" w14:paraId="3C719ED1" w14:textId="77777777" w:rsidTr="003B3E0A">
        <w:tc>
          <w:tcPr>
            <w:tcW w:w="2515" w:type="dxa"/>
          </w:tcPr>
          <w:p w14:paraId="48A57040" w14:textId="55461335" w:rsidR="000B36AE" w:rsidRDefault="000B36AE" w:rsidP="00821506">
            <w:r>
              <w:t>3300–4200</w:t>
            </w:r>
          </w:p>
        </w:tc>
        <w:tc>
          <w:tcPr>
            <w:tcW w:w="1620" w:type="dxa"/>
          </w:tcPr>
          <w:p w14:paraId="0DD02EE1" w14:textId="28D0A16A" w:rsidR="000B36AE" w:rsidDel="000B36AE" w:rsidRDefault="000B36AE" w:rsidP="00821506">
            <w:r>
              <w:t>Pasmo 77, 78</w:t>
            </w:r>
          </w:p>
        </w:tc>
        <w:tc>
          <w:tcPr>
            <w:tcW w:w="5215" w:type="dxa"/>
          </w:tcPr>
          <w:p w14:paraId="06A3293C" w14:textId="0D1E7F94" w:rsidR="000B36AE" w:rsidDel="000B36AE" w:rsidRDefault="000B36AE" w:rsidP="00821506">
            <w:r>
              <w:t>26,9dBm (500 mW)</w:t>
            </w:r>
          </w:p>
        </w:tc>
      </w:tr>
      <w:bookmarkEnd w:id="19"/>
    </w:tbl>
    <w:p w14:paraId="421D9EAD" w14:textId="77777777" w:rsidR="003B3E0A" w:rsidRPr="00711C6D" w:rsidRDefault="003B3E0A" w:rsidP="0037608F"/>
    <w:p w14:paraId="055D324F" w14:textId="77777777" w:rsidR="00A81D71" w:rsidRDefault="00A81D71" w:rsidP="00481C42">
      <w:pPr>
        <w:pStyle w:val="Heading2"/>
      </w:pPr>
      <w:bookmarkStart w:id="20" w:name="_Toc118886372"/>
      <w:r>
        <w:t>Szczególne środki ostrożności dotyczące EMC</w:t>
      </w:r>
      <w:bookmarkEnd w:id="20"/>
      <w:r>
        <w:t xml:space="preserve"> </w:t>
      </w:r>
    </w:p>
    <w:p w14:paraId="635FC3E8" w14:textId="77777777" w:rsidR="007A2880" w:rsidRPr="00EE61BC" w:rsidRDefault="007A2880" w:rsidP="0060535B">
      <w:r>
        <w:t>Produkty firmy Netgear, w tym wszystkie urządzenia bezprzewodowe, moduły i małe przełączniki sieciowe są urządzeniami klasy B EMC. Przełączniki Ethernet z więcej niż 8 portami są zazwyczaj urządzeniami klasy A EMC.</w:t>
      </w:r>
    </w:p>
    <w:p w14:paraId="6BEB98DC" w14:textId="77777777" w:rsidR="00A81D71" w:rsidRPr="00631365" w:rsidRDefault="00A81D71" w:rsidP="00A81D71">
      <w:r>
        <w:t>Ostrzeżenie: Urządzenia NETGEAR klasy A są zgodne z klasą A normy EN 55032. W środowisku mieszkalnym urządzenie to może powodować zakłócenia radiowe, w którym to przypadku użytkownik może być zobowiązany do podjęcia odpowiednich działań.</w:t>
      </w:r>
    </w:p>
    <w:p w14:paraId="5B061AE8" w14:textId="77777777" w:rsidR="004E534D" w:rsidRDefault="004E534D" w:rsidP="00481C42">
      <w:pPr>
        <w:pStyle w:val="Heading1"/>
      </w:pPr>
      <w:bookmarkStart w:id="21" w:name="_Toc118886373"/>
      <w:bookmarkStart w:id="22" w:name="_Hlk35510609"/>
      <w:r>
        <w:t>Wymagania FCC dotyczące pracy w Stanach Zjednoczonych</w:t>
      </w:r>
      <w:bookmarkEnd w:id="21"/>
    </w:p>
    <w:bookmarkEnd w:id="22"/>
    <w:p w14:paraId="14432148" w14:textId="2620F3DD" w:rsidR="00AC23E2" w:rsidRDefault="00AC23E2" w:rsidP="00AC23E2">
      <w:r>
        <w:t>Informacje zawarte w tej sekcji dotyczą produktów opatrzonych znakiem lub oświadczeniem FCC:</w:t>
      </w:r>
    </w:p>
    <w:p w14:paraId="6E608951" w14:textId="77777777" w:rsidR="002A6434" w:rsidRDefault="00431D4F" w:rsidP="0060535B">
      <w:pPr>
        <w:ind w:left="1440"/>
      </w:pPr>
      <w:r>
        <w:t>Urządzenie spełnia wymagania określone w rozdziale 15. przepisów FCC. Może być używane po spełnieniu dwóch następujących warunków: (1) nie może powodować szkodliwych zakłóceń oraz (2) musi działać pomimo odebranych zakłóceń, nawet powodujących niepożądane działanie</w:t>
      </w:r>
      <w:r>
        <w:rPr>
          <w:noProof/>
        </w:rPr>
        <w:drawing>
          <wp:anchor distT="0" distB="0" distL="114300" distR="114300" simplePos="0" relativeHeight="251658240" behindDoc="0" locked="0" layoutInCell="1" allowOverlap="1" wp14:anchorId="0122D6E8" wp14:editId="309B2B58">
            <wp:simplePos x="0" y="0"/>
            <wp:positionH relativeFrom="column">
              <wp:posOffset>7620</wp:posOffset>
            </wp:positionH>
            <wp:positionV relativeFrom="paragraph">
              <wp:posOffset>1905</wp:posOffset>
            </wp:positionV>
            <wp:extent cx="591185" cy="426085"/>
            <wp:effectExtent l="0" t="0" r="0" b="0"/>
            <wp:wrapNone/>
            <wp:docPr id="5" name="Picture 5" descr="http://www.androidguys.com/wp-content/uploads/2012/06/f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droidguys.com/wp-content/uploads/2012/06/fcc.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1185"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0D12E" w14:textId="77777777" w:rsidR="00EC019B" w:rsidRPr="004E534D" w:rsidRDefault="00EC019B" w:rsidP="00481C42">
      <w:pPr>
        <w:pStyle w:val="Heading2"/>
      </w:pPr>
      <w:bookmarkStart w:id="23" w:name="_Toc118886374"/>
      <w:r>
        <w:t>Deklaracja zgodności z FCC</w:t>
      </w:r>
      <w:bookmarkEnd w:id="23"/>
    </w:p>
    <w:p w14:paraId="50E582CA" w14:textId="11420473" w:rsidR="00EC019B" w:rsidRDefault="00EC019B" w:rsidP="00EC019B">
      <w:pPr>
        <w:rPr>
          <w:rFonts w:cs="Arial"/>
        </w:rPr>
      </w:pPr>
      <w:r>
        <w:t>My, firma NETGEAR Inc., z siedzibą pod adresem 350 East Plumeria Drive, San Jose, CA 95134 (</w:t>
      </w:r>
      <w:r>
        <w:rPr>
          <w:i/>
        </w:rPr>
        <w:t>www.netgear.com/support)</w:t>
      </w:r>
      <w:r>
        <w:t>, na własną odpowiedzialność oświadczamy, iż niniejsze urządzenie spełnia wymagania określone w rozdziale 15, podrozdziale B, przepisów FCC CFR47. Może być używane po spełnieniu dwóch następujących warunków:</w:t>
      </w:r>
    </w:p>
    <w:p w14:paraId="0FD75840" w14:textId="77777777" w:rsidR="00EC019B" w:rsidRPr="004E534D" w:rsidRDefault="00EC019B" w:rsidP="00E252AF">
      <w:pPr>
        <w:pStyle w:val="ListParagraph"/>
        <w:numPr>
          <w:ilvl w:val="0"/>
          <w:numId w:val="38"/>
        </w:numPr>
        <w:rPr>
          <w:rFonts w:cs="Arial"/>
        </w:rPr>
      </w:pPr>
      <w:r>
        <w:t>Urządzenie nie może powodować szkodliwych zakłóceń oraz</w:t>
      </w:r>
    </w:p>
    <w:p w14:paraId="5361530F" w14:textId="77777777" w:rsidR="00EC019B" w:rsidRDefault="00EC019B" w:rsidP="00E252AF">
      <w:pPr>
        <w:pStyle w:val="ListParagraph"/>
        <w:numPr>
          <w:ilvl w:val="0"/>
          <w:numId w:val="38"/>
        </w:numPr>
        <w:rPr>
          <w:rFonts w:cs="Arial"/>
        </w:rPr>
      </w:pPr>
      <w:r>
        <w:t>Musi działać pomimo odebranych zakłóceń, nawet powodujących niepożądane działanie urządzenia.</w:t>
      </w:r>
    </w:p>
    <w:p w14:paraId="6E316F13" w14:textId="77777777" w:rsidR="004E534D" w:rsidRPr="004E534D" w:rsidRDefault="00603489" w:rsidP="00481C42">
      <w:pPr>
        <w:pStyle w:val="Heading2"/>
      </w:pPr>
      <w:bookmarkStart w:id="24" w:name="_Toc118886375"/>
      <w:r>
        <w:t>Informacje FCC dla użytkownika</w:t>
      </w:r>
      <w:bookmarkEnd w:id="24"/>
    </w:p>
    <w:p w14:paraId="797F256F" w14:textId="42C00F28" w:rsidR="004E534D" w:rsidRDefault="00603489" w:rsidP="004E534D">
      <w:pPr>
        <w:rPr>
          <w:rFonts w:cs="Arial"/>
        </w:rPr>
      </w:pPr>
      <w:bookmarkStart w:id="25" w:name="_Hlk35508370"/>
      <w:r>
        <w:t>Niniejszy produkt firmy NETGEAR nie zawiera żadnych elementów, które mogą być serwisowane przez użytkownika. Wszelkie samodzielne zmiany i modyfikacje urządzenia powodują unieważnienie wszystkich przyznanych mu certyfikatów i aprobat.</w:t>
      </w:r>
      <w:bookmarkEnd w:id="25"/>
    </w:p>
    <w:p w14:paraId="3BBA5832" w14:textId="237B67BA" w:rsidR="00445F96" w:rsidRDefault="00445F96" w:rsidP="00445F96">
      <w:pPr>
        <w:rPr>
          <w:rFonts w:cs="Arial"/>
        </w:rPr>
      </w:pPr>
      <w:r>
        <w:t>Poniższe oświadczenie dotyczy produktów, w przypadku których oświadczenie o zgodności z FCC nie może być umieszczone na etykiecie:</w:t>
      </w:r>
    </w:p>
    <w:p w14:paraId="799A9A5F" w14:textId="5E7CAFDA" w:rsidR="00152F10" w:rsidRDefault="00152F10" w:rsidP="0060535B">
      <w:pPr>
        <w:pStyle w:val="Heading4"/>
      </w:pPr>
      <w:r>
        <w:t>Tabela 3. Produkty zbyt małe dla etykiety FCC</w:t>
      </w:r>
    </w:p>
    <w:tbl>
      <w:tblPr>
        <w:tblStyle w:val="TableGrid"/>
        <w:tblW w:w="0" w:type="auto"/>
        <w:tblInd w:w="720" w:type="dxa"/>
        <w:tblLook w:val="04A0" w:firstRow="1" w:lastRow="0" w:firstColumn="1" w:lastColumn="0" w:noHBand="0" w:noVBand="1"/>
      </w:tblPr>
      <w:tblGrid>
        <w:gridCol w:w="1615"/>
        <w:gridCol w:w="1260"/>
        <w:gridCol w:w="1260"/>
        <w:gridCol w:w="1260"/>
        <w:gridCol w:w="1260"/>
        <w:gridCol w:w="1260"/>
      </w:tblGrid>
      <w:tr w:rsidR="009E16C7" w14:paraId="3BFE906E" w14:textId="27686331" w:rsidTr="009E16C7">
        <w:tc>
          <w:tcPr>
            <w:tcW w:w="1615" w:type="dxa"/>
          </w:tcPr>
          <w:p w14:paraId="2B803E0E" w14:textId="36915165" w:rsidR="009E16C7" w:rsidRPr="00152F10" w:rsidRDefault="009E16C7" w:rsidP="00152F10">
            <w:pPr>
              <w:rPr>
                <w:rFonts w:cs="Arial"/>
              </w:rPr>
            </w:pPr>
            <w:r>
              <w:t>A6100</w:t>
            </w:r>
          </w:p>
        </w:tc>
        <w:tc>
          <w:tcPr>
            <w:tcW w:w="1260" w:type="dxa"/>
          </w:tcPr>
          <w:p w14:paraId="5E2C0BFC" w14:textId="329E755C" w:rsidR="009E16C7" w:rsidRDefault="009E16C7" w:rsidP="00152F10">
            <w:pPr>
              <w:rPr>
                <w:rFonts w:cs="Arial"/>
              </w:rPr>
            </w:pPr>
            <w:r>
              <w:t>A7000</w:t>
            </w:r>
          </w:p>
        </w:tc>
        <w:tc>
          <w:tcPr>
            <w:tcW w:w="1260" w:type="dxa"/>
          </w:tcPr>
          <w:p w14:paraId="71D964D7" w14:textId="4FB99CD1" w:rsidR="009E16C7" w:rsidRPr="00152F10" w:rsidRDefault="00887D9B" w:rsidP="00152F10">
            <w:pPr>
              <w:rPr>
                <w:rFonts w:cs="Arial"/>
              </w:rPr>
            </w:pPr>
            <w:r>
              <w:t>ACM76x</w:t>
            </w:r>
          </w:p>
        </w:tc>
        <w:tc>
          <w:tcPr>
            <w:tcW w:w="1260" w:type="dxa"/>
          </w:tcPr>
          <w:p w14:paraId="1C7E05F7" w14:textId="71FF3B78" w:rsidR="009E16C7" w:rsidRPr="00152F10" w:rsidRDefault="0044582A" w:rsidP="00152F10">
            <w:pPr>
              <w:rPr>
                <w:rFonts w:cs="Arial"/>
              </w:rPr>
            </w:pPr>
            <w:r>
              <w:t>AXM76x</w:t>
            </w:r>
          </w:p>
        </w:tc>
        <w:tc>
          <w:tcPr>
            <w:tcW w:w="1260" w:type="dxa"/>
          </w:tcPr>
          <w:p w14:paraId="1F600A2B" w14:textId="609D9D31" w:rsidR="009E16C7" w:rsidRPr="00152F10" w:rsidRDefault="009E16C7" w:rsidP="00152F10">
            <w:pPr>
              <w:rPr>
                <w:rFonts w:cs="Arial"/>
              </w:rPr>
            </w:pPr>
          </w:p>
        </w:tc>
        <w:tc>
          <w:tcPr>
            <w:tcW w:w="1260" w:type="dxa"/>
          </w:tcPr>
          <w:p w14:paraId="6AB228F0" w14:textId="141DBE89" w:rsidR="009E16C7" w:rsidRPr="00152F10" w:rsidRDefault="009E16C7" w:rsidP="00152F10">
            <w:pPr>
              <w:rPr>
                <w:rFonts w:cs="Arial"/>
              </w:rPr>
            </w:pPr>
          </w:p>
        </w:tc>
      </w:tr>
      <w:tr w:rsidR="009E16C7" w14:paraId="4AD2C014" w14:textId="4FD96CBB" w:rsidTr="009E16C7">
        <w:tc>
          <w:tcPr>
            <w:tcW w:w="1615" w:type="dxa"/>
          </w:tcPr>
          <w:p w14:paraId="2FF79D69" w14:textId="7FEC6568" w:rsidR="009E16C7" w:rsidRPr="00152F10" w:rsidRDefault="009E16C7" w:rsidP="009E16C7">
            <w:pPr>
              <w:rPr>
                <w:rFonts w:cs="Arial"/>
              </w:rPr>
            </w:pPr>
            <w:r>
              <w:t>A6150</w:t>
            </w:r>
          </w:p>
        </w:tc>
        <w:tc>
          <w:tcPr>
            <w:tcW w:w="1260" w:type="dxa"/>
          </w:tcPr>
          <w:p w14:paraId="2B5A9E4D" w14:textId="277CDC2D" w:rsidR="009E16C7" w:rsidRDefault="00887D9B" w:rsidP="009E16C7">
            <w:pPr>
              <w:rPr>
                <w:rFonts w:cs="Arial"/>
              </w:rPr>
            </w:pPr>
            <w:r>
              <w:t>A8000</w:t>
            </w:r>
          </w:p>
        </w:tc>
        <w:tc>
          <w:tcPr>
            <w:tcW w:w="1260" w:type="dxa"/>
          </w:tcPr>
          <w:p w14:paraId="495E89A1" w14:textId="3B72721B" w:rsidR="009E16C7" w:rsidRPr="00152F10" w:rsidRDefault="00887D9B" w:rsidP="009E16C7">
            <w:pPr>
              <w:rPr>
                <w:rFonts w:cs="Arial"/>
              </w:rPr>
            </w:pPr>
            <w:r>
              <w:t>AGM73x</w:t>
            </w:r>
          </w:p>
        </w:tc>
        <w:tc>
          <w:tcPr>
            <w:tcW w:w="1260" w:type="dxa"/>
          </w:tcPr>
          <w:p w14:paraId="0155C667" w14:textId="499AEEC7" w:rsidR="009E16C7" w:rsidRPr="00152F10" w:rsidRDefault="004C712D" w:rsidP="009E16C7">
            <w:pPr>
              <w:rPr>
                <w:rFonts w:cs="Arial"/>
              </w:rPr>
            </w:pPr>
            <w:r>
              <w:t>AX7xx</w:t>
            </w:r>
          </w:p>
        </w:tc>
        <w:tc>
          <w:tcPr>
            <w:tcW w:w="1260" w:type="dxa"/>
          </w:tcPr>
          <w:p w14:paraId="49389126" w14:textId="568EE3D1" w:rsidR="009E16C7" w:rsidRPr="00152F10" w:rsidRDefault="009E16C7" w:rsidP="009E16C7">
            <w:pPr>
              <w:rPr>
                <w:rFonts w:cs="Arial"/>
              </w:rPr>
            </w:pPr>
          </w:p>
        </w:tc>
        <w:tc>
          <w:tcPr>
            <w:tcW w:w="1260" w:type="dxa"/>
          </w:tcPr>
          <w:p w14:paraId="632D3133" w14:textId="7B97F572" w:rsidR="009E16C7" w:rsidRPr="00152F10" w:rsidRDefault="009E16C7" w:rsidP="009E16C7">
            <w:pPr>
              <w:rPr>
                <w:rFonts w:cs="Arial"/>
              </w:rPr>
            </w:pPr>
          </w:p>
        </w:tc>
      </w:tr>
      <w:tr w:rsidR="009E16C7" w14:paraId="34FBBA45" w14:textId="57C5679D" w:rsidTr="009E16C7">
        <w:tc>
          <w:tcPr>
            <w:tcW w:w="1615" w:type="dxa"/>
          </w:tcPr>
          <w:p w14:paraId="121F89E6" w14:textId="2AFB3F31" w:rsidR="009E16C7" w:rsidRPr="00152F10" w:rsidRDefault="009E16C7" w:rsidP="009E16C7">
            <w:pPr>
              <w:rPr>
                <w:rFonts w:cs="Arial"/>
              </w:rPr>
            </w:pPr>
            <w:r>
              <w:t>A6210</w:t>
            </w:r>
          </w:p>
        </w:tc>
        <w:tc>
          <w:tcPr>
            <w:tcW w:w="1260" w:type="dxa"/>
          </w:tcPr>
          <w:p w14:paraId="604A52FD" w14:textId="5F747B81" w:rsidR="009E16C7" w:rsidRDefault="00887D9B" w:rsidP="009E16C7">
            <w:pPr>
              <w:rPr>
                <w:rFonts w:cs="Arial"/>
              </w:rPr>
            </w:pPr>
            <w:r>
              <w:t>ACC76x</w:t>
            </w:r>
          </w:p>
        </w:tc>
        <w:tc>
          <w:tcPr>
            <w:tcW w:w="1260" w:type="dxa"/>
          </w:tcPr>
          <w:p w14:paraId="5EF9ECBB" w14:textId="062D7D60" w:rsidR="009E16C7" w:rsidRPr="00152F10" w:rsidRDefault="00887D9B" w:rsidP="009E16C7">
            <w:pPr>
              <w:rPr>
                <w:rFonts w:cs="Arial"/>
              </w:rPr>
            </w:pPr>
            <w:r>
              <w:t>AXC76x</w:t>
            </w:r>
          </w:p>
        </w:tc>
        <w:tc>
          <w:tcPr>
            <w:tcW w:w="1260" w:type="dxa"/>
          </w:tcPr>
          <w:p w14:paraId="3C4A43BC" w14:textId="491C1DE6" w:rsidR="009E16C7" w:rsidRPr="00152F10" w:rsidRDefault="00621AAC" w:rsidP="009E16C7">
            <w:pPr>
              <w:rPr>
                <w:rFonts w:cs="Arial"/>
              </w:rPr>
            </w:pPr>
            <w:r>
              <w:t>AFM73x</w:t>
            </w:r>
          </w:p>
        </w:tc>
        <w:tc>
          <w:tcPr>
            <w:tcW w:w="1260" w:type="dxa"/>
          </w:tcPr>
          <w:p w14:paraId="220357B8" w14:textId="01C50665" w:rsidR="009E16C7" w:rsidRPr="00152F10" w:rsidRDefault="009E16C7" w:rsidP="009E16C7">
            <w:pPr>
              <w:rPr>
                <w:rFonts w:cs="Arial"/>
              </w:rPr>
            </w:pPr>
          </w:p>
        </w:tc>
        <w:tc>
          <w:tcPr>
            <w:tcW w:w="1260" w:type="dxa"/>
          </w:tcPr>
          <w:p w14:paraId="4B24D610" w14:textId="77777777" w:rsidR="009E16C7" w:rsidRPr="00152F10" w:rsidRDefault="009E16C7" w:rsidP="009E16C7">
            <w:pPr>
              <w:rPr>
                <w:rFonts w:cs="Arial"/>
              </w:rPr>
            </w:pPr>
          </w:p>
        </w:tc>
      </w:tr>
    </w:tbl>
    <w:p w14:paraId="1697C5C2" w14:textId="77777777" w:rsidR="00445F96" w:rsidRDefault="00445F96" w:rsidP="00152F10">
      <w:pPr>
        <w:spacing w:before="60"/>
        <w:rPr>
          <w:rFonts w:cs="Arial"/>
        </w:rPr>
      </w:pPr>
      <w:r>
        <w:t>Urządzenie spełnia wymagania określone w rozdziale 15. przepisów FCC. Może być używane po spełnieniu dwóch następujących warunków: (1) nie może powodować szkodliwych zakłóceń oraz (2) musi działać pomimo odebranych zakłóceń, nawet powodujących niepożądane działanie.</w:t>
      </w:r>
    </w:p>
    <w:p w14:paraId="64155296" w14:textId="3E887B0C" w:rsidR="004E534D" w:rsidRPr="004E534D" w:rsidRDefault="004E534D" w:rsidP="00481C42">
      <w:pPr>
        <w:pStyle w:val="Heading2"/>
      </w:pPr>
      <w:bookmarkStart w:id="26" w:name="_Toc118886376"/>
      <w:r>
        <w:t>Ostrzeżenia i instrukcje FCC o częstotliwościach radiowych</w:t>
      </w:r>
      <w:bookmarkEnd w:id="26"/>
    </w:p>
    <w:p w14:paraId="331578FB" w14:textId="77777777" w:rsidR="00880428" w:rsidRDefault="00880428" w:rsidP="00880428">
      <w:pPr>
        <w:rPr>
          <w:rFonts w:cs="Arial"/>
        </w:rPr>
      </w:pPr>
      <w:r>
        <w:t>W przypadku produktów dostępnych na rynku amerykańskim, można obsługiwać tylko kanały 1~11. Wybór innych kanałów nie jest możliwy.</w:t>
      </w:r>
    </w:p>
    <w:p w14:paraId="210E2899" w14:textId="77777777" w:rsidR="007C5FA2" w:rsidRPr="00D93A87" w:rsidRDefault="007C5FA2" w:rsidP="00481C42">
      <w:pPr>
        <w:pStyle w:val="Heading3"/>
      </w:pPr>
      <w:bookmarkStart w:id="27" w:name="_Toc118886377"/>
      <w:r>
        <w:t>Wybór i użytkowanie kodu kraju (urządzenia WLAN)</w:t>
      </w:r>
      <w:bookmarkEnd w:id="27"/>
    </w:p>
    <w:p w14:paraId="373842D5" w14:textId="2EE8D273" w:rsidR="007C5FA2" w:rsidRPr="004E534D" w:rsidRDefault="007C5FA2" w:rsidP="007C5FA2">
      <w:pPr>
        <w:rPr>
          <w:rFonts w:cs="Arial"/>
        </w:rPr>
      </w:pPr>
      <w:r>
        <w:t>Wybór kodu kraju dotyczy tylko modeli spoza USA i nie jest dostępny dla wszystkich modeli amerykańskich. Zgodnie z przepisami FCC, wszystkie produkty WiFi sprzedawane w USA muszą być przypisane wyłącznie do kanałów operacyjnych w USA. Niektóre modele automatycznie wybierają kod kraju i nie może on być ustawiony przez użytkownika. Jeśli kraj nie może zostać wykryty, urządzenia te mogą używać niższej częstotliwości/mocy niż oczekiwana.</w:t>
      </w:r>
    </w:p>
    <w:p w14:paraId="7B6D1FEE" w14:textId="60A65F42" w:rsidR="00CB192D" w:rsidRDefault="00CB192D" w:rsidP="00CB192D">
      <w:pPr>
        <w:rPr>
          <w:rFonts w:cs="Arial"/>
          <w:color w:val="FF0000"/>
        </w:rPr>
      </w:pPr>
      <w:r>
        <w:t>Niniejszy produkt firmy NETGEAR powinien być używany tylko z zatwierdzonymi antenami.  To urządzenie i jego antena(y) nie mogą być umieszczane w jednym miejscu ani pracować w połączeniu z żadną inną anteną lub nadajnikiem, chyba że zgodnie z procedurami FCC dotyczącymi produktów wielonadajnikowych</w:t>
      </w:r>
      <w:r>
        <w:rPr>
          <w:color w:val="FF0000"/>
        </w:rPr>
        <w:t xml:space="preserve">. </w:t>
      </w:r>
    </w:p>
    <w:p w14:paraId="78476331" w14:textId="37729F47" w:rsidR="00995943" w:rsidRDefault="00995943" w:rsidP="00995943">
      <w:pPr>
        <w:rPr>
          <w:rFonts w:cs="Arial"/>
        </w:rPr>
      </w:pPr>
      <w:r>
        <w:t>Urządzenie i jego antena(y) nie mogą być umieszczane lub pracować w połączeniu z żadną inną anteną lub nadajnikiem, chyba że zgodnie z przepisami FCC.</w:t>
      </w:r>
    </w:p>
    <w:p w14:paraId="42605D74" w14:textId="527167AB" w:rsidR="00995943" w:rsidRDefault="00995943" w:rsidP="00995943">
      <w:r>
        <w:t>Ostrzeżenie FCC: Jakiekolwiek zmiany lub modyfikacje niezatwierdzone jednoznacznie przez podmiot odpowiedzialny za zapewnienie zgodności z przepisami mogą spowodować cofnięcie użytkownikowi prawa do korzystania z urządzenia.</w:t>
      </w:r>
    </w:p>
    <w:p w14:paraId="63A2E45C" w14:textId="34DE5FC4" w:rsidR="00C5342C" w:rsidRDefault="00612DC5" w:rsidP="00063563">
      <w:pPr>
        <w:pStyle w:val="Heading3"/>
      </w:pPr>
      <w:bookmarkStart w:id="28" w:name="_Toc118886378"/>
      <w:r>
        <w:t>Urządzenia WiFi 5,9 i 6 GHz</w:t>
      </w:r>
      <w:bookmarkEnd w:id="28"/>
    </w:p>
    <w:p w14:paraId="5D339FFD" w14:textId="1B8A459E" w:rsidR="00F77478" w:rsidRDefault="00424412" w:rsidP="00995943">
      <w:r>
        <w:t>Przepisy FCC ograniczają działanie tego urządzenia wyłącznie do użytku wewnątrz pomieszczeń. Urządzenie to nie może być stosowane do zapewnienia połączenia pomiędzy oddzielnymi budynkami lub konstrukcjami. Działanie tego urządzenia jest zabronione na platformach wiertniczych oraz w samochodach, pociągach, łodziach i samolotach (z wyjątkiem dużych samolotów lecących powyżej 3 km nad ziemią, w takim przypadku działanie urządzenia jest dozwolone). Działanie nadajników w paśmie 5,915–7,125 GHz jest niedozwolone dla komunikacji i sterowania bezzałogowymi systemami powietrznymi, w tym dronami.</w:t>
      </w:r>
    </w:p>
    <w:p w14:paraId="2D62BC05" w14:textId="0FCD4D40" w:rsidR="00BB2455" w:rsidRDefault="00BB2455" w:rsidP="00BB2455">
      <w:r>
        <w:t xml:space="preserve">Modele MR61XX, MR64XX i MR65XX nie mogą pracować w trybie AP 6 GHz w zastosowaniach zewnętrznych. Urządzenie jest dopuszczone do pracy na zewnątrz, gdy nie działa częstotliwość 6 GHz. Oprogramowanie ogranicza pracę na częstotliwości 6GHz do sytuacji, gdy urządzenie jest podłączone do sieci. </w:t>
      </w:r>
    </w:p>
    <w:p w14:paraId="76AFACF4" w14:textId="77777777" w:rsidR="00AC23E2" w:rsidRDefault="00AC23E2" w:rsidP="00481C42">
      <w:pPr>
        <w:pStyle w:val="Heading2"/>
      </w:pPr>
      <w:bookmarkStart w:id="29" w:name="_Toc118886379"/>
      <w:bookmarkStart w:id="30" w:name="_Hlk35510725"/>
      <w:r>
        <w:t>Oświadczenia FCC dotyczące narażenia na promieniowanie RF i SAR</w:t>
      </w:r>
      <w:bookmarkEnd w:id="29"/>
    </w:p>
    <w:p w14:paraId="0BD7BF0C" w14:textId="7365A363" w:rsidR="00AC23E2" w:rsidRDefault="00234A05" w:rsidP="00481C42">
      <w:pPr>
        <w:pStyle w:val="Heading3"/>
      </w:pPr>
      <w:bookmarkStart w:id="31" w:name="_Toc118886380"/>
      <w:r>
        <w:t>Informacje zawarte w niniejszej sekcji dotyczą produktów, które przesyłają dane lub komunikują się bezprzewodowo — oświadczenie SAR</w:t>
      </w:r>
      <w:bookmarkEnd w:id="31"/>
    </w:p>
    <w:p w14:paraId="6EC8E00F" w14:textId="77777777" w:rsidR="00B24349" w:rsidRDefault="00B24349" w:rsidP="00AC23E2">
      <w:r>
        <w:t xml:space="preserve">Informacje zawarte w niniejszym rozdziale dotyczą produktów bezprzewodowych firmy NETGEAR, które są przeznaczone do pracy w pobliżu ciała ludzkiego. </w:t>
      </w:r>
    </w:p>
    <w:p w14:paraId="2B48A233" w14:textId="087B6568" w:rsidR="00B654CA" w:rsidRDefault="009A1357" w:rsidP="00F76120">
      <w:r>
        <w:t>Produkty NETGEAR, które są przeznaczone do pracy w pobliżu ludzkiego ciała, są testowane pod kątem zgodności ze współczynnikiem absorpcji właściwej (SAR). Ten produkt spełnia obowiązujące krajowe limity SAR wynoszące 1,6 W/kg. Podczas noszenia produktu lub korzystania z niego podczas noszenia na ciele należy zachować odległość 10 mm od ciała, aby zapewnić zgodność z wymaganiami dotyczącymi narażenia na działanie fal radiowych. Aby sprawdzić minimalną odległość i uzyskać więcej szczegółów oraz najwyższy zmierzony poziom SAR dla tego urządzenia, patrz sekcja Narażenie na promieniowanie radiowe na stronie:</w:t>
      </w:r>
    </w:p>
    <w:p w14:paraId="1C835705" w14:textId="10B3DD32" w:rsidR="00F76120" w:rsidRDefault="005F0D70" w:rsidP="00F76120">
      <w:hyperlink r:id="rId24" w:history="1">
        <w:r w:rsidR="00E63B27">
          <w:rPr>
            <w:rStyle w:val="Hyperlink"/>
          </w:rPr>
          <w:t>https://www.netgear.com/about/regulatory/</w:t>
        </w:r>
      </w:hyperlink>
    </w:p>
    <w:p w14:paraId="75AE2225" w14:textId="77777777" w:rsidR="0048177F" w:rsidRDefault="0048177F" w:rsidP="0048177F">
      <w:r>
        <w:t xml:space="preserve">Nadajniki kluczy sprzętowych NETGEAR USB są zatwierdzone do użytku w typowych komputerach przenośnych. Aby spełnić wymagania FCC dotyczące narażenia na częstotliwości radiowe, nie należy używać nadajników kluczy sprzętowych NETGEAR USB w innych urządzeniach lub niektórych konfiguracjach laptopów i tabletów, jeśli złącza USB w komputerze głównym nie są w stanie dostarczyć lub zapewnić niezbędnych konfiguracji operacyjnych przeznaczonych dla urządzenia i jego użytkowników lub osób postronnych w zakresie spełnienia wymagań zgodności z narażeniem na częstotliwości radiowe.   </w:t>
      </w:r>
    </w:p>
    <w:p w14:paraId="3460E2A6" w14:textId="77777777" w:rsidR="00D54FF3" w:rsidRDefault="00D54FF3" w:rsidP="00481C42">
      <w:pPr>
        <w:pStyle w:val="Heading3"/>
      </w:pPr>
      <w:bookmarkStart w:id="32" w:name="_Toc118886381"/>
      <w:bookmarkStart w:id="33" w:name="_Hlk35510675"/>
      <w:r>
        <w:t>Oświadczenie o maksymalnym dopuszczalnym narażeniu</w:t>
      </w:r>
      <w:bookmarkEnd w:id="32"/>
    </w:p>
    <w:p w14:paraId="03E3C1DD" w14:textId="77777777" w:rsidR="00D54FF3" w:rsidRDefault="00D54FF3" w:rsidP="00D54FF3">
      <w:r>
        <w:t xml:space="preserve">Informacje zawarte w niniejszym rozdziale dotyczą produktów bezprzewodowych firmy NETGEAR, które są przeznaczone do pracy przynajmniej 20 cm od ciała ludzkiego. </w:t>
      </w:r>
    </w:p>
    <w:p w14:paraId="539100AB" w14:textId="49DB7D8B" w:rsidR="00D54FF3" w:rsidRDefault="00D54FF3" w:rsidP="00D54FF3">
      <w:r>
        <w:t>Produkty firmy NETGEAR spełniają normy FCC w zakresie emisji promieniowania w typowym otoczeniu, w którym przebywają ludzie. Zaleca się, aby urządzenia były instalowane i obsługiwane z zachowaniem minimalnej odległości 35 cm pomiędzy promiennikiem a ciałem użytkownika. Aby sprawdzić minimalną odległość i uzyskać dalsze szczegóły dotyczące konkretnych produktów, patrz sekcja Narażenie na promieniowanie radiowe na stronie:</w:t>
      </w:r>
    </w:p>
    <w:p w14:paraId="7CD38199" w14:textId="3B9E51B1" w:rsidR="00D54FF3" w:rsidRDefault="005F0D70" w:rsidP="00D54FF3">
      <w:hyperlink r:id="rId25" w:history="1">
        <w:r w:rsidR="00E63B27">
          <w:rPr>
            <w:rStyle w:val="Hyperlink"/>
          </w:rPr>
          <w:t>https://www.netgear.com/about/regulatory/</w:t>
        </w:r>
      </w:hyperlink>
    </w:p>
    <w:p w14:paraId="557A8C2A" w14:textId="77777777" w:rsidR="00E3743F" w:rsidRDefault="00E3743F" w:rsidP="00481C42">
      <w:pPr>
        <w:pStyle w:val="Heading2"/>
      </w:pPr>
      <w:bookmarkStart w:id="34" w:name="_Toc118886382"/>
      <w:bookmarkEnd w:id="33"/>
      <w:r>
        <w:t>Szczególne środki ostrożności dotyczące EMC</w:t>
      </w:r>
      <w:bookmarkEnd w:id="34"/>
      <w:r>
        <w:t xml:space="preserve"> </w:t>
      </w:r>
    </w:p>
    <w:p w14:paraId="59601A7F" w14:textId="77777777" w:rsidR="00E3743F" w:rsidRPr="00EE61BC" w:rsidRDefault="00E3743F" w:rsidP="0060535B">
      <w:r>
        <w:t>Produkty firmy Netgear, w tym wszystkie urządzenia bezprzewodowe, moduły i małe przełączniki sieciowe są urządzeniami klasy B EMC. Przełączniki Ethernet z więcej niż 8 portami są zazwyczaj urządzeniami klasy A EMC.</w:t>
      </w:r>
    </w:p>
    <w:p w14:paraId="56E561E9" w14:textId="77777777" w:rsidR="00E3743F" w:rsidRPr="00D93A87" w:rsidRDefault="00E3743F" w:rsidP="00481C42">
      <w:pPr>
        <w:pStyle w:val="Heading3"/>
      </w:pPr>
      <w:bookmarkStart w:id="35" w:name="_Toc118886383"/>
      <w:r>
        <w:t>Produkty klasy B</w:t>
      </w:r>
      <w:bookmarkEnd w:id="35"/>
    </w:p>
    <w:p w14:paraId="38EA1770" w14:textId="77777777" w:rsidR="00E3743F" w:rsidRPr="004E534D" w:rsidRDefault="00E3743F" w:rsidP="00E3743F">
      <w:pPr>
        <w:rPr>
          <w:rFonts w:cs="Arial"/>
        </w:rPr>
      </w:pPr>
      <w:r>
        <w:t>Produkt firmy NETGEAR został przetestowany i spełnia ograniczenia dotyczące urządzeń cyfrowych klasy B wynikające z części 15 przepisów FCC. Ograniczenia te zostały opracowane w celu zapewnienia rozsądnej ochrony przed szkodliwymi zakłóceniami w instalacjach domowych. Niniejsze urządzenie używa i emituje sygnał o częstotliwości radiowej i jeśli nie zostanie zainstalowane zgodnie z instrukcją, może powodować zakłócenia w komunikacji radiowej. Nie ma jednak gwarancji, że zakłócenia nie wystąpią w konkretnej instalacji. Jeśli niniejsze urządzenie powoduje występowanie szkodliwych zakłóceń w odbiorze radia lub telewizji, które można stwierdzić poprzez wyłączenie i włączenie urządzenia, użytkownik może wykonać następujące czynności w celu ich usunięcia:</w:t>
      </w:r>
    </w:p>
    <w:p w14:paraId="0791FDD4" w14:textId="77777777" w:rsidR="00E3743F" w:rsidRPr="004E534D" w:rsidRDefault="00E3743F" w:rsidP="00E3743F">
      <w:pPr>
        <w:pStyle w:val="ListParagraph"/>
        <w:numPr>
          <w:ilvl w:val="0"/>
          <w:numId w:val="13"/>
        </w:numPr>
        <w:rPr>
          <w:rFonts w:cs="Arial"/>
        </w:rPr>
      </w:pPr>
      <w:r>
        <w:t>Zmienić orientację lub położenie anteny odbiorczej.</w:t>
      </w:r>
    </w:p>
    <w:p w14:paraId="06C37534" w14:textId="77777777" w:rsidR="00E3743F" w:rsidRPr="004E534D" w:rsidRDefault="00E3743F" w:rsidP="00E3743F">
      <w:pPr>
        <w:pStyle w:val="ListParagraph"/>
        <w:numPr>
          <w:ilvl w:val="0"/>
          <w:numId w:val="13"/>
        </w:numPr>
        <w:rPr>
          <w:rFonts w:cs="Arial"/>
        </w:rPr>
      </w:pPr>
      <w:r>
        <w:t>Zwiększyć odległość między urządzeniem a odbiornikiem.</w:t>
      </w:r>
    </w:p>
    <w:p w14:paraId="1373EE70" w14:textId="77777777" w:rsidR="00E3743F" w:rsidRPr="004E534D" w:rsidRDefault="00E3743F" w:rsidP="00E3743F">
      <w:pPr>
        <w:pStyle w:val="ListParagraph"/>
        <w:numPr>
          <w:ilvl w:val="0"/>
          <w:numId w:val="13"/>
        </w:numPr>
        <w:rPr>
          <w:rFonts w:cs="Arial"/>
        </w:rPr>
      </w:pPr>
      <w:r>
        <w:t>Podłączyć urządzenie do gniazdka zasilania znajdującego się w innym obwodzie niż ten, do którego jest podłączony odbiornik radiowy.</w:t>
      </w:r>
    </w:p>
    <w:p w14:paraId="618EE80C" w14:textId="77777777" w:rsidR="00E3743F" w:rsidRDefault="00E3743F" w:rsidP="00E3743F">
      <w:pPr>
        <w:pStyle w:val="ListParagraph"/>
        <w:numPr>
          <w:ilvl w:val="0"/>
          <w:numId w:val="13"/>
        </w:numPr>
        <w:rPr>
          <w:rFonts w:cs="Arial"/>
        </w:rPr>
      </w:pPr>
      <w:r>
        <w:t>Dodatkową pomoc można uzyskać u sprzedawcy lub doświadczonego technika RTV.</w:t>
      </w:r>
    </w:p>
    <w:p w14:paraId="4268F864" w14:textId="77777777" w:rsidR="00E3743F" w:rsidRDefault="00E3743F" w:rsidP="00481C42">
      <w:pPr>
        <w:pStyle w:val="Heading3"/>
      </w:pPr>
      <w:bookmarkStart w:id="36" w:name="_Toc118886384"/>
      <w:r>
        <w:t>Produkty klasy A</w:t>
      </w:r>
      <w:bookmarkEnd w:id="36"/>
    </w:p>
    <w:p w14:paraId="500DDA9C" w14:textId="77777777" w:rsidR="00E3743F" w:rsidRPr="000B1672" w:rsidRDefault="00E3743F" w:rsidP="00E3743F">
      <w:pPr>
        <w:rPr>
          <w:rFonts w:cs="Arial"/>
        </w:rPr>
      </w:pPr>
      <w:r>
        <w:t>Produkt firmy NETGEAR został przetestowany i spełnia ograniczenia dotyczące urządzeń cyfrowych klasy A wynikające z części 15 przepisów FCC. Ograniczenia te zostały opracowane w celu zapewnienia rozsądnej ochrony przed szkodliwymi zakłóceniami, gdy sprzęt jest używany w środowisku komercyjnym. Niniejsze urządzenie wytwarza, używa i emituje sygnał o częstotliwości radiowej i jeśli nie zostanie zainstalowane zgodnie z instrukcją, może powodować zakłócenia w komunikacji radiowej. Użytkowanie tego urządzenia w obszarze mieszkalnym może powodować szkodliwe zakłócenia, w którym to przypadku użytkownik będzie zobowiązany do usunięcia zakłóceń na własny koszt.</w:t>
      </w:r>
    </w:p>
    <w:p w14:paraId="591FD6D9" w14:textId="77777777" w:rsidR="00B654CA" w:rsidRPr="00481C42" w:rsidRDefault="007C5FA2" w:rsidP="00481C42">
      <w:pPr>
        <w:pStyle w:val="Heading2"/>
      </w:pPr>
      <w:bookmarkStart w:id="37" w:name="_Toc118886385"/>
      <w:r>
        <w:t>Powiadomienie FCC część 68</w:t>
      </w:r>
      <w:bookmarkEnd w:id="37"/>
    </w:p>
    <w:bookmarkEnd w:id="30"/>
    <w:p w14:paraId="6EA72E34" w14:textId="77777777" w:rsidR="009C27BE" w:rsidRDefault="007C5FA2" w:rsidP="004E534D">
      <w:pPr>
        <w:rPr>
          <w:rFonts w:cs="Arial"/>
        </w:rPr>
      </w:pPr>
      <w:r>
        <w:t>Poniższe urządzenie jest zgodne z częścią 68 przepisów FCC i wymaganiami przyjętymi przez ACTA:</w:t>
      </w:r>
    </w:p>
    <w:p w14:paraId="1EA46107" w14:textId="0CE086C0" w:rsidR="007C5FA2" w:rsidRDefault="007C5FA2" w:rsidP="0060535B">
      <w:pPr>
        <w:pStyle w:val="Heading4"/>
      </w:pPr>
      <w:r>
        <w:t>Tabela 4. Produkty objęte zakresem części 68 przepisów FCC</w:t>
      </w:r>
    </w:p>
    <w:tbl>
      <w:tblPr>
        <w:tblStyle w:val="TableGrid"/>
        <w:tblW w:w="0" w:type="auto"/>
        <w:tblInd w:w="720" w:type="dxa"/>
        <w:tblLook w:val="04A0" w:firstRow="1" w:lastRow="0" w:firstColumn="1" w:lastColumn="0" w:noHBand="0" w:noVBand="1"/>
      </w:tblPr>
      <w:tblGrid>
        <w:gridCol w:w="4315"/>
        <w:gridCol w:w="4315"/>
      </w:tblGrid>
      <w:tr w:rsidR="007C5FA2" w14:paraId="65B6D42C" w14:textId="77777777" w:rsidTr="007C5FA2">
        <w:tc>
          <w:tcPr>
            <w:tcW w:w="4315" w:type="dxa"/>
          </w:tcPr>
          <w:p w14:paraId="232AFED2" w14:textId="77777777" w:rsidR="007C5FA2" w:rsidRDefault="007C5FA2" w:rsidP="009C27BE">
            <w:pPr>
              <w:pStyle w:val="ListParagraph"/>
              <w:numPr>
                <w:ilvl w:val="0"/>
                <w:numId w:val="28"/>
              </w:numPr>
              <w:ind w:left="0" w:firstLine="0"/>
              <w:rPr>
                <w:rFonts w:cs="Arial"/>
              </w:rPr>
            </w:pPr>
            <w:r>
              <w:t>D2200D</w:t>
            </w:r>
          </w:p>
        </w:tc>
        <w:tc>
          <w:tcPr>
            <w:tcW w:w="4315" w:type="dxa"/>
          </w:tcPr>
          <w:p w14:paraId="437E7762" w14:textId="77777777" w:rsidR="007C5FA2" w:rsidRDefault="007C5FA2" w:rsidP="000E6B64">
            <w:pPr>
              <w:pStyle w:val="ListParagraph"/>
              <w:ind w:left="0"/>
              <w:rPr>
                <w:rFonts w:cs="Arial"/>
              </w:rPr>
            </w:pPr>
          </w:p>
        </w:tc>
      </w:tr>
      <w:tr w:rsidR="007C5FA2" w14:paraId="05F42464" w14:textId="77777777" w:rsidTr="007C5FA2">
        <w:tc>
          <w:tcPr>
            <w:tcW w:w="4315" w:type="dxa"/>
          </w:tcPr>
          <w:p w14:paraId="31F69991" w14:textId="77777777" w:rsidR="007C5FA2" w:rsidRDefault="007C5FA2" w:rsidP="000E6B64">
            <w:pPr>
              <w:pStyle w:val="ListParagraph"/>
              <w:ind w:left="0"/>
              <w:rPr>
                <w:rFonts w:cs="Arial"/>
              </w:rPr>
            </w:pPr>
          </w:p>
        </w:tc>
        <w:tc>
          <w:tcPr>
            <w:tcW w:w="4315" w:type="dxa"/>
          </w:tcPr>
          <w:p w14:paraId="5C6E13A2" w14:textId="77777777" w:rsidR="007C5FA2" w:rsidRDefault="007C5FA2" w:rsidP="000E6B64">
            <w:pPr>
              <w:pStyle w:val="ListParagraph"/>
              <w:ind w:left="0"/>
              <w:rPr>
                <w:rFonts w:cs="Arial"/>
              </w:rPr>
            </w:pPr>
          </w:p>
        </w:tc>
      </w:tr>
    </w:tbl>
    <w:p w14:paraId="0224D172" w14:textId="77777777" w:rsidR="009C27BE" w:rsidRPr="009C27BE" w:rsidRDefault="009C27BE" w:rsidP="007C5FA2">
      <w:pPr>
        <w:spacing w:before="60" w:after="60"/>
        <w:rPr>
          <w:rFonts w:cs="Arial"/>
        </w:rPr>
      </w:pPr>
      <w:r>
        <w:t xml:space="preserve">Na etykiecie produktu tego urządzenia znajduje się etykieta, która zawiera, oprócz innych informacji, oznaczenie produktu w formacie US:WXXXXYYYZZZZZ. Na żądanie należy podać ten numer operatorowi telefonicznemu. </w:t>
      </w:r>
    </w:p>
    <w:p w14:paraId="13914DCD" w14:textId="24C98F03" w:rsidR="004E534D" w:rsidRPr="00530C71" w:rsidRDefault="00530C71" w:rsidP="00481C42">
      <w:pPr>
        <w:pStyle w:val="Heading1"/>
      </w:pPr>
      <w:bookmarkStart w:id="38" w:name="_Toc118886386"/>
      <w:r>
        <w:t>Przepisy Kanady dotyczące innowacji, nauki i rozwoju gospodarczego (ISED)</w:t>
      </w:r>
      <w:bookmarkEnd w:id="38"/>
    </w:p>
    <w:p w14:paraId="486262DA" w14:textId="77777777" w:rsidR="006840DB" w:rsidRDefault="00AC23E2" w:rsidP="0014339D">
      <w:r>
        <w:t>Informacje zawarte w tym rozdziale dotyczą produktów opatrzonych którymkolwiek z poniższych oznaczeń:</w:t>
      </w:r>
    </w:p>
    <w:p w14:paraId="01771393" w14:textId="5E022E46" w:rsidR="00D93A87" w:rsidRDefault="00D93A87" w:rsidP="0097006B">
      <w:pPr>
        <w:spacing w:after="120"/>
        <w:ind w:left="720"/>
      </w:pPr>
      <w:r>
        <w:t>CAN ICES-003 (B)/NMB-003(B)</w:t>
      </w:r>
    </w:p>
    <w:p w14:paraId="5036A1BA" w14:textId="0CB6FBDE" w:rsidR="00D93A87" w:rsidRDefault="00D93A87" w:rsidP="0097006B">
      <w:pPr>
        <w:spacing w:after="120"/>
        <w:ind w:left="720"/>
      </w:pPr>
      <w:r>
        <w:t>CAN ICES-003 (A)/NMB-003(A)</w:t>
      </w:r>
    </w:p>
    <w:p w14:paraId="5AE746AB" w14:textId="77777777" w:rsidR="007D5B99" w:rsidRPr="006840DB" w:rsidRDefault="007D5B99" w:rsidP="006840DB">
      <w:pPr>
        <w:ind w:left="720"/>
      </w:pPr>
      <w:r>
        <w:t>Niniejsze urządzenie cyfrowe nie przekracza ograniczeń dotyczących emisji zakłóceń o częstotliwości radiowej dla urządzeń cyfrowych klasy B określonych w przepisach dotyczących zakłóceń komunikacji radiowej przez Kanadyjski Departament Komunikacji (Radio Interference Regulations of the Canadian Department of Communications).</w:t>
      </w:r>
    </w:p>
    <w:p w14:paraId="4E915763" w14:textId="77777777" w:rsidR="00B36BA1" w:rsidRDefault="00217BC8" w:rsidP="004E534D">
      <w:pPr>
        <w:rPr>
          <w:rFonts w:cs="Arial"/>
        </w:rPr>
      </w:pPr>
      <w:r>
        <w:t>Wszystkie produkty NETGEAR są zgodne z normami RSS zwolnionymi z licencji ISED. Może być używane po spełnieniu dwóch następujących warunków: (1) Produkty firmy NETGEAR nie mogą powodować szkodliwych zakłóceń oraz (2) produkty firmy NETGEAR muszą działać, pomimo odebranych zakłóceń, nawet powodujących niepożądane działanie.</w:t>
      </w:r>
    </w:p>
    <w:p w14:paraId="240A6E17" w14:textId="3F2E2665" w:rsidR="00E3743F" w:rsidRPr="004E534D" w:rsidRDefault="00E3743F" w:rsidP="00481C42">
      <w:pPr>
        <w:pStyle w:val="Heading2"/>
      </w:pPr>
      <w:bookmarkStart w:id="39" w:name="_Toc118886387"/>
      <w:r>
        <w:t>Ostrzeżenia i instrukcje o częstotliwościach radiowych</w:t>
      </w:r>
      <w:bookmarkEnd w:id="39"/>
    </w:p>
    <w:p w14:paraId="246BBB51" w14:textId="77777777" w:rsidR="00E3743F" w:rsidRDefault="00E3743F" w:rsidP="00E3743F">
      <w:pPr>
        <w:rPr>
          <w:rFonts w:cs="Arial"/>
        </w:rPr>
      </w:pPr>
      <w:r>
        <w:t>W przypadku produktów dostępnych na rynku USA/Kanady, można obsługiwać tylko kanały 1~11. Wybór innych kanałów nie jest możliwy.</w:t>
      </w:r>
    </w:p>
    <w:p w14:paraId="49CBFE85" w14:textId="77777777" w:rsidR="00E3743F" w:rsidRDefault="00E3743F" w:rsidP="00E3743F">
      <w:pPr>
        <w:rPr>
          <w:rFonts w:cs="Arial"/>
        </w:rPr>
      </w:pPr>
      <w:r>
        <w:t>Urządzenie i jego antena(y) nie mogą być umieszczane w jednym miejscu ani pracować w połączeniu z żadną inną anteną lub nadajnikiem, chyba że zgodnie z procedurami IC dotyczącymi produktów wielonadajnikowych.</w:t>
      </w:r>
    </w:p>
    <w:p w14:paraId="62E8945B" w14:textId="09A277FA" w:rsidR="00E3743F" w:rsidRDefault="00E3743F" w:rsidP="00E3743F">
      <w:pPr>
        <w:rPr>
          <w:rFonts w:cs="Arial"/>
        </w:rPr>
      </w:pPr>
      <w:r>
        <w:t>Urządzenie dla zakresu 5150–5250 MHz przeznaczone jest wyłącznie do użytku wewnątrz pomieszczeń w celu zmniejszenia możliwości wystąpienia szkodliwych zakłóceń we współkanałowych ruchomych systemach satelitarnych.</w:t>
      </w:r>
    </w:p>
    <w:p w14:paraId="29B5759B" w14:textId="77777777" w:rsidR="00C34109" w:rsidRDefault="00C34109" w:rsidP="00C34109">
      <w:pPr>
        <w:rPr>
          <w:rFonts w:cs="Arial"/>
        </w:rPr>
      </w:pPr>
      <w:r>
        <w:t>Użytkownicy powinni być również poinformowani, że radary o dużej mocy są przydzielone jako główni użytkownicy (tj. użytkownicy priorytetowi) pasm 5250–5350 MHz i 5650–5850 MHz i że te radary mogą powodować zakłócenia i/lub uszkodzenia urządzeń LE-LAN.</w:t>
      </w:r>
    </w:p>
    <w:p w14:paraId="025AAFC0" w14:textId="67AEC060" w:rsidR="002A7E78" w:rsidRPr="00EE5249" w:rsidRDefault="002A7E78" w:rsidP="002A7E78">
      <w:pPr>
        <w:rPr>
          <w:rFonts w:cs="Arial"/>
        </w:rPr>
      </w:pPr>
      <w:r>
        <w:t>Zgodnie z przepisami ISED, ten nadajnik radiowy może działać wyłącznie przy użyciu anteny określonego typu o maksymalnym (lub mniejszym) wzmocnieniu zatwierdzonym dla nadajnika przez ISED. W celu zmniejszenia potencjalnych zakłóceń radiowych u innych użytkowników, typ anteny i jej wzmocnienie powinny być tak dobrane, aby równoważna moc promieniowana izotropowo (e.i.r.p.) nie była większa niż moc niezbędna do skutecznej komunikacji. Patrz tabela 2</w:t>
      </w:r>
    </w:p>
    <w:p w14:paraId="11F8F464" w14:textId="63E1672A" w:rsidR="00C34109" w:rsidRDefault="00C34109" w:rsidP="00C34109">
      <w:pPr>
        <w:rPr>
          <w:rFonts w:cs="Arial"/>
        </w:rPr>
      </w:pPr>
      <w:r>
        <w:t>Maksymalne wzmocnienie anteny dozwolone dla urządzeń w zakresach 5250–5350 MHz i 5470–5725 MHz musi być zgodne z wartością graniczną EIRP (zastępczej mocy promieniowanej izotropowo).</w:t>
      </w:r>
    </w:p>
    <w:p w14:paraId="0FA04162" w14:textId="14587A94" w:rsidR="00C34109" w:rsidRDefault="00C34109" w:rsidP="002A7E78">
      <w:pPr>
        <w:rPr>
          <w:rFonts w:cs="Arial"/>
          <w:color w:val="000000"/>
          <w:szCs w:val="18"/>
        </w:rPr>
      </w:pPr>
      <w:r>
        <w:rPr>
          <w:color w:val="000000"/>
        </w:rPr>
        <w:t>Maksymalne wzmocnienie anteny dozwolone dla urządzeń w zakresie 5725–5825 MHz musi być zgodne z wartościami granicznymi EIRP (zastępczej mocy promieniowanej izotropowo) określonymi odpowiednio dla trybu punkt-punkt i punkt-wielopunkt.</w:t>
      </w:r>
    </w:p>
    <w:p w14:paraId="22868082" w14:textId="5D2F436C" w:rsidR="00054A73" w:rsidRDefault="00054A73" w:rsidP="00054A73">
      <w:r>
        <w:t>Urządzenie korzystające z pasma 5925–6425 MHz jest przeznaczone wyłącznie do użytku wewnętrznego. Działanie tego urządzenia jest zabronione na platformach wiertniczych oraz w samochodach, pociągach, łodziach i samolotach (z wyjątkiem dużych samolotów lecących powyżej 3 km nad ziemią, w takim przypadku działanie urządzenia jest dozwolone). Działanie nadajników w paśmie 5925–6425 MHz jest niedozwolone dla komunikacji i sterowania bezzałogowymi systemami powietrznymi.</w:t>
      </w:r>
    </w:p>
    <w:p w14:paraId="4E405205" w14:textId="77777777" w:rsidR="00D72E30" w:rsidRPr="004E534D" w:rsidRDefault="00D72E30" w:rsidP="00481C42">
      <w:pPr>
        <w:pStyle w:val="Heading2"/>
      </w:pPr>
      <w:bookmarkStart w:id="40" w:name="_Toc118886388"/>
      <w:r>
        <w:t>WAŻNE UWAGI: Oświadczenie o narażeniu na promieniowanie</w:t>
      </w:r>
      <w:bookmarkEnd w:id="40"/>
    </w:p>
    <w:p w14:paraId="02CCAABD" w14:textId="77777777" w:rsidR="00D72E30" w:rsidRPr="00356269" w:rsidRDefault="00D72E30" w:rsidP="00481C42">
      <w:pPr>
        <w:pStyle w:val="Heading3"/>
      </w:pPr>
      <w:bookmarkStart w:id="41" w:name="_Toc118886389"/>
      <w:bookmarkStart w:id="42" w:name="_Hlk35587083"/>
      <w:r>
        <w:t>Ostrzeżenie SAR:</w:t>
      </w:r>
      <w:bookmarkEnd w:id="41"/>
    </w:p>
    <w:p w14:paraId="1E1526EB" w14:textId="77777777" w:rsidR="00406A5B" w:rsidRDefault="00406A5B" w:rsidP="00406A5B">
      <w:r>
        <w:t xml:space="preserve">Informacje zawarte w niniejszym rozdziale dotyczą produktów bezprzewodowych firmy NETGEAR, które są przeznaczone do pracy w pobliżu ciała ludzkiego. </w:t>
      </w:r>
    </w:p>
    <w:p w14:paraId="00BEBBC7" w14:textId="4E823110" w:rsidR="00D72E30" w:rsidRPr="00356269" w:rsidRDefault="00D72E30" w:rsidP="00D72E30">
      <w:pPr>
        <w:rPr>
          <w:rFonts w:cs="Arial"/>
        </w:rPr>
      </w:pPr>
      <w:r>
        <w:t>Produkty firmy NETGEAR są zgodne z limitami SAR dla populacji ogólnej/niekontrolowanej ekspozycji w IC RSS-102 i zostały przetestowane zgodnie z metodami i procedurami pomiarowymi określonymi w IEEE 1528. Zachowaj co najmniej 10 mm odstępu przy pracy w pobliżu ciała.</w:t>
      </w:r>
    </w:p>
    <w:p w14:paraId="5289C8CB" w14:textId="1F0F8C9C" w:rsidR="007E5B60" w:rsidRDefault="007E5B60" w:rsidP="004E534D">
      <w:pPr>
        <w:rPr>
          <w:rFonts w:cs="Arial"/>
        </w:rPr>
      </w:pPr>
      <w:r>
        <w:t>Produkty firmy NETGEAR są zgodne z kanadyjskim limitem narażenia na przenośne częstotliwości radiowe, określonym dla niekontrolowanego środowiska i są bezpieczne dla zamierzonego działania, jak opisano w instrukcji obsługi. Dalsze zmniejszenie narażenia na działanie fal radiowych można osiągnąć poprzez trzymanie produktu jak najdalej od ciała lub ustawienie urządzenia na niższą moc wyjściową, jeśli taka funkcja jest dostępna.</w:t>
      </w:r>
    </w:p>
    <w:p w14:paraId="2AA60DAC" w14:textId="6D0618C8" w:rsidR="00314CF3" w:rsidRDefault="00314CF3" w:rsidP="00314CF3">
      <w:r>
        <w:t>Aby uzyskać więcej informacji i zobaczyć najwyższy poziom SAR zmierzony dla tego urządzenia, patrz sekcja Narażenie na promieniowanie radiowe na stronie:</w:t>
      </w:r>
    </w:p>
    <w:p w14:paraId="3F673B94" w14:textId="6D1A3985" w:rsidR="00314CF3" w:rsidRDefault="005F0D70" w:rsidP="00314CF3">
      <w:hyperlink r:id="rId26" w:history="1">
        <w:r w:rsidR="00E63B27">
          <w:rPr>
            <w:rStyle w:val="Hyperlink"/>
          </w:rPr>
          <w:t>https://www.netgear.com/about/regulatory/</w:t>
        </w:r>
      </w:hyperlink>
    </w:p>
    <w:p w14:paraId="5D4F1079" w14:textId="77777777" w:rsidR="00406A5B" w:rsidRDefault="00406A5B" w:rsidP="00481C42">
      <w:pPr>
        <w:pStyle w:val="Heading3"/>
      </w:pPr>
      <w:bookmarkStart w:id="43" w:name="_Toc118886390"/>
      <w:r>
        <w:t>Oświadczenie o maksymalnym dopuszczalnym narażeniu</w:t>
      </w:r>
      <w:bookmarkEnd w:id="43"/>
    </w:p>
    <w:p w14:paraId="3D37D769" w14:textId="77777777" w:rsidR="00406A5B" w:rsidRDefault="00406A5B" w:rsidP="00406A5B">
      <w:r>
        <w:t xml:space="preserve">Informacje zawarte w niniejszym rozdziale dotyczą produktów bezprzewodowych firmy NETGEAR, które są przeznaczone do pracy przynajmniej 20 cm od ciała ludzkiego. </w:t>
      </w:r>
    </w:p>
    <w:p w14:paraId="715D26E3" w14:textId="72800A33" w:rsidR="0031607B" w:rsidRDefault="00406A5B" w:rsidP="0031607B">
      <w:r>
        <w:t>Produkty firmy NETGEAR spełniają normy IC w zakresie emisji promieniowania w typowym otoczeniu, w którym przebywają ludzie.  Produkty firmy NETGEAR powinny się znajdować w miejscu gwarantującym odstęp co najmniej 20 cm od grzejnika i od ciała. Aby sprawdzić minimalną odległość i uzyskać więcej szczegółów oraz najwyższy zmierzony poziom SAR dla tego urządzenia, patrz sekcja Narażenie na promieniowanie radiowe na stronie:</w:t>
      </w:r>
    </w:p>
    <w:p w14:paraId="1DA9D3A5" w14:textId="64482BF5" w:rsidR="0031607B" w:rsidRDefault="005F0D70" w:rsidP="0031607B">
      <w:hyperlink r:id="rId27" w:history="1">
        <w:r w:rsidR="00E63B27">
          <w:rPr>
            <w:rStyle w:val="Hyperlink"/>
          </w:rPr>
          <w:t>https://www.netgear.com/about/regulatory/</w:t>
        </w:r>
      </w:hyperlink>
    </w:p>
    <w:p w14:paraId="39004ED7" w14:textId="00F6CE78" w:rsidR="00C509BF" w:rsidRDefault="00C509BF" w:rsidP="000E6B64">
      <w:pPr>
        <w:pStyle w:val="Heading2"/>
      </w:pPr>
      <w:bookmarkStart w:id="44" w:name="_Toc118886391"/>
      <w:bookmarkEnd w:id="42"/>
      <w:r>
        <w:rPr>
          <w:rStyle w:val="Hyperlink"/>
        </w:rPr>
        <w:t>Rozporządzenie Ontario 522/20</w:t>
      </w:r>
      <w:bookmarkEnd w:id="44"/>
      <w:r>
        <w:rPr>
          <w:rStyle w:val="Hyperlink"/>
        </w:rPr>
        <w:t xml:space="preserve"> </w:t>
      </w:r>
    </w:p>
    <w:p w14:paraId="280B33B1" w14:textId="59F2B49C" w:rsidR="00B15620" w:rsidRDefault="00C509BF" w:rsidP="00FC69CD">
      <w:pPr>
        <w:rPr>
          <w:rFonts w:ascii="Calibri" w:hAnsi="Calibri"/>
          <w:color w:val="993366"/>
          <w:sz w:val="22"/>
        </w:rPr>
      </w:pPr>
      <w:r>
        <w:t xml:space="preserve">Przepisy Ontario dotyczące sprzętu elektronicznego i elektrycznego (EEE) obowiązują od 1 stycznia 2021 r. na mocy ustawy o odzysku zasobów i gospodarce obiegowej (ang. Resource Recovery and Circular Economy Act). Firma NETGEAR wypełnia swoje zobowiązania poprzez EPRA Ontario — wybraną przez siebie Organizację ds. odpowiedzialności producenta.  </w:t>
      </w:r>
      <w:r w:rsidR="00FC69CD">
        <w:rPr>
          <w:rStyle w:val="cf01"/>
        </w:rPr>
        <w:t>Aby uzyskać informacje na temat zbiórki zużytego sprzętu elektronicznego i uzyskać więcej informacji na temat programu, odwiedź stronę internetową EPRA pod adresem:</w:t>
      </w:r>
      <w:hyperlink r:id="rId28" w:history="1">
        <w:r w:rsidR="00B15620">
          <w:rPr>
            <w:rStyle w:val="Hyperlink"/>
          </w:rPr>
          <w:t>https://recyclemyelectronics.ca/on/</w:t>
        </w:r>
      </w:hyperlink>
    </w:p>
    <w:p w14:paraId="0C25431F" w14:textId="07B31F94" w:rsidR="00AD3F79" w:rsidRPr="00AD3F79" w:rsidRDefault="00AD3F79" w:rsidP="00AD3F79">
      <w:pPr>
        <w:pStyle w:val="Heading1"/>
      </w:pPr>
      <w:bookmarkStart w:id="45" w:name="_Toc92220737"/>
      <w:bookmarkStart w:id="46" w:name="_Toc118886392"/>
      <w:r>
        <w:t>Réglementations du ministère Innovation, Sciences et Développement économique Canada (ISDE)</w:t>
      </w:r>
      <w:bookmarkEnd w:id="45"/>
      <w:r>
        <w:t xml:space="preserve"> – français</w:t>
      </w:r>
      <w:bookmarkEnd w:id="46"/>
    </w:p>
    <w:p w14:paraId="019449F0" w14:textId="77777777" w:rsidR="00AD3F79" w:rsidRPr="00AD3F79" w:rsidRDefault="00AD3F79" w:rsidP="00AD3F79"/>
    <w:p w14:paraId="0900F4AB" w14:textId="77777777" w:rsidR="00AD3F79" w:rsidRPr="00B97C7A" w:rsidRDefault="00AD3F79" w:rsidP="00AD3F79">
      <w:r>
        <w:t>Les informations de cette rubrique s'appliquent aux produits portant l'une des déclarations suivantes :</w:t>
      </w:r>
    </w:p>
    <w:p w14:paraId="04B6FB7F" w14:textId="77777777" w:rsidR="00AD3F79" w:rsidRPr="00B97C7A" w:rsidRDefault="00AD3F79" w:rsidP="00AD3F79">
      <w:pPr>
        <w:spacing w:after="120"/>
        <w:ind w:left="720"/>
      </w:pPr>
      <w:r>
        <w:t>CAN ICES-003 (B)/NMB-003(B)</w:t>
      </w:r>
    </w:p>
    <w:p w14:paraId="7ADAF387" w14:textId="77777777" w:rsidR="00AD3F79" w:rsidRPr="00B97C7A" w:rsidRDefault="00AD3F79" w:rsidP="00AD3F79">
      <w:pPr>
        <w:spacing w:after="120"/>
        <w:ind w:left="720"/>
      </w:pPr>
      <w:r>
        <w:t>CAN ICES-003 (A)/NMB-003(A)</w:t>
      </w:r>
    </w:p>
    <w:p w14:paraId="3CBD6B51" w14:textId="77777777" w:rsidR="00AD3F79" w:rsidRPr="00B97C7A" w:rsidRDefault="00AD3F79" w:rsidP="00AD3F79">
      <w:pPr>
        <w:ind w:left="720"/>
      </w:pPr>
      <w:r>
        <w:t>« Cet appareil numérique respecte les restrictions des émissions radio destinées aux appareils numériques de classe B établies par la réglementation canadienne sur les interférences radio.»</w:t>
      </w:r>
    </w:p>
    <w:p w14:paraId="49CAE435" w14:textId="77777777" w:rsidR="00AD3F79" w:rsidRPr="00B97C7A" w:rsidRDefault="00AD3F79" w:rsidP="00AD3F79">
      <w:pPr>
        <w:rPr>
          <w:rFonts w:cs="Arial"/>
        </w:rPr>
      </w:pPr>
      <w:r>
        <w:t>Tous les produits NETGEAR sont conformes aux normes RSS exemptes de licence d'ISDE. Le fonctionnement est soumis aux deux conditions suivantes : (1) les produits NETGEAR ne produisent pas d'interférences nuisibles, et (2) les produits NETGEAR doivent accepter toutes les interférences reçues, notamment celles qui peuvent entraîner un fonctionnement non souhaité.</w:t>
      </w:r>
    </w:p>
    <w:p w14:paraId="07A1A0AC" w14:textId="77777777" w:rsidR="00AD3F79" w:rsidRPr="00B97C7A" w:rsidRDefault="00AD3F79" w:rsidP="00AD3F79">
      <w:pPr>
        <w:pStyle w:val="Heading2"/>
      </w:pPr>
      <w:bookmarkStart w:id="47" w:name="_Toc92220738"/>
      <w:bookmarkStart w:id="48" w:name="_Toc118886393"/>
      <w:r>
        <w:t>Avertissements et instructions relatifs aux fréquences radio</w:t>
      </w:r>
      <w:bookmarkEnd w:id="47"/>
      <w:bookmarkEnd w:id="48"/>
    </w:p>
    <w:p w14:paraId="5E9D8AAC" w14:textId="77777777" w:rsidR="00AD3F79" w:rsidRPr="00B97C7A" w:rsidRDefault="00AD3F79" w:rsidP="00AD3F79">
      <w:pPr>
        <w:rPr>
          <w:rFonts w:cs="Arial"/>
        </w:rPr>
      </w:pPr>
      <w:r>
        <w:t>Pour les produits disponibles sur le marché américain ou canadien, seul le canal 1~11 est utilisable. Il n'est pas possible de sélectionner d'autres canaux.</w:t>
      </w:r>
    </w:p>
    <w:p w14:paraId="5CDDDE6C" w14:textId="77777777" w:rsidR="00AD3F79" w:rsidRPr="00B97C7A" w:rsidRDefault="00AD3F79" w:rsidP="00AD3F79">
      <w:pPr>
        <w:rPr>
          <w:rFonts w:cs="Arial"/>
        </w:rPr>
      </w:pPr>
      <w:r>
        <w:t>Cet appareil et son (ses) antenne(s) ne doivent pas se trouver à proximité ou fonctionner en combinaison avec d'autres antennes ou émetteurs, sauf en accord avec les procédures d'IC concernant les produits multi-émetteurs.</w:t>
      </w:r>
    </w:p>
    <w:p w14:paraId="46AAAB54" w14:textId="77777777" w:rsidR="00AD3F79" w:rsidRPr="00B97C7A" w:rsidRDefault="00AD3F79" w:rsidP="00AD3F79">
      <w:pPr>
        <w:rPr>
          <w:rFonts w:cs="Arial"/>
        </w:rPr>
      </w:pPr>
      <w:r>
        <w:t>L'appareil pour la bande 5150-5250 MHz est uniquement destiné à une utilisation en intérieur afin de réduire les risques d'interférences nuisibles pour les systèmes mobiles par satellite à canaux partagés.</w:t>
      </w:r>
    </w:p>
    <w:p w14:paraId="1C7B840B" w14:textId="77777777" w:rsidR="00AD3F79" w:rsidRPr="00B97C7A" w:rsidRDefault="00AD3F79" w:rsidP="00AD3F79">
      <w:pPr>
        <w:rPr>
          <w:rFonts w:cs="Arial"/>
        </w:rPr>
      </w:pPr>
      <w:r>
        <w:t>Les utilisateurs doivent également être informés que les radars à haute puissance sont attribués comme utilisateurs principaux (c'est-à-dire les utilisateurs prioritaires) des bandes 5250-5350 MHz et 5650-5850 MHz, et que ces radars peuvent causer des interférences et/ou endommager les appareils LE-LAN.</w:t>
      </w:r>
    </w:p>
    <w:p w14:paraId="49855B42" w14:textId="77777777" w:rsidR="00AD3F79" w:rsidRPr="00B97C7A" w:rsidRDefault="00AD3F79" w:rsidP="00AD3F79">
      <w:pPr>
        <w:rPr>
          <w:rFonts w:cs="Arial"/>
        </w:rPr>
      </w:pPr>
      <w:r>
        <w:t>En vertu des réglementations d'ISDE, cet émetteur radio ne peut fonctionner qu'avec une antenne d'un type et d'un gain maximum (ou inférieur) approuvés pour l'émetteur par ISDE. Afin de réduire les interférences radio potentielles pour les autres utilisateurs, le type d'antenne et son gain doivent être choisis de telle sorte que la puissance isotrope rayonnée équivalente (PIRE) ne soit pas supérieure à celle nécessaire à la réussite de la communication. Voir tableau 2</w:t>
      </w:r>
    </w:p>
    <w:p w14:paraId="1C0AD4D6" w14:textId="77777777" w:rsidR="00AD3F79" w:rsidRPr="00B97C7A" w:rsidRDefault="00AD3F79" w:rsidP="00AD3F79">
      <w:pPr>
        <w:rPr>
          <w:rFonts w:cs="Arial"/>
        </w:rPr>
      </w:pPr>
      <w:r>
        <w:t>Le gain d'antenne maximal autorisé pour les appareils des bandes 5250-5350 MHz et 5470-5725 MHz doit être conforme à la limite de PIRE (puissance isotrope rayonnée équivalente).</w:t>
      </w:r>
    </w:p>
    <w:p w14:paraId="6693D1C2" w14:textId="77777777" w:rsidR="00AD3F79" w:rsidRPr="00B97C7A" w:rsidRDefault="00AD3F79" w:rsidP="00AD3F79">
      <w:pPr>
        <w:rPr>
          <w:rFonts w:cs="Arial"/>
          <w:color w:val="000000"/>
          <w:szCs w:val="18"/>
        </w:rPr>
      </w:pPr>
      <w:r>
        <w:rPr>
          <w:color w:val="000000"/>
        </w:rPr>
        <w:t>Le gain d'antenne maximal autorisé pour les appareils de la bande 5725-5825 MHz doit être conforme aux limites de PIRE (puissance isotrope rayonnée équivalente) spécifiées pour le fonctionnement point à point et point à multipoint, selon le cas.</w:t>
      </w:r>
    </w:p>
    <w:p w14:paraId="4FE2EC46" w14:textId="77777777" w:rsidR="00AD3F79" w:rsidRPr="00B97C7A" w:rsidRDefault="00AD3F79" w:rsidP="00AD3F79">
      <w:r>
        <w:t>L'appareil pour la bande 5925-6425 MHz est uniquement destiné à une utilisation en intérieur. L'utilisation de cet appareil est interdite à bord des plateformes pétrolières, des voitures, des trains, des bateaux et des aéronefs, à une exception : l'utilisation de cet appareil est autorisée à bord des avions volant à plus de 10 000 pieds d'altitude. L'utilisation d'émetteurs sur la bande 5925-6425 MHz est interdite pour le contrôle des systèmes d'aéronef sans pilote ou la communication avec ces systèmes.</w:t>
      </w:r>
    </w:p>
    <w:p w14:paraId="4F8F0961" w14:textId="77777777" w:rsidR="00AD3F79" w:rsidRPr="00B97C7A" w:rsidRDefault="00AD3F79" w:rsidP="00AD3F79">
      <w:pPr>
        <w:pStyle w:val="Heading2"/>
      </w:pPr>
      <w:bookmarkStart w:id="49" w:name="_Toc92220739"/>
      <w:bookmarkStart w:id="50" w:name="_Toc118886394"/>
      <w:r>
        <w:t>REMARQUE IMPORTANTE : Déclaration concernant l'exposition aux rayonnements</w:t>
      </w:r>
      <w:bookmarkEnd w:id="49"/>
      <w:bookmarkEnd w:id="50"/>
    </w:p>
    <w:p w14:paraId="3D67A0CF" w14:textId="77777777" w:rsidR="00AD3F79" w:rsidRPr="00B97C7A" w:rsidRDefault="00AD3F79" w:rsidP="00AD3F79">
      <w:pPr>
        <w:pStyle w:val="Heading3"/>
      </w:pPr>
      <w:bookmarkStart w:id="51" w:name="_Toc92220740"/>
      <w:bookmarkStart w:id="52" w:name="_Toc118886395"/>
      <w:r>
        <w:t>Avertissement relatif au DAS :</w:t>
      </w:r>
      <w:bookmarkEnd w:id="51"/>
      <w:bookmarkEnd w:id="52"/>
    </w:p>
    <w:p w14:paraId="4B91057B" w14:textId="77777777" w:rsidR="00AD3F79" w:rsidRPr="00B97C7A" w:rsidRDefault="00AD3F79" w:rsidP="00AD3F79">
      <w:r>
        <w:t xml:space="preserve">Les informations de cette rubrique s'appliquent aux produits Wifi NETGEAR destinés à être utilisés à proximité du corps humain. </w:t>
      </w:r>
    </w:p>
    <w:p w14:paraId="158C292F" w14:textId="77777777" w:rsidR="00AD3F79" w:rsidRPr="00B97C7A" w:rsidRDefault="00AD3F79" w:rsidP="00AD3F79">
      <w:pPr>
        <w:rPr>
          <w:rFonts w:cs="Arial"/>
        </w:rPr>
      </w:pPr>
      <w: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3D14C053" w14:textId="77777777" w:rsidR="00AD3F79" w:rsidRPr="00B97C7A" w:rsidRDefault="00AD3F79" w:rsidP="00AD3F79">
      <w:pPr>
        <w:rPr>
          <w:rFonts w:cs="Arial"/>
        </w:rPr>
      </w:pPr>
      <w: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6022F83B" w14:textId="77777777" w:rsidR="00AD3F79" w:rsidRPr="00B97C7A" w:rsidRDefault="00AD3F79" w:rsidP="00AD3F79">
      <w:r>
        <w:t>Pour plus de détails et pour connaître le niveau de DAS le plus élevé mesuré pour cet appareil, reportez-vous à la rubrique Exposition radio à l'adresse suivante :</w:t>
      </w:r>
    </w:p>
    <w:p w14:paraId="3899E599" w14:textId="25399DF0" w:rsidR="00AD3F79" w:rsidRPr="00B97C7A" w:rsidRDefault="005F0D70" w:rsidP="00AD3F79">
      <w:hyperlink r:id="rId29" w:history="1">
        <w:r w:rsidR="00E63B27">
          <w:rPr>
            <w:rStyle w:val="Hyperlink"/>
          </w:rPr>
          <w:t>https://www.netgear.com/fr/about/regulatory/</w:t>
        </w:r>
      </w:hyperlink>
    </w:p>
    <w:p w14:paraId="0309E338" w14:textId="77777777" w:rsidR="00AD3F79" w:rsidRPr="00B97C7A" w:rsidRDefault="00AD3F79" w:rsidP="00AD3F79">
      <w:pPr>
        <w:pStyle w:val="Heading3"/>
      </w:pPr>
      <w:bookmarkStart w:id="53" w:name="_Toc92220741"/>
      <w:bookmarkStart w:id="54" w:name="_Toc118886396"/>
      <w:r>
        <w:t>Déclaration de limite d'exposition maximale admissible</w:t>
      </w:r>
      <w:bookmarkEnd w:id="53"/>
      <w:bookmarkEnd w:id="54"/>
    </w:p>
    <w:p w14:paraId="2D5E9D82" w14:textId="77777777" w:rsidR="00AD3F79" w:rsidRPr="00B97C7A" w:rsidRDefault="00AD3F79" w:rsidP="00AD3F79">
      <w:r>
        <w:t xml:space="preserve">Les informations de cette rubrique s'appliquent aux produits Wifi NETGEAR conçus pour être utilisés à au moins 20 cm du corps humain. </w:t>
      </w:r>
    </w:p>
    <w:p w14:paraId="21CD469E" w14:textId="77777777" w:rsidR="00AD3F79" w:rsidRPr="00B97C7A" w:rsidRDefault="00AD3F79" w:rsidP="00AD3F79">
      <w:r>
        <w:t>Les produits NETGEAR sont conformes aux limites d'exposition aux rayonnements IC définies pour un environnement non contrôlé.  Lorsque vous installez et utilisez des produits NETGEAR, maintenez une distance minimale de 70 cm entre l'élément rayonnant et votre corps. Pour vérifier la distance minimale, pour plus d'informations et pour connaître le niveau de DAS le plus élevé mesuré pour cet appareil, reportez-vous à la rubrique Exposition radio à l'adresse suivante :</w:t>
      </w:r>
    </w:p>
    <w:p w14:paraId="5B1AE354" w14:textId="1CA541E1" w:rsidR="00AD3F79" w:rsidRPr="00B97C7A" w:rsidRDefault="005F0D70" w:rsidP="00AD3F79">
      <w:hyperlink r:id="rId30" w:history="1">
        <w:r w:rsidR="00E63B27">
          <w:rPr>
            <w:rStyle w:val="Hyperlink"/>
          </w:rPr>
          <w:t>https://www.netgear.com/fr/about/regulatory/</w:t>
        </w:r>
      </w:hyperlink>
    </w:p>
    <w:p w14:paraId="318FF5BE" w14:textId="77777777" w:rsidR="00AD3F79" w:rsidRPr="00B97C7A" w:rsidRDefault="00AD3F79" w:rsidP="00AD3F79">
      <w:pPr>
        <w:pStyle w:val="Heading2"/>
      </w:pPr>
      <w:bookmarkStart w:id="55" w:name="_Toc92220742"/>
      <w:bookmarkStart w:id="56" w:name="_Toc118886397"/>
      <w:r>
        <w:rPr>
          <w:rStyle w:val="Hyperlink"/>
        </w:rPr>
        <w:t>Règlement 522/20 de l'Ontario</w:t>
      </w:r>
      <w:bookmarkEnd w:id="55"/>
      <w:bookmarkEnd w:id="56"/>
      <w:r>
        <w:rPr>
          <w:rStyle w:val="Hyperlink"/>
        </w:rPr>
        <w:t xml:space="preserve"> </w:t>
      </w:r>
    </w:p>
    <w:p w14:paraId="7AD346E6" w14:textId="5DEFA7E0" w:rsidR="00AD3F79" w:rsidRPr="00B97C7A" w:rsidRDefault="00AD3F79" w:rsidP="00AD3F79">
      <w:pPr>
        <w:rPr>
          <w:rFonts w:asciiTheme="minorHAnsi" w:hAnsiTheme="minorHAnsi"/>
          <w:sz w:val="22"/>
        </w:rPr>
      </w:pPr>
      <w:r>
        <w:t xml:space="preserve">Les réglementations de l'Ontario sur les équipements électroniques et électriques (EEE) sont en vigueur à compter du 1er janvier 2021, en vertu de la loi sur le rétablissement des ressources et l'économie circulaire. NETGEAR s'acquitte de ses obligations par l'intermédiaire d'EPRA Ontario, son organisme de responsabilité des producteurs sélectionné.  Visitez le site web d'EPRA à l'adresse </w:t>
      </w:r>
      <w:hyperlink r:id="rId31" w:history="1">
        <w:r>
          <w:rPr>
            <w:rStyle w:val="Hyperlink"/>
          </w:rPr>
          <w:t>https://EPRAON.ca</w:t>
        </w:r>
      </w:hyperlink>
      <w:r>
        <w:t xml:space="preserve"> pour obtenir des informations sur la collecte des appareils électroniques en fin de vie et en savoir plus sur le programme.</w:t>
      </w:r>
    </w:p>
    <w:p w14:paraId="786F16B9" w14:textId="448C379F" w:rsidR="004E534D" w:rsidRPr="004E534D" w:rsidRDefault="004E534D" w:rsidP="00481C42">
      <w:pPr>
        <w:pStyle w:val="Heading2"/>
      </w:pPr>
      <w:bookmarkStart w:id="57" w:name="_Toc118886398"/>
      <w:r>
        <w:t>Tabela redukcji zakłóceń</w:t>
      </w:r>
      <w:bookmarkEnd w:id="57"/>
    </w:p>
    <w:p w14:paraId="58C7A81F" w14:textId="77777777" w:rsidR="00CF6217" w:rsidRDefault="004E534D" w:rsidP="004E534D">
      <w:pPr>
        <w:rPr>
          <w:rFonts w:cs="Arial"/>
        </w:rPr>
      </w:pPr>
      <w:r>
        <w:t>Poniższa tabela prezentuje rekomendowaną minimalną odległość między urządzeniem NETGEAR a urządzeniami domowymi, mającą na celu redukcję zakłóceń (wyrażoną w stopach i metrach).</w:t>
      </w:r>
    </w:p>
    <w:tbl>
      <w:tblPr>
        <w:tblStyle w:val="TableGrid"/>
        <w:tblW w:w="0" w:type="auto"/>
        <w:tblLook w:val="04A0" w:firstRow="1" w:lastRow="0" w:firstColumn="1" w:lastColumn="0" w:noHBand="0" w:noVBand="1"/>
      </w:tblPr>
      <w:tblGrid>
        <w:gridCol w:w="2628"/>
        <w:gridCol w:w="4860"/>
      </w:tblGrid>
      <w:tr w:rsidR="005F1BE8" w14:paraId="7E5F5953" w14:textId="77777777" w:rsidTr="005F1BE8">
        <w:tc>
          <w:tcPr>
            <w:tcW w:w="2628" w:type="dxa"/>
          </w:tcPr>
          <w:p w14:paraId="7E89A345" w14:textId="77777777" w:rsidR="005F1BE8" w:rsidRPr="005F1BE8" w:rsidRDefault="005F1BE8" w:rsidP="004E534D">
            <w:pPr>
              <w:rPr>
                <w:rStyle w:val="Strong"/>
              </w:rPr>
            </w:pPr>
            <w:r>
              <w:rPr>
                <w:rStyle w:val="Strong"/>
              </w:rPr>
              <w:t>Sprzęt gospodarstwa domowego</w:t>
            </w:r>
          </w:p>
        </w:tc>
        <w:tc>
          <w:tcPr>
            <w:tcW w:w="4860" w:type="dxa"/>
          </w:tcPr>
          <w:p w14:paraId="0149917F" w14:textId="77777777" w:rsidR="005F1BE8" w:rsidRPr="005F1BE8" w:rsidRDefault="005F1BE8" w:rsidP="004E534D">
            <w:pPr>
              <w:rPr>
                <w:rStyle w:val="Strong"/>
              </w:rPr>
            </w:pPr>
            <w:r>
              <w:rPr>
                <w:rStyle w:val="Strong"/>
              </w:rPr>
              <w:t>Zalecana minimalna odległość (w stopach i metrach)</w:t>
            </w:r>
          </w:p>
        </w:tc>
      </w:tr>
      <w:tr w:rsidR="005F1BE8" w14:paraId="4E16B163" w14:textId="77777777" w:rsidTr="005F1BE8">
        <w:tc>
          <w:tcPr>
            <w:tcW w:w="2628" w:type="dxa"/>
          </w:tcPr>
          <w:p w14:paraId="2AF2BB18" w14:textId="77777777" w:rsidR="005F1BE8" w:rsidRDefault="005F1BE8" w:rsidP="004E534D">
            <w:pPr>
              <w:rPr>
                <w:rFonts w:cs="Arial"/>
              </w:rPr>
            </w:pPr>
            <w:r>
              <w:t>Kuchenka mikrofalowa</w:t>
            </w:r>
          </w:p>
        </w:tc>
        <w:tc>
          <w:tcPr>
            <w:tcW w:w="4860" w:type="dxa"/>
          </w:tcPr>
          <w:p w14:paraId="3D0042FD" w14:textId="77777777" w:rsidR="005F1BE8" w:rsidRDefault="005F1BE8" w:rsidP="004E534D">
            <w:pPr>
              <w:rPr>
                <w:rFonts w:cs="Arial"/>
              </w:rPr>
            </w:pPr>
            <w:r>
              <w:t>30 stóp / 9 metrów</w:t>
            </w:r>
          </w:p>
        </w:tc>
      </w:tr>
      <w:tr w:rsidR="005F1BE8" w14:paraId="65ED3EE4" w14:textId="77777777" w:rsidTr="005F1BE8">
        <w:tc>
          <w:tcPr>
            <w:tcW w:w="2628" w:type="dxa"/>
          </w:tcPr>
          <w:p w14:paraId="579FF5C2" w14:textId="77777777" w:rsidR="005F1BE8" w:rsidRDefault="005F1BE8" w:rsidP="005F1BE8">
            <w:pPr>
              <w:rPr>
                <w:rFonts w:cs="Arial"/>
              </w:rPr>
            </w:pPr>
            <w:r>
              <w:t>Elektroniczna niania — analogowa</w:t>
            </w:r>
          </w:p>
        </w:tc>
        <w:tc>
          <w:tcPr>
            <w:tcW w:w="4860" w:type="dxa"/>
          </w:tcPr>
          <w:p w14:paraId="2EA408AA" w14:textId="77777777" w:rsidR="005F1BE8" w:rsidRDefault="005F1BE8" w:rsidP="004E534D">
            <w:pPr>
              <w:rPr>
                <w:rFonts w:cs="Arial"/>
              </w:rPr>
            </w:pPr>
            <w:r>
              <w:t>20 stóp / 6 metrów</w:t>
            </w:r>
          </w:p>
        </w:tc>
      </w:tr>
      <w:tr w:rsidR="005F1BE8" w14:paraId="0697B684" w14:textId="77777777" w:rsidTr="005F1BE8">
        <w:tc>
          <w:tcPr>
            <w:tcW w:w="2628" w:type="dxa"/>
          </w:tcPr>
          <w:p w14:paraId="5992A890" w14:textId="77777777" w:rsidR="005F1BE8" w:rsidRDefault="005F1BE8" w:rsidP="005F1BE8">
            <w:pPr>
              <w:rPr>
                <w:rFonts w:cs="Arial"/>
              </w:rPr>
            </w:pPr>
            <w:r>
              <w:t>Elektroniczna niania — cyfrowa</w:t>
            </w:r>
          </w:p>
        </w:tc>
        <w:tc>
          <w:tcPr>
            <w:tcW w:w="4860" w:type="dxa"/>
          </w:tcPr>
          <w:p w14:paraId="6A598031" w14:textId="77777777" w:rsidR="005F1BE8" w:rsidRDefault="005F1BE8" w:rsidP="004E534D">
            <w:pPr>
              <w:rPr>
                <w:rFonts w:cs="Arial"/>
              </w:rPr>
            </w:pPr>
            <w:r>
              <w:t>40 stóp / 12 metrów</w:t>
            </w:r>
          </w:p>
        </w:tc>
      </w:tr>
      <w:tr w:rsidR="005F1BE8" w14:paraId="6A7830FB" w14:textId="77777777" w:rsidTr="005F1BE8">
        <w:tc>
          <w:tcPr>
            <w:tcW w:w="2628" w:type="dxa"/>
          </w:tcPr>
          <w:p w14:paraId="054189D9" w14:textId="77777777" w:rsidR="005F1BE8" w:rsidRDefault="005F1BE8" w:rsidP="005F1BE8">
            <w:pPr>
              <w:rPr>
                <w:rFonts w:cs="Arial"/>
              </w:rPr>
            </w:pPr>
            <w:r>
              <w:t>Telefon bezprzewodowy — analogowy</w:t>
            </w:r>
          </w:p>
        </w:tc>
        <w:tc>
          <w:tcPr>
            <w:tcW w:w="4860" w:type="dxa"/>
          </w:tcPr>
          <w:p w14:paraId="3E51FD88" w14:textId="77777777" w:rsidR="005F1BE8" w:rsidRDefault="005F1BE8" w:rsidP="004E534D">
            <w:pPr>
              <w:rPr>
                <w:rFonts w:cs="Arial"/>
              </w:rPr>
            </w:pPr>
            <w:r>
              <w:t>20 stóp / 6 metrów</w:t>
            </w:r>
          </w:p>
        </w:tc>
      </w:tr>
      <w:tr w:rsidR="005F1BE8" w14:paraId="4B716B4D" w14:textId="77777777" w:rsidTr="005F1BE8">
        <w:tc>
          <w:tcPr>
            <w:tcW w:w="2628" w:type="dxa"/>
          </w:tcPr>
          <w:p w14:paraId="1FFC0093" w14:textId="77777777" w:rsidR="005F1BE8" w:rsidRDefault="005F1BE8" w:rsidP="005F1BE8">
            <w:pPr>
              <w:rPr>
                <w:rFonts w:cs="Arial"/>
              </w:rPr>
            </w:pPr>
            <w:r>
              <w:t>Telefon bezprzewodowy — cyfrowy</w:t>
            </w:r>
          </w:p>
        </w:tc>
        <w:tc>
          <w:tcPr>
            <w:tcW w:w="4860" w:type="dxa"/>
          </w:tcPr>
          <w:p w14:paraId="21AED6C1" w14:textId="77777777" w:rsidR="005F1BE8" w:rsidRDefault="005F1BE8" w:rsidP="004E534D">
            <w:pPr>
              <w:rPr>
                <w:rFonts w:cs="Arial"/>
              </w:rPr>
            </w:pPr>
            <w:r>
              <w:t>30 stóp / 9 metrów</w:t>
            </w:r>
          </w:p>
        </w:tc>
      </w:tr>
      <w:tr w:rsidR="005F1BE8" w14:paraId="73845CA7" w14:textId="77777777" w:rsidTr="005F1BE8">
        <w:tc>
          <w:tcPr>
            <w:tcW w:w="2628" w:type="dxa"/>
          </w:tcPr>
          <w:p w14:paraId="592E43DC" w14:textId="77777777" w:rsidR="005F1BE8" w:rsidRDefault="005F1BE8" w:rsidP="004E534D">
            <w:pPr>
              <w:rPr>
                <w:rFonts w:cs="Arial"/>
              </w:rPr>
            </w:pPr>
            <w:r>
              <w:t>Urządzenie Bluetooth</w:t>
            </w:r>
          </w:p>
        </w:tc>
        <w:tc>
          <w:tcPr>
            <w:tcW w:w="4860" w:type="dxa"/>
          </w:tcPr>
          <w:p w14:paraId="5EEE356C" w14:textId="77777777" w:rsidR="005F1BE8" w:rsidRDefault="005F1BE8" w:rsidP="004E534D">
            <w:pPr>
              <w:rPr>
                <w:rFonts w:cs="Arial"/>
              </w:rPr>
            </w:pPr>
            <w:r>
              <w:t>20 stóp / 6 metrów</w:t>
            </w:r>
          </w:p>
        </w:tc>
      </w:tr>
      <w:tr w:rsidR="005F1BE8" w14:paraId="153DF800" w14:textId="77777777" w:rsidTr="005F1BE8">
        <w:tc>
          <w:tcPr>
            <w:tcW w:w="2628" w:type="dxa"/>
          </w:tcPr>
          <w:p w14:paraId="37E36C81" w14:textId="77777777" w:rsidR="005F1BE8" w:rsidRDefault="005F1BE8" w:rsidP="004E534D">
            <w:pPr>
              <w:rPr>
                <w:rFonts w:cs="Arial"/>
              </w:rPr>
            </w:pPr>
            <w:r>
              <w:t>ZigBee</w:t>
            </w:r>
          </w:p>
        </w:tc>
        <w:tc>
          <w:tcPr>
            <w:tcW w:w="4860" w:type="dxa"/>
          </w:tcPr>
          <w:p w14:paraId="2AC651D4" w14:textId="77777777" w:rsidR="005F1BE8" w:rsidRDefault="005F1BE8" w:rsidP="004E534D">
            <w:pPr>
              <w:rPr>
                <w:rFonts w:cs="Arial"/>
              </w:rPr>
            </w:pPr>
            <w:r>
              <w:t>20 stóp / 6 metrów</w:t>
            </w:r>
          </w:p>
        </w:tc>
      </w:tr>
    </w:tbl>
    <w:p w14:paraId="14E6D1FC" w14:textId="77777777" w:rsidR="00AE4C00" w:rsidRDefault="00AE4C00" w:rsidP="00481C42">
      <w:pPr>
        <w:pStyle w:val="Heading1"/>
      </w:pPr>
      <w:bookmarkStart w:id="58" w:name="_Toc118886399"/>
      <w:r>
        <w:t>WYMAGANIA DOTYCZĄCE ETYKIETOWANIA OPAKOWAŃ AKUMULATORÓW LITOWO-JONOWYCH I LITOWO-METALOWYCH</w:t>
      </w:r>
      <w:bookmarkEnd w:id="58"/>
      <w:r>
        <w:t xml:space="preserve"> </w:t>
      </w:r>
    </w:p>
    <w:p w14:paraId="76126632" w14:textId="77777777" w:rsidR="00AE4C00" w:rsidRPr="001B46B7" w:rsidRDefault="00AE4C00" w:rsidP="003B28A1">
      <w:pPr>
        <w:rPr>
          <w:color w:val="FF0000"/>
        </w:rPr>
      </w:pPr>
      <w:bookmarkStart w:id="59" w:name="_Toc387244359"/>
      <w:r>
        <w:t xml:space="preserve">W związku z obawami dotyczącymi produktów dostarczanych z akumulatorami litowo-jonowymi i litowo-metalowymi, ONZ opracowała wytyczne dotyczące właściwego testowania, pakowania i oznakowania tych urządzeń. </w:t>
      </w:r>
    </w:p>
    <w:p w14:paraId="3AE7739A" w14:textId="77777777" w:rsidR="00F750E6" w:rsidRDefault="00F750E6" w:rsidP="00481C42">
      <w:pPr>
        <w:pStyle w:val="Heading3"/>
      </w:pPr>
      <w:bookmarkStart w:id="60" w:name="_Toc118886400"/>
      <w:r>
        <w:t>Akumulatory litowo-jonowe i litowo-metalowe</w:t>
      </w:r>
      <w:bookmarkEnd w:id="59"/>
      <w:bookmarkEnd w:id="60"/>
    </w:p>
    <w:p w14:paraId="5C4ABEAC" w14:textId="77777777" w:rsidR="00AE4C00" w:rsidRDefault="00AE4C00" w:rsidP="003B28A1">
      <w:bookmarkStart w:id="61" w:name="_Toc387244360"/>
      <w:r>
        <w:t xml:space="preserve">Akumulatory Li-Ion są zazwyczaj ładowalne, natomiast baterie Li-Metal są zazwyczaj nieładowalne. Oba typy akumulatorów mogą stwarzać potencjalne zagrożenie pożarowe, jeśli zostaną one uszkodzone lub będą niewłaściwie zapakowane. </w:t>
      </w:r>
    </w:p>
    <w:p w14:paraId="3A81C39F" w14:textId="1A3A6C0D" w:rsidR="00906EAF" w:rsidRDefault="00906EAF" w:rsidP="00481C42">
      <w:pPr>
        <w:pStyle w:val="Heading3"/>
      </w:pPr>
      <w:bookmarkStart w:id="62" w:name="_Toc118886401"/>
      <w:r>
        <w:t>Wymagania dotyczące oznakowania akumulatorów litowo-jonowych i litowo-metalowych</w:t>
      </w:r>
      <w:bookmarkEnd w:id="61"/>
      <w:bookmarkEnd w:id="62"/>
    </w:p>
    <w:p w14:paraId="1F3A7D43" w14:textId="77777777" w:rsidR="00AE4C00" w:rsidRDefault="00AE4C00" w:rsidP="00906EAF">
      <w:r>
        <w:t>Wymagane etykiety muszą znajdować się na paletach i kartonie zbiorczym wraz z dokumentem, takim jak lotniczy list przewozowy lub inne dokumenty, które wskazują na następujące kwestie (Lithium Battery Guidance Document 2014):</w:t>
      </w:r>
    </w:p>
    <w:p w14:paraId="21E4264B" w14:textId="77777777" w:rsidR="00AE4C00" w:rsidRDefault="00AE4C00" w:rsidP="00AE4C00">
      <w:pPr>
        <w:pStyle w:val="ListParagraph"/>
        <w:numPr>
          <w:ilvl w:val="0"/>
          <w:numId w:val="23"/>
        </w:numPr>
      </w:pPr>
      <w:r>
        <w:t>Opakowanie zawiera ogniwa lub akumulatory litowo-jonowe;</w:t>
      </w:r>
    </w:p>
    <w:p w14:paraId="489DD281" w14:textId="77777777" w:rsidR="00AE4C00" w:rsidRDefault="00AE4C00" w:rsidP="00AE4C00">
      <w:pPr>
        <w:pStyle w:val="ListParagraph"/>
        <w:numPr>
          <w:ilvl w:val="0"/>
          <w:numId w:val="23"/>
        </w:numPr>
      </w:pPr>
      <w:r>
        <w:t>Z opakowaniem należy obchodzić się ostrożnie, a w przypadku uszkodzenia opakowania istnieje zagrożenie pożarowe</w:t>
      </w:r>
    </w:p>
    <w:p w14:paraId="69A16EBC" w14:textId="77777777" w:rsidR="00AE4C00" w:rsidRDefault="00AE4C00" w:rsidP="00AE4C00">
      <w:pPr>
        <w:pStyle w:val="ListParagraph"/>
        <w:numPr>
          <w:ilvl w:val="0"/>
          <w:numId w:val="23"/>
        </w:numPr>
      </w:pPr>
      <w:r>
        <w:t>Specjalne procedury, które powinny być przestrzegane w przypadku uszkodzenia przesyłki</w:t>
      </w:r>
    </w:p>
    <w:p w14:paraId="71221443" w14:textId="77777777" w:rsidR="00AE4C00" w:rsidRDefault="00AE4C00" w:rsidP="00AE4C00">
      <w:pPr>
        <w:pStyle w:val="ListParagraph"/>
        <w:numPr>
          <w:ilvl w:val="0"/>
          <w:numId w:val="23"/>
        </w:numPr>
      </w:pPr>
      <w:r>
        <w:t>Dane kontaktowe</w:t>
      </w:r>
    </w:p>
    <w:p w14:paraId="437032BE" w14:textId="77777777" w:rsidR="00AE4C00" w:rsidRDefault="00AE4C00" w:rsidP="00AE4C00">
      <w:r>
        <w:t>Aby spełnić wymagania przepisów IATA dotyczących towarów niebezpiecznych, różne etykiety dotyczą różnych wartości watogodzin dla akumulatorów Li-Ion i różnej masy dla baterii Li-metal. Obliczenia dla watogodzin są następujące:</w:t>
      </w:r>
    </w:p>
    <w:p w14:paraId="42578C26" w14:textId="77777777" w:rsidR="00AE4C00" w:rsidRDefault="00AE4C00" w:rsidP="00AE4C00">
      <w:pPr>
        <w:ind w:firstLine="720"/>
      </w:pPr>
      <w:r>
        <w:t>Napięcie nominalne x pojemność nominalna (Ah) = watogodziny</w:t>
      </w:r>
    </w:p>
    <w:p w14:paraId="33A86193" w14:textId="77777777" w:rsidR="00AE4C00" w:rsidRDefault="00AE4C00" w:rsidP="00AE4C00">
      <w:r>
        <w:t>Wartość woltów i amperów można znaleźć w arkuszu danych technicznych akumulatora.</w:t>
      </w:r>
    </w:p>
    <w:p w14:paraId="5DB42116" w14:textId="77777777" w:rsidR="004217DC" w:rsidRDefault="00AE4C00" w:rsidP="00906EAF">
      <w:r>
        <w:t>Należy zapoznać się z poniższą tabelą, aby dowiedzieć się, której etykiety należy użyć.</w:t>
      </w:r>
    </w:p>
    <w:tbl>
      <w:tblPr>
        <w:tblW w:w="10736"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3134"/>
        <w:gridCol w:w="1841"/>
        <w:gridCol w:w="3103"/>
      </w:tblGrid>
      <w:tr w:rsidR="00AE4C00" w:rsidRPr="00906EAF" w14:paraId="0749C967" w14:textId="77777777" w:rsidTr="003F20E8">
        <w:trPr>
          <w:trHeight w:val="310"/>
        </w:trPr>
        <w:tc>
          <w:tcPr>
            <w:tcW w:w="10736" w:type="dxa"/>
            <w:gridSpan w:val="4"/>
            <w:shd w:val="clear" w:color="auto" w:fill="auto"/>
            <w:noWrap/>
            <w:hideMark/>
          </w:tcPr>
          <w:p w14:paraId="62663D47" w14:textId="77777777" w:rsidR="00AE4C00" w:rsidRPr="008554B1" w:rsidRDefault="00AE4C00" w:rsidP="00AE4C00">
            <w:r>
              <w:t>Wymagane etykiety do transportu akumulatorów (Podręcznik badań i kryteriów ONZ, część III, podsekcja 38.3)</w:t>
            </w:r>
          </w:p>
        </w:tc>
      </w:tr>
      <w:tr w:rsidR="00AE4C00" w:rsidRPr="00906EAF" w14:paraId="4B2BE956" w14:textId="77777777" w:rsidTr="003F20E8">
        <w:trPr>
          <w:trHeight w:val="296"/>
        </w:trPr>
        <w:tc>
          <w:tcPr>
            <w:tcW w:w="10736" w:type="dxa"/>
            <w:gridSpan w:val="4"/>
            <w:shd w:val="clear" w:color="auto" w:fill="auto"/>
            <w:noWrap/>
            <w:hideMark/>
          </w:tcPr>
          <w:p w14:paraId="34C02A84" w14:textId="77777777" w:rsidR="00AE4C00" w:rsidRDefault="00AE4C00" w:rsidP="00AE4C00">
            <w:pPr>
              <w:jc w:val="center"/>
            </w:pPr>
            <w:r>
              <w:t>Wymagania dotyczące etykiet akumulatorów litowo-jonowych</w:t>
            </w:r>
          </w:p>
        </w:tc>
      </w:tr>
      <w:tr w:rsidR="00906EAF" w:rsidRPr="00906EAF" w14:paraId="6B16ACE7" w14:textId="77777777" w:rsidTr="003F20E8">
        <w:trPr>
          <w:trHeight w:val="296"/>
        </w:trPr>
        <w:tc>
          <w:tcPr>
            <w:tcW w:w="2658" w:type="dxa"/>
            <w:shd w:val="clear" w:color="auto" w:fill="auto"/>
            <w:noWrap/>
            <w:hideMark/>
          </w:tcPr>
          <w:p w14:paraId="6EA36AD8" w14:textId="77777777" w:rsidR="00906EAF" w:rsidRPr="00906EAF" w:rsidRDefault="00906EAF" w:rsidP="00AE4C00">
            <w:pPr>
              <w:rPr>
                <w:rFonts w:cs="Arial"/>
                <w:b/>
                <w:bCs/>
                <w:color w:val="000000"/>
                <w:szCs w:val="18"/>
              </w:rPr>
            </w:pPr>
            <w:r>
              <w:rPr>
                <w:b/>
                <w:color w:val="000000"/>
              </w:rPr>
              <w:t>Wysyłka akumulatorów</w:t>
            </w:r>
          </w:p>
        </w:tc>
        <w:tc>
          <w:tcPr>
            <w:tcW w:w="3134" w:type="dxa"/>
            <w:shd w:val="clear" w:color="auto" w:fill="auto"/>
            <w:noWrap/>
            <w:hideMark/>
          </w:tcPr>
          <w:p w14:paraId="0E46E22C" w14:textId="77777777" w:rsidR="00906EAF" w:rsidRPr="00906EAF" w:rsidRDefault="00906EAF" w:rsidP="00AE4C00">
            <w:pPr>
              <w:rPr>
                <w:rFonts w:cs="Arial"/>
                <w:b/>
                <w:bCs/>
                <w:color w:val="000000"/>
                <w:szCs w:val="18"/>
              </w:rPr>
            </w:pPr>
            <w:r>
              <w:rPr>
                <w:b/>
                <w:color w:val="000000"/>
              </w:rPr>
              <w:t>Wh (watogodzina)</w:t>
            </w:r>
          </w:p>
        </w:tc>
        <w:tc>
          <w:tcPr>
            <w:tcW w:w="1841" w:type="dxa"/>
            <w:shd w:val="clear" w:color="auto" w:fill="auto"/>
            <w:noWrap/>
            <w:hideMark/>
          </w:tcPr>
          <w:p w14:paraId="505F75A5" w14:textId="77777777" w:rsidR="00906EAF" w:rsidRPr="00906EAF" w:rsidRDefault="00906EAF" w:rsidP="00AE4C00">
            <w:pPr>
              <w:rPr>
                <w:rFonts w:cs="Arial"/>
                <w:b/>
                <w:bCs/>
                <w:color w:val="000000"/>
                <w:szCs w:val="18"/>
              </w:rPr>
            </w:pPr>
            <w:r>
              <w:rPr>
                <w:b/>
                <w:color w:val="000000"/>
              </w:rPr>
              <w:t>Etykiety</w:t>
            </w:r>
          </w:p>
        </w:tc>
        <w:tc>
          <w:tcPr>
            <w:tcW w:w="3103" w:type="dxa"/>
            <w:shd w:val="clear" w:color="auto" w:fill="auto"/>
            <w:noWrap/>
            <w:hideMark/>
          </w:tcPr>
          <w:p w14:paraId="7931159A" w14:textId="77777777" w:rsidR="00906EAF" w:rsidRPr="00906EAF" w:rsidRDefault="00906EAF" w:rsidP="00AE4C00">
            <w:pPr>
              <w:rPr>
                <w:rFonts w:cs="Arial"/>
                <w:b/>
                <w:color w:val="000000"/>
                <w:szCs w:val="18"/>
              </w:rPr>
            </w:pPr>
            <w:r>
              <w:rPr>
                <w:b/>
                <w:color w:val="000000"/>
              </w:rPr>
              <w:t>Graniczna waga akumulatora / opakowania</w:t>
            </w:r>
          </w:p>
        </w:tc>
      </w:tr>
      <w:tr w:rsidR="00AE4C00" w:rsidRPr="00906EAF" w14:paraId="6239F90C" w14:textId="77777777" w:rsidTr="00DE7838">
        <w:trPr>
          <w:trHeight w:val="575"/>
        </w:trPr>
        <w:tc>
          <w:tcPr>
            <w:tcW w:w="2658" w:type="dxa"/>
            <w:shd w:val="clear" w:color="auto" w:fill="auto"/>
            <w:noWrap/>
            <w:hideMark/>
          </w:tcPr>
          <w:p w14:paraId="5FF412C7" w14:textId="77777777" w:rsidR="00AE4C00" w:rsidRPr="004B037D" w:rsidRDefault="00AE4C00" w:rsidP="00AE4C00">
            <w:r>
              <w:t>Zawarte w sprzęcie (zainstalowane w sprzęcie)</w:t>
            </w:r>
          </w:p>
        </w:tc>
        <w:tc>
          <w:tcPr>
            <w:tcW w:w="3134" w:type="dxa"/>
            <w:shd w:val="clear" w:color="auto" w:fill="auto"/>
            <w:noWrap/>
            <w:hideMark/>
          </w:tcPr>
          <w:p w14:paraId="318135AF" w14:textId="77777777" w:rsidR="00AE4C00" w:rsidRPr="00D172DD" w:rsidRDefault="00DE7838" w:rsidP="00AE4C00">
            <w:r>
              <w:t>Równa lub mniejsza niż 100Wh</w:t>
            </w:r>
          </w:p>
        </w:tc>
        <w:tc>
          <w:tcPr>
            <w:tcW w:w="1841" w:type="dxa"/>
            <w:shd w:val="clear" w:color="auto" w:fill="auto"/>
            <w:noWrap/>
            <w:hideMark/>
          </w:tcPr>
          <w:p w14:paraId="44F548CD" w14:textId="77777777" w:rsidR="00AE4C00" w:rsidRPr="005620DB" w:rsidRDefault="00DE7838" w:rsidP="00AE4C00">
            <w:r>
              <w:t>Rysunek 12 lub 13</w:t>
            </w:r>
          </w:p>
        </w:tc>
        <w:tc>
          <w:tcPr>
            <w:tcW w:w="3103" w:type="dxa"/>
            <w:shd w:val="clear" w:color="auto" w:fill="auto"/>
            <w:hideMark/>
          </w:tcPr>
          <w:p w14:paraId="10F6AC3A" w14:textId="77777777" w:rsidR="00AE4C00" w:rsidRPr="00906EAF" w:rsidRDefault="00816D3E" w:rsidP="00AE4C00">
            <w:pPr>
              <w:rPr>
                <w:rFonts w:cs="Arial"/>
                <w:color w:val="000000"/>
                <w:szCs w:val="18"/>
              </w:rPr>
            </w:pPr>
            <w:r>
              <w:rPr>
                <w:color w:val="000000"/>
              </w:rPr>
              <w:t>PAX = 5 kg</w:t>
            </w:r>
            <w:r>
              <w:rPr>
                <w:color w:val="000000"/>
              </w:rPr>
              <w:br/>
              <w:t>CAO = 5kg</w:t>
            </w:r>
          </w:p>
        </w:tc>
      </w:tr>
      <w:tr w:rsidR="00AE4C00" w:rsidRPr="00906EAF" w14:paraId="103BF945" w14:textId="77777777" w:rsidTr="003F20E8">
        <w:trPr>
          <w:trHeight w:val="1259"/>
        </w:trPr>
        <w:tc>
          <w:tcPr>
            <w:tcW w:w="2658" w:type="dxa"/>
            <w:shd w:val="clear" w:color="auto" w:fill="auto"/>
            <w:noWrap/>
            <w:hideMark/>
          </w:tcPr>
          <w:p w14:paraId="6514223D" w14:textId="77777777" w:rsidR="00AE4C00" w:rsidRPr="004B037D" w:rsidRDefault="00AE4C00" w:rsidP="00AE4C00">
            <w:r>
              <w:t>Sam</w:t>
            </w:r>
          </w:p>
          <w:p w14:paraId="5072790B" w14:textId="77777777" w:rsidR="00AE4C00" w:rsidRPr="004B037D" w:rsidRDefault="00AE4C00" w:rsidP="00AE4C00"/>
        </w:tc>
        <w:tc>
          <w:tcPr>
            <w:tcW w:w="3134" w:type="dxa"/>
            <w:shd w:val="clear" w:color="auto" w:fill="auto"/>
            <w:noWrap/>
          </w:tcPr>
          <w:p w14:paraId="529A70A3" w14:textId="77777777" w:rsidR="00AE4C00" w:rsidRPr="00D172DD" w:rsidRDefault="00AE4C00" w:rsidP="00AE4C00">
            <w:r>
              <w:t>Równa lub mniejsza niż 100Wh</w:t>
            </w:r>
          </w:p>
          <w:p w14:paraId="09E00EA9" w14:textId="77777777" w:rsidR="00AE4C00" w:rsidRPr="00D172DD" w:rsidRDefault="00AE4C00" w:rsidP="00AE4C00"/>
        </w:tc>
        <w:tc>
          <w:tcPr>
            <w:tcW w:w="1841" w:type="dxa"/>
            <w:shd w:val="clear" w:color="auto" w:fill="auto"/>
            <w:noWrap/>
            <w:hideMark/>
          </w:tcPr>
          <w:p w14:paraId="739F1D04" w14:textId="77777777" w:rsidR="00AE4C00" w:rsidRPr="005620DB" w:rsidRDefault="00AE4C00" w:rsidP="00AE4C00">
            <w:r>
              <w:t>Rysunek 12 lub 13</w:t>
            </w:r>
          </w:p>
          <w:p w14:paraId="3A29286D" w14:textId="77777777" w:rsidR="00AE4C00" w:rsidRPr="005620DB" w:rsidRDefault="00AE4C00" w:rsidP="00AE4C00"/>
        </w:tc>
        <w:tc>
          <w:tcPr>
            <w:tcW w:w="3103" w:type="dxa"/>
            <w:shd w:val="clear" w:color="auto" w:fill="auto"/>
            <w:hideMark/>
          </w:tcPr>
          <w:p w14:paraId="5800AEBE" w14:textId="77777777" w:rsidR="00AE4C00" w:rsidRPr="00AE4C00" w:rsidRDefault="00AE4C00" w:rsidP="00AE4C00">
            <w:pPr>
              <w:rPr>
                <w:rFonts w:cs="Arial"/>
                <w:color w:val="000000"/>
                <w:szCs w:val="18"/>
              </w:rPr>
            </w:pPr>
            <w:r>
              <w:rPr>
                <w:color w:val="000000"/>
              </w:rPr>
              <w:t>Równa lub mniejsza niż 2,7 Wh = 2,5 kg</w:t>
            </w:r>
          </w:p>
          <w:p w14:paraId="2D3CA45D" w14:textId="77777777" w:rsidR="00AE4C00" w:rsidRPr="00AE4C00" w:rsidRDefault="00AE4C00" w:rsidP="00AE4C00">
            <w:pPr>
              <w:rPr>
                <w:rFonts w:cs="Arial"/>
                <w:color w:val="000000"/>
                <w:szCs w:val="18"/>
              </w:rPr>
            </w:pPr>
            <w:r>
              <w:rPr>
                <w:color w:val="000000"/>
              </w:rPr>
              <w:t>LUB</w:t>
            </w:r>
          </w:p>
          <w:p w14:paraId="0A7A487F" w14:textId="77777777" w:rsidR="00AE4C00" w:rsidRPr="00906EAF" w:rsidRDefault="00AE4C00" w:rsidP="00AE4C00">
            <w:pPr>
              <w:rPr>
                <w:rFonts w:cs="Arial"/>
                <w:color w:val="000000"/>
                <w:szCs w:val="18"/>
              </w:rPr>
            </w:pPr>
            <w:r>
              <w:rPr>
                <w:color w:val="000000"/>
              </w:rPr>
              <w:t>Większa niż 2,7 Wh, ale równa lub mniejsza niż 100 Wh = 2 akumulatory</w:t>
            </w:r>
          </w:p>
        </w:tc>
      </w:tr>
      <w:tr w:rsidR="00AE4C00" w:rsidRPr="00906EAF" w14:paraId="3999BF4B" w14:textId="77777777" w:rsidTr="003F20E8">
        <w:trPr>
          <w:trHeight w:val="800"/>
        </w:trPr>
        <w:tc>
          <w:tcPr>
            <w:tcW w:w="2658" w:type="dxa"/>
            <w:shd w:val="clear" w:color="auto" w:fill="auto"/>
            <w:noWrap/>
            <w:hideMark/>
          </w:tcPr>
          <w:p w14:paraId="67D68A54" w14:textId="77777777" w:rsidR="00AE4C00" w:rsidRPr="004B037D" w:rsidRDefault="00AE4C00" w:rsidP="00AE4C00">
            <w:r>
              <w:t>Pakowane oddzielnie z urządzeniem (nie zainstalowane w urządzeniu)</w:t>
            </w:r>
          </w:p>
        </w:tc>
        <w:tc>
          <w:tcPr>
            <w:tcW w:w="3134" w:type="dxa"/>
            <w:shd w:val="clear" w:color="auto" w:fill="auto"/>
            <w:noWrap/>
            <w:hideMark/>
          </w:tcPr>
          <w:p w14:paraId="2C85B68C" w14:textId="77777777" w:rsidR="00AE4C00" w:rsidRPr="00D172DD" w:rsidRDefault="00AE4C00" w:rsidP="00AE4C00">
            <w:r>
              <w:t>Równa lub mniejsza niż 100Wh</w:t>
            </w:r>
          </w:p>
        </w:tc>
        <w:tc>
          <w:tcPr>
            <w:tcW w:w="1841" w:type="dxa"/>
            <w:shd w:val="clear" w:color="auto" w:fill="auto"/>
            <w:noWrap/>
            <w:hideMark/>
          </w:tcPr>
          <w:p w14:paraId="20B8E045" w14:textId="77777777" w:rsidR="00AE4C00" w:rsidRPr="005620DB" w:rsidRDefault="00AE4C00" w:rsidP="00AE4C00">
            <w:r>
              <w:t>Rysunek 12 lub 13</w:t>
            </w:r>
          </w:p>
          <w:p w14:paraId="6F806E83" w14:textId="77777777" w:rsidR="00AE4C00" w:rsidRPr="005620DB" w:rsidRDefault="00AE4C00" w:rsidP="00AE4C00"/>
        </w:tc>
        <w:tc>
          <w:tcPr>
            <w:tcW w:w="3103" w:type="dxa"/>
            <w:shd w:val="clear" w:color="auto" w:fill="auto"/>
            <w:hideMark/>
          </w:tcPr>
          <w:p w14:paraId="2D1C8151" w14:textId="77777777" w:rsidR="00AE4C00" w:rsidRPr="00906EAF" w:rsidRDefault="00816D3E" w:rsidP="00AE4C00">
            <w:pPr>
              <w:rPr>
                <w:rFonts w:cs="Arial"/>
                <w:color w:val="000000"/>
                <w:szCs w:val="18"/>
              </w:rPr>
            </w:pPr>
            <w:r>
              <w:rPr>
                <w:color w:val="000000"/>
              </w:rPr>
              <w:t>PAX = 5 kg</w:t>
            </w:r>
            <w:r>
              <w:rPr>
                <w:color w:val="000000"/>
              </w:rPr>
              <w:br/>
              <w:t>CAO = 5kg</w:t>
            </w:r>
          </w:p>
        </w:tc>
      </w:tr>
      <w:tr w:rsidR="00906EAF" w:rsidRPr="00DE7838" w14:paraId="3F7C37A0" w14:textId="77777777" w:rsidTr="003F20E8">
        <w:trPr>
          <w:trHeight w:val="296"/>
        </w:trPr>
        <w:tc>
          <w:tcPr>
            <w:tcW w:w="10736" w:type="dxa"/>
            <w:gridSpan w:val="4"/>
            <w:shd w:val="clear" w:color="auto" w:fill="auto"/>
            <w:noWrap/>
            <w:hideMark/>
          </w:tcPr>
          <w:p w14:paraId="5A4C62EE" w14:textId="77777777" w:rsidR="00906EAF" w:rsidRPr="00DE7838" w:rsidRDefault="00906EAF" w:rsidP="00906EAF">
            <w:pPr>
              <w:jc w:val="center"/>
              <w:rPr>
                <w:rFonts w:cs="Arial"/>
                <w:bCs/>
                <w:color w:val="000000"/>
                <w:szCs w:val="18"/>
              </w:rPr>
            </w:pPr>
            <w:r>
              <w:rPr>
                <w:color w:val="000000"/>
              </w:rPr>
              <w:t>Wymagania dotyczące etykiet akumulatorów litowo-metalowych</w:t>
            </w:r>
          </w:p>
        </w:tc>
      </w:tr>
      <w:tr w:rsidR="00906EAF" w:rsidRPr="00906EAF" w14:paraId="05DEE4BF" w14:textId="77777777" w:rsidTr="003F20E8">
        <w:trPr>
          <w:trHeight w:val="296"/>
        </w:trPr>
        <w:tc>
          <w:tcPr>
            <w:tcW w:w="2658" w:type="dxa"/>
            <w:shd w:val="clear" w:color="auto" w:fill="auto"/>
            <w:noWrap/>
            <w:hideMark/>
          </w:tcPr>
          <w:p w14:paraId="1B6ED5EF" w14:textId="77777777" w:rsidR="00906EAF" w:rsidRPr="00906EAF" w:rsidRDefault="00906EAF" w:rsidP="00816D3E">
            <w:pPr>
              <w:rPr>
                <w:rFonts w:cs="Arial"/>
                <w:b/>
                <w:bCs/>
                <w:color w:val="000000"/>
                <w:szCs w:val="18"/>
              </w:rPr>
            </w:pPr>
            <w:r>
              <w:rPr>
                <w:b/>
                <w:color w:val="000000"/>
              </w:rPr>
              <w:t>Wysyłka akumulatorów</w:t>
            </w:r>
          </w:p>
        </w:tc>
        <w:tc>
          <w:tcPr>
            <w:tcW w:w="3134" w:type="dxa"/>
            <w:shd w:val="clear" w:color="auto" w:fill="auto"/>
            <w:noWrap/>
            <w:hideMark/>
          </w:tcPr>
          <w:p w14:paraId="0611FF61" w14:textId="77777777" w:rsidR="00906EAF" w:rsidRPr="00906EAF" w:rsidRDefault="00816D3E" w:rsidP="00816D3E">
            <w:pPr>
              <w:rPr>
                <w:rFonts w:cs="Arial"/>
                <w:b/>
                <w:bCs/>
                <w:color w:val="000000"/>
                <w:szCs w:val="18"/>
              </w:rPr>
            </w:pPr>
            <w:r>
              <w:rPr>
                <w:b/>
                <w:color w:val="000000"/>
              </w:rPr>
              <w:t>Masa baterii litowo-metalowej</w:t>
            </w:r>
          </w:p>
        </w:tc>
        <w:tc>
          <w:tcPr>
            <w:tcW w:w="1841" w:type="dxa"/>
            <w:shd w:val="clear" w:color="auto" w:fill="auto"/>
            <w:noWrap/>
            <w:hideMark/>
          </w:tcPr>
          <w:p w14:paraId="7B7EDFA3" w14:textId="77777777" w:rsidR="00906EAF" w:rsidRPr="00906EAF" w:rsidRDefault="00906EAF" w:rsidP="00816D3E">
            <w:pPr>
              <w:rPr>
                <w:rFonts w:cs="Arial"/>
                <w:b/>
                <w:bCs/>
                <w:color w:val="000000"/>
                <w:szCs w:val="18"/>
              </w:rPr>
            </w:pPr>
            <w:r>
              <w:rPr>
                <w:b/>
                <w:color w:val="000000"/>
              </w:rPr>
              <w:t>Etykiety</w:t>
            </w:r>
          </w:p>
        </w:tc>
        <w:tc>
          <w:tcPr>
            <w:tcW w:w="3103" w:type="dxa"/>
            <w:shd w:val="clear" w:color="auto" w:fill="auto"/>
            <w:noWrap/>
            <w:hideMark/>
          </w:tcPr>
          <w:p w14:paraId="4D566148" w14:textId="77777777" w:rsidR="00906EAF" w:rsidRPr="00906EAF" w:rsidRDefault="00906EAF" w:rsidP="00816D3E">
            <w:pPr>
              <w:rPr>
                <w:rFonts w:cs="Arial"/>
                <w:color w:val="000000"/>
                <w:szCs w:val="18"/>
              </w:rPr>
            </w:pPr>
            <w:r>
              <w:rPr>
                <w:b/>
                <w:color w:val="000000"/>
              </w:rPr>
              <w:t>Graniczna waga akumulatora / opakowania</w:t>
            </w:r>
          </w:p>
        </w:tc>
      </w:tr>
      <w:tr w:rsidR="00816D3E" w:rsidRPr="00906EAF" w14:paraId="4A389667" w14:textId="77777777" w:rsidTr="003F20E8">
        <w:trPr>
          <w:trHeight w:val="557"/>
        </w:trPr>
        <w:tc>
          <w:tcPr>
            <w:tcW w:w="2658" w:type="dxa"/>
            <w:shd w:val="clear" w:color="auto" w:fill="auto"/>
            <w:noWrap/>
            <w:hideMark/>
          </w:tcPr>
          <w:p w14:paraId="52FA21D7" w14:textId="77777777" w:rsidR="00816D3E" w:rsidRPr="00906EAF" w:rsidRDefault="00816D3E" w:rsidP="00816D3E">
            <w:pPr>
              <w:rPr>
                <w:rFonts w:cs="Arial"/>
                <w:color w:val="000000"/>
                <w:szCs w:val="18"/>
              </w:rPr>
            </w:pPr>
            <w:r>
              <w:rPr>
                <w:color w:val="000000"/>
              </w:rPr>
              <w:t>Zawarte w sprzęcie (zainstalowane w sprzęcie)</w:t>
            </w:r>
          </w:p>
        </w:tc>
        <w:tc>
          <w:tcPr>
            <w:tcW w:w="3134" w:type="dxa"/>
            <w:shd w:val="clear" w:color="auto" w:fill="auto"/>
            <w:noWrap/>
            <w:hideMark/>
          </w:tcPr>
          <w:p w14:paraId="60F1269F" w14:textId="77777777" w:rsidR="00816D3E" w:rsidRPr="00522633" w:rsidRDefault="00816D3E" w:rsidP="00816D3E">
            <w:r>
              <w:t>Równa lub mniejsza niż 2 g</w:t>
            </w:r>
          </w:p>
        </w:tc>
        <w:tc>
          <w:tcPr>
            <w:tcW w:w="1841" w:type="dxa"/>
            <w:shd w:val="clear" w:color="auto" w:fill="auto"/>
            <w:noWrap/>
          </w:tcPr>
          <w:p w14:paraId="1E6382B9" w14:textId="77777777" w:rsidR="00816D3E" w:rsidRPr="00906EAF" w:rsidRDefault="00816D3E" w:rsidP="00816D3E">
            <w:pPr>
              <w:rPr>
                <w:rFonts w:cs="Arial"/>
                <w:color w:val="000000"/>
                <w:szCs w:val="18"/>
              </w:rPr>
            </w:pPr>
            <w:r>
              <w:rPr>
                <w:color w:val="000000"/>
              </w:rPr>
              <w:t>Rysunek 12 lub 13</w:t>
            </w:r>
          </w:p>
        </w:tc>
        <w:tc>
          <w:tcPr>
            <w:tcW w:w="3103" w:type="dxa"/>
            <w:shd w:val="clear" w:color="auto" w:fill="auto"/>
            <w:hideMark/>
          </w:tcPr>
          <w:p w14:paraId="6A9AA854" w14:textId="77777777" w:rsidR="00816D3E" w:rsidRPr="00906EAF" w:rsidRDefault="00816D3E" w:rsidP="00906EAF">
            <w:pPr>
              <w:jc w:val="center"/>
              <w:rPr>
                <w:rFonts w:cs="Arial"/>
                <w:color w:val="000000"/>
                <w:szCs w:val="18"/>
              </w:rPr>
            </w:pPr>
            <w:r>
              <w:rPr>
                <w:color w:val="000000"/>
              </w:rPr>
              <w:t>PAX = 5 kg</w:t>
            </w:r>
            <w:r>
              <w:rPr>
                <w:color w:val="000000"/>
              </w:rPr>
              <w:br/>
              <w:t>CAO = 5kg</w:t>
            </w:r>
          </w:p>
        </w:tc>
      </w:tr>
      <w:tr w:rsidR="00DE7838" w:rsidRPr="00906EAF" w14:paraId="399BD684" w14:textId="77777777" w:rsidTr="00D92B98">
        <w:trPr>
          <w:trHeight w:val="296"/>
        </w:trPr>
        <w:tc>
          <w:tcPr>
            <w:tcW w:w="2658" w:type="dxa"/>
            <w:shd w:val="clear" w:color="auto" w:fill="auto"/>
            <w:noWrap/>
            <w:hideMark/>
          </w:tcPr>
          <w:p w14:paraId="77EEB8DE" w14:textId="77777777" w:rsidR="00DE7838" w:rsidRPr="00906EAF" w:rsidRDefault="00DE7838" w:rsidP="00D92B98">
            <w:pPr>
              <w:rPr>
                <w:rFonts w:cs="Arial"/>
                <w:b/>
                <w:bCs/>
                <w:color w:val="000000"/>
                <w:szCs w:val="18"/>
              </w:rPr>
            </w:pPr>
            <w:r>
              <w:rPr>
                <w:b/>
                <w:color w:val="000000"/>
              </w:rPr>
              <w:t>Wysyłka akumulatorów</w:t>
            </w:r>
          </w:p>
        </w:tc>
        <w:tc>
          <w:tcPr>
            <w:tcW w:w="3134" w:type="dxa"/>
            <w:shd w:val="clear" w:color="auto" w:fill="auto"/>
            <w:noWrap/>
            <w:hideMark/>
          </w:tcPr>
          <w:p w14:paraId="1C37197B" w14:textId="77777777" w:rsidR="00DE7838" w:rsidRPr="00906EAF" w:rsidRDefault="00DE7838" w:rsidP="00D92B98">
            <w:pPr>
              <w:rPr>
                <w:rFonts w:cs="Arial"/>
                <w:b/>
                <w:bCs/>
                <w:color w:val="000000"/>
                <w:szCs w:val="18"/>
              </w:rPr>
            </w:pPr>
            <w:r>
              <w:rPr>
                <w:b/>
                <w:color w:val="000000"/>
              </w:rPr>
              <w:t>Masa baterii litowo-metalowej</w:t>
            </w:r>
          </w:p>
        </w:tc>
        <w:tc>
          <w:tcPr>
            <w:tcW w:w="1841" w:type="dxa"/>
            <w:shd w:val="clear" w:color="auto" w:fill="auto"/>
            <w:noWrap/>
            <w:hideMark/>
          </w:tcPr>
          <w:p w14:paraId="08D94ED7" w14:textId="77777777" w:rsidR="00DE7838" w:rsidRPr="00906EAF" w:rsidRDefault="00DE7838" w:rsidP="00D92B98">
            <w:pPr>
              <w:rPr>
                <w:rFonts w:cs="Arial"/>
                <w:b/>
                <w:bCs/>
                <w:color w:val="000000"/>
                <w:szCs w:val="18"/>
              </w:rPr>
            </w:pPr>
            <w:r>
              <w:rPr>
                <w:b/>
                <w:color w:val="000000"/>
              </w:rPr>
              <w:t>Etykiety</w:t>
            </w:r>
          </w:p>
        </w:tc>
        <w:tc>
          <w:tcPr>
            <w:tcW w:w="3103" w:type="dxa"/>
            <w:shd w:val="clear" w:color="auto" w:fill="auto"/>
            <w:noWrap/>
            <w:hideMark/>
          </w:tcPr>
          <w:p w14:paraId="13B248B4" w14:textId="77777777" w:rsidR="00DE7838" w:rsidRPr="00906EAF" w:rsidRDefault="00DE7838" w:rsidP="00D92B98">
            <w:pPr>
              <w:rPr>
                <w:rFonts w:cs="Arial"/>
                <w:color w:val="000000"/>
                <w:szCs w:val="18"/>
              </w:rPr>
            </w:pPr>
            <w:r>
              <w:rPr>
                <w:b/>
                <w:color w:val="000000"/>
              </w:rPr>
              <w:t>Graniczna waga akumulatora / opakowania</w:t>
            </w:r>
          </w:p>
        </w:tc>
      </w:tr>
      <w:tr w:rsidR="00816D3E" w:rsidRPr="00906EAF" w14:paraId="1AC201ED" w14:textId="77777777" w:rsidTr="003F20E8">
        <w:trPr>
          <w:trHeight w:val="1430"/>
        </w:trPr>
        <w:tc>
          <w:tcPr>
            <w:tcW w:w="2658" w:type="dxa"/>
            <w:shd w:val="clear" w:color="auto" w:fill="auto"/>
            <w:noWrap/>
            <w:hideMark/>
          </w:tcPr>
          <w:p w14:paraId="2A81577A" w14:textId="77777777" w:rsidR="00816D3E" w:rsidRPr="00906EAF" w:rsidRDefault="00816D3E" w:rsidP="00816D3E">
            <w:pPr>
              <w:rPr>
                <w:rFonts w:cs="Arial"/>
                <w:color w:val="000000"/>
                <w:szCs w:val="18"/>
              </w:rPr>
            </w:pPr>
            <w:r>
              <w:rPr>
                <w:color w:val="000000"/>
              </w:rPr>
              <w:t>Sam</w:t>
            </w:r>
          </w:p>
        </w:tc>
        <w:tc>
          <w:tcPr>
            <w:tcW w:w="3134" w:type="dxa"/>
            <w:shd w:val="clear" w:color="auto" w:fill="auto"/>
            <w:noWrap/>
          </w:tcPr>
          <w:p w14:paraId="3F05AEC6" w14:textId="77777777" w:rsidR="00816D3E" w:rsidRPr="00522633" w:rsidRDefault="00816D3E" w:rsidP="00A5425C">
            <w:r>
              <w:t>Równa lub mniejsza niż 2 g</w:t>
            </w:r>
          </w:p>
        </w:tc>
        <w:tc>
          <w:tcPr>
            <w:tcW w:w="1841" w:type="dxa"/>
            <w:shd w:val="clear" w:color="auto" w:fill="auto"/>
            <w:noWrap/>
          </w:tcPr>
          <w:p w14:paraId="580EB865" w14:textId="77777777" w:rsidR="00816D3E" w:rsidRPr="00906EAF" w:rsidRDefault="00816D3E" w:rsidP="00816D3E">
            <w:pPr>
              <w:rPr>
                <w:rFonts w:cs="Arial"/>
                <w:color w:val="000000"/>
                <w:szCs w:val="18"/>
              </w:rPr>
            </w:pPr>
            <w:r>
              <w:rPr>
                <w:color w:val="000000"/>
              </w:rPr>
              <w:t>Rysunek 12 lub 13</w:t>
            </w:r>
          </w:p>
        </w:tc>
        <w:tc>
          <w:tcPr>
            <w:tcW w:w="3103" w:type="dxa"/>
            <w:shd w:val="clear" w:color="auto" w:fill="auto"/>
          </w:tcPr>
          <w:p w14:paraId="47C4EC0F" w14:textId="77777777" w:rsidR="00816D3E" w:rsidRPr="00816D3E" w:rsidRDefault="00816D3E" w:rsidP="00816D3E">
            <w:pPr>
              <w:rPr>
                <w:rFonts w:cs="Arial"/>
                <w:color w:val="000000"/>
                <w:szCs w:val="18"/>
              </w:rPr>
            </w:pPr>
            <w:r>
              <w:rPr>
                <w:color w:val="000000"/>
              </w:rPr>
              <w:t>Równa lub mniejsza niż 0,3g = 2,5 kg</w:t>
            </w:r>
          </w:p>
          <w:p w14:paraId="68A0CE78" w14:textId="77777777" w:rsidR="00816D3E" w:rsidRPr="00816D3E" w:rsidRDefault="00816D3E" w:rsidP="00816D3E">
            <w:pPr>
              <w:rPr>
                <w:rFonts w:cs="Arial"/>
                <w:color w:val="000000"/>
                <w:szCs w:val="18"/>
              </w:rPr>
            </w:pPr>
            <w:r>
              <w:rPr>
                <w:color w:val="000000"/>
              </w:rPr>
              <w:t>LUB</w:t>
            </w:r>
          </w:p>
          <w:p w14:paraId="7C1DB552" w14:textId="77777777" w:rsidR="00816D3E" w:rsidRPr="00906EAF" w:rsidRDefault="00816D3E" w:rsidP="00816D3E">
            <w:pPr>
              <w:rPr>
                <w:rFonts w:cs="Arial"/>
                <w:color w:val="000000"/>
                <w:szCs w:val="18"/>
              </w:rPr>
            </w:pPr>
            <w:r>
              <w:rPr>
                <w:color w:val="000000"/>
              </w:rPr>
              <w:t>Większa niż 0,3 g, ale równa lub mniejsza niż 2 g = 2 akumulatory</w:t>
            </w:r>
          </w:p>
        </w:tc>
      </w:tr>
      <w:tr w:rsidR="00816D3E" w:rsidRPr="00906EAF" w14:paraId="6EA2B936" w14:textId="77777777" w:rsidTr="003F20E8">
        <w:trPr>
          <w:trHeight w:val="710"/>
        </w:trPr>
        <w:tc>
          <w:tcPr>
            <w:tcW w:w="2658" w:type="dxa"/>
            <w:shd w:val="clear" w:color="auto" w:fill="auto"/>
            <w:noWrap/>
            <w:hideMark/>
          </w:tcPr>
          <w:p w14:paraId="1FD0B3BF" w14:textId="77777777" w:rsidR="00816D3E" w:rsidRPr="00906EAF" w:rsidRDefault="00816D3E" w:rsidP="00816D3E">
            <w:pPr>
              <w:rPr>
                <w:rFonts w:cs="Arial"/>
                <w:color w:val="000000"/>
                <w:szCs w:val="18"/>
              </w:rPr>
            </w:pPr>
            <w:bookmarkStart w:id="63" w:name="_Hlk54192298"/>
            <w:r>
              <w:rPr>
                <w:color w:val="000000"/>
              </w:rPr>
              <w:t>Pakowane oddzielnie z urządzeniem (nie zainstalowane w urządzeniu)</w:t>
            </w:r>
          </w:p>
        </w:tc>
        <w:tc>
          <w:tcPr>
            <w:tcW w:w="3134" w:type="dxa"/>
            <w:shd w:val="clear" w:color="auto" w:fill="auto"/>
            <w:noWrap/>
          </w:tcPr>
          <w:p w14:paraId="248C6747" w14:textId="77777777" w:rsidR="00816D3E" w:rsidRPr="00522633" w:rsidRDefault="00816D3E" w:rsidP="00A5425C">
            <w:r>
              <w:t>Równa lub mniejsza niż 2 g</w:t>
            </w:r>
          </w:p>
        </w:tc>
        <w:tc>
          <w:tcPr>
            <w:tcW w:w="1841" w:type="dxa"/>
            <w:shd w:val="clear" w:color="auto" w:fill="auto"/>
            <w:noWrap/>
          </w:tcPr>
          <w:p w14:paraId="3962CDCF" w14:textId="77777777" w:rsidR="00816D3E" w:rsidRPr="00906EAF" w:rsidRDefault="00816D3E" w:rsidP="00816D3E">
            <w:pPr>
              <w:rPr>
                <w:rFonts w:cs="Arial"/>
                <w:color w:val="000000"/>
                <w:szCs w:val="18"/>
              </w:rPr>
            </w:pPr>
            <w:r>
              <w:rPr>
                <w:color w:val="000000"/>
              </w:rPr>
              <w:t>Rysunek 12 lub 13</w:t>
            </w:r>
          </w:p>
        </w:tc>
        <w:tc>
          <w:tcPr>
            <w:tcW w:w="3103" w:type="dxa"/>
            <w:shd w:val="clear" w:color="auto" w:fill="auto"/>
          </w:tcPr>
          <w:p w14:paraId="1E7E4ED3" w14:textId="77777777" w:rsidR="00816D3E" w:rsidRPr="00906EAF" w:rsidRDefault="00816D3E" w:rsidP="00906EAF">
            <w:pPr>
              <w:jc w:val="center"/>
              <w:rPr>
                <w:rFonts w:cs="Arial"/>
                <w:color w:val="000000"/>
                <w:szCs w:val="18"/>
              </w:rPr>
            </w:pPr>
            <w:r>
              <w:rPr>
                <w:color w:val="000000"/>
              </w:rPr>
              <w:t>PAX = 5 kg</w:t>
            </w:r>
            <w:r>
              <w:rPr>
                <w:color w:val="000000"/>
              </w:rPr>
              <w:br/>
              <w:t>CAO = 5kg</w:t>
            </w:r>
          </w:p>
        </w:tc>
      </w:tr>
    </w:tbl>
    <w:p w14:paraId="73A82E2C" w14:textId="77777777" w:rsidR="00F750E6" w:rsidRDefault="00F750E6" w:rsidP="004A7BFA">
      <w:pPr>
        <w:rPr>
          <w:rFonts w:cs="Arial"/>
        </w:rPr>
      </w:pPr>
    </w:p>
    <w:p w14:paraId="16003B02" w14:textId="77777777" w:rsidR="00906EAF" w:rsidRDefault="00816D3E" w:rsidP="004A7BFA">
      <w:pPr>
        <w:rPr>
          <w:rFonts w:cs="Arial"/>
        </w:rPr>
      </w:pPr>
      <w:r>
        <w:t>Jeśli akumulator Li-Ion ma pojemność większą niż 100 Wh, a w akumulatorze litowo-metalowym masa litu przekracza 2 g, należy skonsultować się z inżynierem ds. zgodności środowiskowej w celu uzyskania odpowiedniej etykiety.</w:t>
      </w:r>
    </w:p>
    <w:p w14:paraId="21E47A4B" w14:textId="50096B61" w:rsidR="00816D3E" w:rsidRDefault="00E51FE3" w:rsidP="004A7BFA">
      <w:pPr>
        <w:rPr>
          <w:rFonts w:cs="Arial"/>
        </w:rPr>
      </w:pPr>
      <w:r>
        <w:br/>
      </w:r>
      <w:r>
        <w:br/>
      </w:r>
      <w:r w:rsidR="005F5119">
        <w:t xml:space="preserve">Rysunek 12: Wymóg zawartości etykiety dla wysyłanych akumulatorów: </w:t>
      </w:r>
    </w:p>
    <w:p w14:paraId="55345C6C" w14:textId="77777777" w:rsidR="00906EAF" w:rsidRDefault="00906EAF" w:rsidP="00816D3E">
      <w:pPr>
        <w:jc w:val="center"/>
        <w:rPr>
          <w:rFonts w:cs="Arial"/>
        </w:rPr>
      </w:pPr>
      <w:r>
        <w:rPr>
          <w:noProof/>
        </w:rPr>
        <w:drawing>
          <wp:inline distT="0" distB="0" distL="0" distR="0" wp14:anchorId="32C11796" wp14:editId="34B29748">
            <wp:extent cx="2375095" cy="2073275"/>
            <wp:effectExtent l="0" t="0" r="635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2532" cy="2079767"/>
                    </a:xfrm>
                    <a:prstGeom prst="rect">
                      <a:avLst/>
                    </a:prstGeom>
                    <a:noFill/>
                    <a:ln>
                      <a:noFill/>
                    </a:ln>
                  </pic:spPr>
                </pic:pic>
              </a:graphicData>
            </a:graphic>
          </wp:inline>
        </w:drawing>
      </w:r>
    </w:p>
    <w:p w14:paraId="54CA7885" w14:textId="70A4BE65" w:rsidR="00816D3E" w:rsidRDefault="005F5119" w:rsidP="00716A11">
      <w:r>
        <w:t xml:space="preserve">Rysunek 13: Zawartość etykiety do wysyłki mniejszych paczek z akumulatorami: </w:t>
      </w:r>
    </w:p>
    <w:p w14:paraId="767E659F" w14:textId="77777777" w:rsidR="00816D3E" w:rsidRDefault="00816D3E" w:rsidP="00816D3E">
      <w:pPr>
        <w:jc w:val="center"/>
      </w:pPr>
      <w:r>
        <w:rPr>
          <w:noProof/>
        </w:rPr>
        <w:drawing>
          <wp:inline distT="0" distB="0" distL="0" distR="0" wp14:anchorId="42626B11" wp14:editId="54B230B5">
            <wp:extent cx="2481103" cy="18863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09169" cy="1907700"/>
                    </a:xfrm>
                    <a:prstGeom prst="rect">
                      <a:avLst/>
                    </a:prstGeom>
                    <a:noFill/>
                    <a:ln>
                      <a:noFill/>
                    </a:ln>
                  </pic:spPr>
                </pic:pic>
              </a:graphicData>
            </a:graphic>
          </wp:inline>
        </w:drawing>
      </w:r>
    </w:p>
    <w:p w14:paraId="6A0D86C3" w14:textId="77777777" w:rsidR="005740B4" w:rsidRDefault="005740B4" w:rsidP="00481C42">
      <w:pPr>
        <w:pStyle w:val="Heading3"/>
        <w:rPr>
          <w:sz w:val="28"/>
        </w:rPr>
      </w:pPr>
      <w:bookmarkStart w:id="64" w:name="_Toc118886402"/>
      <w:r>
        <w:t>Wyłączenia dotyczące etykietowania</w:t>
      </w:r>
      <w:bookmarkEnd w:id="64"/>
    </w:p>
    <w:bookmarkEnd w:id="63"/>
    <w:p w14:paraId="23F7C660" w14:textId="77777777" w:rsidR="003B28A1" w:rsidRDefault="003B28A1" w:rsidP="003B28A1">
      <w:r>
        <w:t>Etykieta informująca o obsłudze akumulatorów litowo-jonowych nie jest wymagana, gdy opakowanie zawiera nie więcej niż 2 akumulatory znajdujące się w urządzeniu. Baterie litowo-metalowe zawarte w urządzeniu nie wymagają żadnej etykiety dotyczącej postępowania z bateriami litowymi.</w:t>
      </w:r>
    </w:p>
    <w:p w14:paraId="73821B0D" w14:textId="77777777" w:rsidR="009E043D" w:rsidRDefault="009E043D" w:rsidP="00481C42">
      <w:pPr>
        <w:pStyle w:val="Heading3"/>
      </w:pPr>
      <w:bookmarkStart w:id="65" w:name="_Toc118886403"/>
      <w:r>
        <w:t>Ostrzeżenie o możliwości jednorazowego użycia produktu</w:t>
      </w:r>
      <w:bookmarkEnd w:id="65"/>
    </w:p>
    <w:p w14:paraId="6154BB2E" w14:textId="77777777" w:rsidR="009E043D" w:rsidRDefault="009E043D" w:rsidP="00BE0FAC">
      <w:pPr>
        <w:spacing w:after="0"/>
      </w:pPr>
      <w:r>
        <w:t>Produkty firmy NETGEAR nie mogą być wyrzucane razem z odpadami domowymi. Produkty firmy NETGEAR muszą być utylizowane w miejscach, które są upoważnione do recyklingu urządzeń elektrycznych i elektronicznych. Zbierając i przetwarzając odpady, pomagasz oszczędzać zasoby naturalne i upewniasz się, że produkt jest utylizowany w sposób przyjazny dla środowiska i zdrowy.</w:t>
      </w:r>
    </w:p>
    <w:p w14:paraId="29E63D66" w14:textId="77777777" w:rsidR="00922A55" w:rsidRPr="009B16CB" w:rsidRDefault="00922A55" w:rsidP="00481C42">
      <w:pPr>
        <w:pStyle w:val="Heading1"/>
      </w:pPr>
      <w:bookmarkStart w:id="66" w:name="_Toc118886404"/>
      <w:r>
        <w:t>Urządzenie Powerline i gniazdo przelotowe — informacje dotyczące bezpieczeństwa i EMC</w:t>
      </w:r>
      <w:bookmarkEnd w:id="66"/>
    </w:p>
    <w:p w14:paraId="00CE2DED" w14:textId="77777777" w:rsidR="00922A55" w:rsidRDefault="00922A55" w:rsidP="00922A55">
      <w:pPr>
        <w:rPr>
          <w:rFonts w:cs="Arial"/>
        </w:rPr>
      </w:pPr>
      <w:r>
        <w:t>Aby zapewnić sobie bezpieczeństwo osobiste i ochronić system przed potencjalnymi uszkodzeniami, należy przestrzegać poniższych wskazówek bezpieczeństwa:</w:t>
      </w:r>
    </w:p>
    <w:p w14:paraId="00C49599" w14:textId="77777777" w:rsidR="00922A55" w:rsidRDefault="00922A55" w:rsidP="00922A55">
      <w:pPr>
        <w:pStyle w:val="ListParagraph"/>
        <w:numPr>
          <w:ilvl w:val="0"/>
          <w:numId w:val="15"/>
        </w:numPr>
        <w:rPr>
          <w:rFonts w:cs="Arial"/>
        </w:rPr>
      </w:pPr>
      <w:r>
        <w:t xml:space="preserve">W przypadku certyfikatów krajowych (projektów certyfikatów innych niż CB), odpowiednie krajowe normy w zakresie wtyczek, gniazdek i bezpośrednich wtyczek (np. US) zostaną również wzięte pod uwagę podczas testowania i certyfikowania takich produktów zgodnie z krajowymi normami. </w:t>
      </w:r>
    </w:p>
    <w:p w14:paraId="10ABC06A" w14:textId="77777777" w:rsidR="00922A55" w:rsidRDefault="00922A55" w:rsidP="00922A55">
      <w:pPr>
        <w:pStyle w:val="ListParagraph"/>
        <w:numPr>
          <w:ilvl w:val="0"/>
          <w:numId w:val="15"/>
        </w:numPr>
        <w:rPr>
          <w:rFonts w:cs="Arial"/>
        </w:rPr>
      </w:pPr>
      <w:r>
        <w:t>Należy sprawdzić prąd elektryczny pod kątem urządzeń podłączonych do filtrowanego gniazdka prądu zmiennego. Nie należy przekraczać wskaźników dla urządzeń domowych i wymagań w zakresie elektryki.</w:t>
      </w:r>
    </w:p>
    <w:p w14:paraId="28015978" w14:textId="77777777" w:rsidR="00922A55" w:rsidRDefault="00922A55" w:rsidP="00922A55">
      <w:pPr>
        <w:pStyle w:val="ListParagraph"/>
        <w:numPr>
          <w:ilvl w:val="0"/>
          <w:numId w:val="15"/>
        </w:numPr>
        <w:rPr>
          <w:rFonts w:cs="Arial"/>
        </w:rPr>
      </w:pPr>
      <w:r>
        <w:t>Gniazdo wyjściowe powinno być łatwodostępne i zamontowane blisko sprzętu.</w:t>
      </w:r>
    </w:p>
    <w:p w14:paraId="56D20933" w14:textId="62C70373" w:rsidR="00922A55" w:rsidRDefault="00922A55" w:rsidP="00922A55">
      <w:pPr>
        <w:pStyle w:val="ListParagraph"/>
        <w:numPr>
          <w:ilvl w:val="0"/>
          <w:numId w:val="15"/>
        </w:numPr>
        <w:rPr>
          <w:rFonts w:cs="Arial"/>
        </w:rPr>
      </w:pPr>
      <w:r>
        <w:t>Do filtrowanych gniazdek zasilania można podłączać tylko kable zasilania, nie należy podłączać żadnych urządzeń z bezpośrednią wtyczką. Produkt nie powinien znajdować się na wysokości większej niż 1 m od powierzchni podparcia, a przewód zasilający powinien mieć długość minimum 1 m i maksymalny przekrój 1,5 mm².</w:t>
      </w:r>
    </w:p>
    <w:p w14:paraId="52B7DF5A" w14:textId="77777777" w:rsidR="00922A55" w:rsidRDefault="00922A55" w:rsidP="00922A55">
      <w:pPr>
        <w:pStyle w:val="ListParagraph"/>
        <w:numPr>
          <w:ilvl w:val="0"/>
          <w:numId w:val="15"/>
        </w:numPr>
        <w:rPr>
          <w:rFonts w:cs="Arial"/>
        </w:rPr>
      </w:pPr>
      <w:r>
        <w:t>Do filtrowanego gniazdka adaptera przelotowego Powerline nie należy podłączać urządzeń, które przekraczają specyfikację natężenia i napięcia prądu.  Napięcie wyjściowe filtrowanego gniazdka zasilania jest takie samo, jak napięcie gniazdka, do którego podłączony jest adapter przelotowy Powerline. Aby uniknąć uszkodzenia systemu, należy upewnić się, że specyfikacja elektryczna podłączanych urządzeń jest odpowiednia do pracy w danej lokalizacji.</w:t>
      </w:r>
    </w:p>
    <w:p w14:paraId="73005E8D" w14:textId="77777777" w:rsidR="00922A55" w:rsidRDefault="00922A55" w:rsidP="00922A55">
      <w:pPr>
        <w:pStyle w:val="ListParagraph"/>
        <w:numPr>
          <w:ilvl w:val="0"/>
          <w:numId w:val="15"/>
        </w:numPr>
        <w:rPr>
          <w:rFonts w:cs="Arial"/>
        </w:rPr>
      </w:pPr>
      <w:r>
        <w:t>Jeśli napięcie wejściowe jest mniejsze niż 100 V AC, adapter przelotowy podłączony do filtrowanego gniazdka XAV5601 może nie działać poprawnie.</w:t>
      </w:r>
    </w:p>
    <w:p w14:paraId="703845C6" w14:textId="77777777" w:rsidR="00922A55" w:rsidRDefault="00922A55" w:rsidP="00922A55">
      <w:pPr>
        <w:pStyle w:val="ListParagraph"/>
        <w:numPr>
          <w:ilvl w:val="0"/>
          <w:numId w:val="15"/>
        </w:numPr>
        <w:rPr>
          <w:rFonts w:cs="Arial"/>
        </w:rPr>
      </w:pPr>
      <w:r>
        <w:t xml:space="preserve">NIE PODŁĄCZAJ WIĘKSZYCH URZĄDZEŃ AGD do filtrowanego gniazdka zasilania lub do dołączonej listwy zasilającej.  Urządzenie nie jest przeznaczone do użytku z urządzeniami, takimi jak: klimatyzatory, narzędzia elektryczne, grzejniki, wentylatory, suszarki do włosów, piecyki lub lodówki. </w:t>
      </w:r>
    </w:p>
    <w:p w14:paraId="7FFCE16A" w14:textId="77777777" w:rsidR="00B2351F" w:rsidRDefault="00B2351F" w:rsidP="00B2351F">
      <w:pPr>
        <w:pStyle w:val="ListParagraph"/>
        <w:numPr>
          <w:ilvl w:val="0"/>
          <w:numId w:val="15"/>
        </w:numPr>
        <w:rPr>
          <w:rFonts w:cs="Arial"/>
        </w:rPr>
      </w:pPr>
      <w:r>
        <w:t>Należy przestrzegać danych znamionowych przedłużaczy i listew zasilających.  Należy upewnić się, że łączna wartość amperażu wszystkich urządzeń podłączonych do przedłużacza lub listwy zasilającej nie przekracza 80 procent limitu amperażu dla przedłużacza lub listwy zasilającej.</w:t>
      </w:r>
    </w:p>
    <w:p w14:paraId="39D9B531" w14:textId="2360906D" w:rsidR="00922A55" w:rsidRDefault="00922A55" w:rsidP="00922A55">
      <w:pPr>
        <w:pStyle w:val="ListParagraph"/>
        <w:numPr>
          <w:ilvl w:val="0"/>
          <w:numId w:val="15"/>
        </w:numPr>
        <w:rPr>
          <w:rFonts w:cs="Arial"/>
        </w:rPr>
      </w:pPr>
      <w:r>
        <w:t xml:space="preserve">Rzeczywista przepustowość danych może się różnić. Warunki sieciowe i czynniki środowiskowe, w tym natężenie ruchu sieciowego, materiały budowlane i konstrukcja oraz koszty ogólne sieci, obniżają rzeczywistą przepustowość danych. </w:t>
      </w:r>
    </w:p>
    <w:p w14:paraId="0D951C94" w14:textId="77777777" w:rsidR="00B2351F" w:rsidRDefault="00B2351F" w:rsidP="00B2351F">
      <w:pPr>
        <w:rPr>
          <w:rFonts w:cs="Arial"/>
        </w:rPr>
      </w:pPr>
      <w:r>
        <w:t>Produkty NETGEAR Powerline zapewniają alternatywną metodę rozszerzenia sieci przy użyciu istniejącego okablowania elektrycznego. W przypadku problemów z zakłóceniami należy postępować zgodnie z poniższymi wskazówkami:</w:t>
      </w:r>
    </w:p>
    <w:p w14:paraId="2C7614BC" w14:textId="77777777" w:rsidR="00B2351F" w:rsidRDefault="00B2351F" w:rsidP="00B2351F">
      <w:pPr>
        <w:pStyle w:val="ListParagraph"/>
        <w:numPr>
          <w:ilvl w:val="0"/>
          <w:numId w:val="35"/>
        </w:numPr>
        <w:rPr>
          <w:rFonts w:cs="Arial"/>
        </w:rPr>
      </w:pPr>
      <w:r>
        <w:t>Podłączyć adaptery Powerline do gniazdek z dala od ładowarek telefonów komórkowych i stacji bazowych telefonów bezprzewodowych</w:t>
      </w:r>
    </w:p>
    <w:p w14:paraId="49064843" w14:textId="77777777" w:rsidR="00B2351F" w:rsidRDefault="00B2351F" w:rsidP="00B2351F">
      <w:pPr>
        <w:pStyle w:val="ListParagraph"/>
        <w:numPr>
          <w:ilvl w:val="0"/>
          <w:numId w:val="35"/>
        </w:numPr>
        <w:rPr>
          <w:rFonts w:cs="Arial"/>
        </w:rPr>
      </w:pPr>
      <w:r>
        <w:t>Upewnić się, że adaptery Powerline są umieszczone z dala od urządzeń z silnikiem (np. wentylator, odkurzacz itp.)</w:t>
      </w:r>
    </w:p>
    <w:p w14:paraId="110F159F" w14:textId="77777777" w:rsidR="00B2351F" w:rsidRPr="00F205AA" w:rsidRDefault="00B2351F" w:rsidP="00B2351F">
      <w:pPr>
        <w:pStyle w:val="ListParagraph"/>
        <w:numPr>
          <w:ilvl w:val="0"/>
          <w:numId w:val="35"/>
        </w:numPr>
        <w:rPr>
          <w:rFonts w:cs="Arial"/>
        </w:rPr>
      </w:pPr>
      <w:r>
        <w:t>Upewnić się, że adaptery Powerline są umieszczone z dala od urządzeń audio, takich jak odbiorniki radiowe</w:t>
      </w:r>
    </w:p>
    <w:p w14:paraId="4A91753F" w14:textId="2FFBDC7A" w:rsidR="00B2351F" w:rsidRPr="00B2351F" w:rsidRDefault="00B2351F" w:rsidP="00B2351F">
      <w:pPr>
        <w:pStyle w:val="Heading2"/>
      </w:pPr>
      <w:bookmarkStart w:id="67" w:name="_Toc118886405"/>
      <w:r>
        <w:t>Ogólne wytyczne</w:t>
      </w:r>
      <w:bookmarkEnd w:id="67"/>
    </w:p>
    <w:p w14:paraId="1EE3B1AA" w14:textId="77777777" w:rsidR="00922A55" w:rsidRDefault="00922A55" w:rsidP="00922A55">
      <w:pPr>
        <w:pStyle w:val="ListParagraph"/>
        <w:numPr>
          <w:ilvl w:val="0"/>
          <w:numId w:val="15"/>
        </w:numPr>
        <w:rPr>
          <w:rFonts w:cs="Arial"/>
        </w:rPr>
      </w:pPr>
      <w:r>
        <w:t>Produkt należy stosować wyłącznie z zatwierdzonym sprzętem.</w:t>
      </w:r>
    </w:p>
    <w:p w14:paraId="2023888C" w14:textId="77777777" w:rsidR="00922A55" w:rsidRDefault="00922A55" w:rsidP="00922A55">
      <w:pPr>
        <w:pStyle w:val="ListParagraph"/>
        <w:numPr>
          <w:ilvl w:val="0"/>
          <w:numId w:val="15"/>
        </w:numPr>
        <w:rPr>
          <w:rFonts w:cs="Arial"/>
        </w:rPr>
      </w:pPr>
      <w:r>
        <w:t>Przed zdjęciem pokryw lub dotknięciem wewnętrznych elementów należy odczekać, aż urządzenie ostygnie.</w:t>
      </w:r>
    </w:p>
    <w:p w14:paraId="0E3A28C5" w14:textId="77777777" w:rsidR="00922A55" w:rsidRDefault="00922A55" w:rsidP="00922A55">
      <w:pPr>
        <w:pStyle w:val="ListParagraph"/>
        <w:numPr>
          <w:ilvl w:val="0"/>
          <w:numId w:val="15"/>
        </w:numPr>
        <w:rPr>
          <w:rFonts w:cs="Arial"/>
        </w:rPr>
      </w:pPr>
      <w:r>
        <w:t>Aby uniknąć uszkodzenia systemu, należy upewnić się, że przełącznik wyboru napięcia (jeśli jest w wyposażeniu) na zasilaczu jest ustawiony tak, aby odpowiadał mocy dostępnej w danej lokalizacji:</w:t>
      </w:r>
    </w:p>
    <w:p w14:paraId="683AD319" w14:textId="77777777" w:rsidR="00922A55" w:rsidRDefault="00922A55" w:rsidP="00922A55">
      <w:pPr>
        <w:pStyle w:val="ListParagraph"/>
        <w:numPr>
          <w:ilvl w:val="1"/>
          <w:numId w:val="15"/>
        </w:numPr>
        <w:rPr>
          <w:rFonts w:cs="Arial"/>
        </w:rPr>
      </w:pPr>
      <w:r>
        <w:t>110 woltów (V), 60 herców (Hz) w większości Ameryki Północnej i Południowej oraz w niektórych krajach Dalekiego Wschodu, takich jak Korea Południowa i Tajwan</w:t>
      </w:r>
    </w:p>
    <w:p w14:paraId="33C15580" w14:textId="77777777" w:rsidR="00922A55" w:rsidRDefault="00922A55" w:rsidP="00922A55">
      <w:pPr>
        <w:pStyle w:val="ListParagraph"/>
        <w:numPr>
          <w:ilvl w:val="1"/>
          <w:numId w:val="15"/>
        </w:numPr>
        <w:rPr>
          <w:rFonts w:cs="Arial"/>
        </w:rPr>
      </w:pPr>
      <w:r>
        <w:t>100 V, 50 Hz we wschodniej Japonii i 100, 60 Hz w zachodniej Japonii</w:t>
      </w:r>
    </w:p>
    <w:p w14:paraId="1AF9ED2A" w14:textId="77777777" w:rsidR="00922A55" w:rsidRDefault="00922A55" w:rsidP="00922A55">
      <w:pPr>
        <w:pStyle w:val="ListParagraph"/>
        <w:numPr>
          <w:ilvl w:val="1"/>
          <w:numId w:val="15"/>
        </w:numPr>
        <w:rPr>
          <w:rFonts w:cs="Arial"/>
        </w:rPr>
      </w:pPr>
      <w:r>
        <w:t>230 V, 50 Hz w większości krajów Europy, na Bliskim i Dalekim Wschodzie</w:t>
      </w:r>
    </w:p>
    <w:p w14:paraId="2A43BCA5" w14:textId="2B8D643D" w:rsidR="00AA5A71" w:rsidRDefault="00922A55" w:rsidP="008A30EE">
      <w:pPr>
        <w:pStyle w:val="ListParagraph"/>
        <w:numPr>
          <w:ilvl w:val="0"/>
          <w:numId w:val="15"/>
        </w:numPr>
        <w:rPr>
          <w:rFonts w:cs="Arial"/>
        </w:rPr>
      </w:pPr>
      <w:r>
        <w:t>Aby zabezpieczyć system przed nagłymi, przejściowymi wzrostami i spadkami napięcia elektrycznego, należy użyć tłumika przepięć, kondycjonera sieciowego lub zasilacza bezprzerwowego (UPS).</w:t>
      </w:r>
    </w:p>
    <w:p w14:paraId="13100612" w14:textId="77777777" w:rsidR="00B2351F" w:rsidRDefault="00B2351F" w:rsidP="00B2351F">
      <w:pPr>
        <w:pStyle w:val="ListParagraph"/>
        <w:numPr>
          <w:ilvl w:val="0"/>
          <w:numId w:val="15"/>
        </w:numPr>
        <w:rPr>
          <w:rFonts w:cs="Arial"/>
        </w:rPr>
      </w:pPr>
      <w:r>
        <w:t>Kable zasilania urządzeń peryferyjnych są wyposażone we wtyczki z trzema bolcami, aby zapewnić prawidłowe uziemienie.  Nie należy używać wtyczek adapterowych ani usuwać wtyczki uziemiającej z kabla.</w:t>
      </w:r>
    </w:p>
    <w:p w14:paraId="084EADB5" w14:textId="77777777" w:rsidR="00B2351F" w:rsidRDefault="00B2351F" w:rsidP="00B2351F">
      <w:pPr>
        <w:pStyle w:val="ListParagraph"/>
        <w:numPr>
          <w:ilvl w:val="0"/>
          <w:numId w:val="15"/>
        </w:numPr>
        <w:rPr>
          <w:rFonts w:cs="Arial"/>
        </w:rPr>
      </w:pPr>
      <w:r>
        <w:t>Otwieranie lub zdejmowanie pokryw oznaczonych trójkątnym symbolem z błyskawicą może narazić użytkownika na porażenie prądem elektrycznym.  Elementy znajdujące się w tych komorach powinny być serwisowane wyłącznie przez wykwalifikowanego technika.</w:t>
      </w:r>
    </w:p>
    <w:p w14:paraId="6A4B3227" w14:textId="3766ED00" w:rsidR="000747E1" w:rsidRPr="000747E1" w:rsidRDefault="000747E1" w:rsidP="000747E1">
      <w:pPr>
        <w:pStyle w:val="ListParagraph"/>
        <w:numPr>
          <w:ilvl w:val="0"/>
          <w:numId w:val="15"/>
        </w:numPr>
        <w:rPr>
          <w:rFonts w:cs="Arial"/>
        </w:rPr>
      </w:pPr>
      <w:r>
        <w:t xml:space="preserve">Nie należy serwisować żadnego produktu z wyjątkiem sytuacji opisanych w dokumentacji systemu. </w:t>
      </w:r>
    </w:p>
    <w:p w14:paraId="4AA3B7F9" w14:textId="52ECD6F6" w:rsidR="0082382E" w:rsidRPr="0082382E" w:rsidRDefault="0082382E" w:rsidP="00E63B27">
      <w:pPr>
        <w:pStyle w:val="Heading1"/>
        <w:rPr>
          <w:rStyle w:val="Hyperlink"/>
          <w:rFonts w:eastAsia="新細明體" w:cstheme="minorBidi"/>
          <w:b w:val="0"/>
          <w:bCs w:val="0"/>
          <w:color w:val="000000" w:themeColor="text1"/>
          <w:sz w:val="18"/>
          <w:szCs w:val="22"/>
          <w:u w:val="none"/>
        </w:rPr>
      </w:pPr>
      <w:bookmarkStart w:id="68" w:name="_Toc118886406"/>
      <w:r>
        <w:rPr>
          <w:rStyle w:val="Hyperlink"/>
          <w:color w:val="000000" w:themeColor="text1"/>
          <w:u w:val="none"/>
        </w:rPr>
        <w:t>Zgodność z kalifornijskimi przepisami Prop 65</w:t>
      </w:r>
      <w:bookmarkEnd w:id="68"/>
      <w:r>
        <w:rPr>
          <w:rStyle w:val="Hyperlink"/>
          <w:color w:val="000000" w:themeColor="text1"/>
          <w:u w:val="none"/>
        </w:rPr>
        <w:t xml:space="preserve"> </w:t>
      </w:r>
    </w:p>
    <w:p w14:paraId="62FF7820" w14:textId="34FC1A48" w:rsidR="0082382E" w:rsidRPr="0082382E" w:rsidRDefault="0082382E" w:rsidP="00E63B27">
      <w:r>
        <w:t>Produkty firmy NETGEAR są zgodne z wymogami przepisów Prop 65. Oświadczamy, że nasze produkty nie zawierają żadnej z najnowszych substancji wymienionych przez OEHHA lub mieszczą się w kalifornijskim progu poziomu bezpiecznej przystani OEHHA, jeśli taki został przyjęty.</w:t>
      </w:r>
    </w:p>
    <w:p w14:paraId="3AFC4B28" w14:textId="305F4BD4" w:rsidR="0040534E" w:rsidRDefault="0006746B" w:rsidP="0082382E">
      <w:pPr>
        <w:pStyle w:val="Heading1"/>
      </w:pPr>
      <w:bookmarkStart w:id="69" w:name="_Toc118886407"/>
      <w:r>
        <w:t>Instrukcje bezpieczeństwa dotyczące montażu w szafie typu rack</w:t>
      </w:r>
      <w:bookmarkEnd w:id="69"/>
    </w:p>
    <w:p w14:paraId="7BDC0EFA" w14:textId="77777777" w:rsidR="0040534E" w:rsidRDefault="00D8195F" w:rsidP="0040534E">
      <w:pPr>
        <w:rPr>
          <w:rFonts w:cs="Arial"/>
        </w:rPr>
      </w:pPr>
      <w:r>
        <w:t>Te informacje dotyczą instalacji produktów NETGEAR do montażu w szafie typu rack</w:t>
      </w:r>
    </w:p>
    <w:p w14:paraId="443777AB" w14:textId="77777777" w:rsidR="0040534E" w:rsidRPr="0040534E" w:rsidRDefault="0040534E" w:rsidP="0040534E">
      <w:pPr>
        <w:pStyle w:val="ListParagraph"/>
        <w:numPr>
          <w:ilvl w:val="0"/>
          <w:numId w:val="15"/>
        </w:numPr>
        <w:rPr>
          <w:rFonts w:cs="Arial"/>
        </w:rPr>
      </w:pPr>
      <w:r>
        <w:rPr>
          <w:b/>
        </w:rPr>
        <w:t>Temperatura otoczenia podczas pracy</w:t>
      </w:r>
      <w:r>
        <w:t>. Jeśli przełącznik zainstalowany jest w zamkniętej lub wielomodułowej szafie, temperatura otoczenia szafy może być wyższa niż temperatura otoczenia pomieszczenia. Dlatego należy rozważyć instalację urządzenia w środowisku zgodnym z maksymalną znamionową temperaturą otoczenia.</w:t>
      </w:r>
    </w:p>
    <w:p w14:paraId="1EF6B5DD" w14:textId="77777777" w:rsidR="0040534E" w:rsidRPr="0040534E" w:rsidRDefault="0040534E" w:rsidP="0040534E">
      <w:pPr>
        <w:pStyle w:val="ListParagraph"/>
        <w:numPr>
          <w:ilvl w:val="0"/>
          <w:numId w:val="15"/>
        </w:numPr>
        <w:rPr>
          <w:rFonts w:cs="Arial"/>
        </w:rPr>
      </w:pPr>
      <w:r>
        <w:rPr>
          <w:b/>
        </w:rPr>
        <w:t>Zmniejszony przepływ powietrza</w:t>
      </w:r>
      <w:r>
        <w:t>. Urządzenie należy zamontować w szafie typu rack w taki sposób, aby nie ograniczać przepływu powietrza wymaganego do bezpiecznej pracy.</w:t>
      </w:r>
    </w:p>
    <w:p w14:paraId="79AB917C" w14:textId="77777777" w:rsidR="0040534E" w:rsidRPr="0040534E" w:rsidRDefault="0040534E" w:rsidP="0040534E">
      <w:pPr>
        <w:pStyle w:val="ListParagraph"/>
        <w:numPr>
          <w:ilvl w:val="0"/>
          <w:numId w:val="15"/>
        </w:numPr>
        <w:rPr>
          <w:rFonts w:cs="Arial"/>
        </w:rPr>
      </w:pPr>
      <w:r>
        <w:rPr>
          <w:b/>
        </w:rPr>
        <w:t>Obciążenie mechaniczne</w:t>
      </w:r>
      <w:r>
        <w:t>. Urządzenie należy zamontować w szafie typu rack tak, aby nie powstały niebezpieczne warunki z powodu nierównomiernego obciążenia mechanicznego.</w:t>
      </w:r>
    </w:p>
    <w:p w14:paraId="45F936B6" w14:textId="77777777" w:rsidR="0040534E" w:rsidRPr="0040534E" w:rsidRDefault="0040534E" w:rsidP="0040534E">
      <w:pPr>
        <w:pStyle w:val="ListParagraph"/>
        <w:numPr>
          <w:ilvl w:val="0"/>
          <w:numId w:val="15"/>
        </w:numPr>
        <w:rPr>
          <w:rFonts w:cs="Arial"/>
        </w:rPr>
      </w:pPr>
      <w:r>
        <w:rPr>
          <w:b/>
        </w:rPr>
        <w:t>Przeciążenie obwodu</w:t>
      </w:r>
      <w:r>
        <w:t>. Należy rozważyć podłączenie sprzętu do obwodów zasilania i wpływ, jaki ewentualne przeciążenie obwodów może mieć na zabezpieczenie nadprądowe i okablowanie zasilania. Przy rozwiązywaniu tego problemu należy wziąć pod uwagę wartości znamionowe z tabliczek znamionowych urządzeń.</w:t>
      </w:r>
    </w:p>
    <w:p w14:paraId="04B4B6EB" w14:textId="77777777" w:rsidR="0040534E" w:rsidRPr="0040534E" w:rsidRDefault="0040534E" w:rsidP="0040534E">
      <w:pPr>
        <w:pStyle w:val="ListParagraph"/>
        <w:numPr>
          <w:ilvl w:val="0"/>
          <w:numId w:val="15"/>
        </w:numPr>
        <w:rPr>
          <w:rFonts w:cs="Arial"/>
        </w:rPr>
      </w:pPr>
      <w:r>
        <w:rPr>
          <w:b/>
        </w:rPr>
        <w:t>Niezawodne uziemienie</w:t>
      </w:r>
      <w:r>
        <w:t>. Ten produkt wymaga niezawodnego uziemienia przez cały czas. Aby to zapewnić, należy uziemić samą szafę typu rack. Należy zwrócić szczególną uwagę na połączenia zasilania inne niż bezpośrednie podłączenia do obwodu odgałęzienia (np. zastosowanie listew zasilających).</w:t>
      </w:r>
    </w:p>
    <w:p w14:paraId="23D9FDD6" w14:textId="77777777" w:rsidR="0026043D" w:rsidRDefault="0040534E" w:rsidP="008A30EE">
      <w:pPr>
        <w:pStyle w:val="ListParagraph"/>
        <w:numPr>
          <w:ilvl w:val="0"/>
          <w:numId w:val="15"/>
        </w:numPr>
        <w:rPr>
          <w:rFonts w:cs="Arial"/>
        </w:rPr>
      </w:pPr>
      <w:r>
        <w:rPr>
          <w:b/>
        </w:rPr>
        <w:t>Odstęp</w:t>
      </w:r>
      <w:r>
        <w:t>. Należy pozostawić wystarczającą przestrzeń z przodu szafy typu rack (około 25 cali), aby umożliwić całkowite otwarcie przednich drzwiczek oraz z tyłu szafy (około 30 cali), aby zapewnić odpowiedni przepływ powietrza i ułatwić serwisowanie.</w:t>
      </w:r>
    </w:p>
    <w:p w14:paraId="25E1FB58" w14:textId="77777777" w:rsidR="007747FD" w:rsidRDefault="005F0D70" w:rsidP="007747FD">
      <w:pPr>
        <w:rPr>
          <w:rFonts w:cs="Arial"/>
        </w:rPr>
      </w:pPr>
      <w:r>
        <w:pict w14:anchorId="2ABF7066">
          <v:rect id="_x0000_i1025" style="width:468pt;height:1pt" o:hralign="center" o:hrstd="t" o:hrnoshade="t" o:hr="t" fillcolor="#7030a0" stroked="f"/>
        </w:pict>
      </w:r>
    </w:p>
    <w:p w14:paraId="69742600" w14:textId="77777777" w:rsidR="007747FD" w:rsidRDefault="007747FD" w:rsidP="007747FD">
      <w:pPr>
        <w:jc w:val="center"/>
      </w:pPr>
      <w:r>
        <w:t>NETGEAR, Inc., 350 E. Plumeria Avenue, San Jose, CA 95134 USA</w:t>
      </w:r>
    </w:p>
    <w:p w14:paraId="38FDB602" w14:textId="77777777" w:rsidR="00D55649" w:rsidRDefault="00D55649" w:rsidP="00DE7838">
      <w:pPr>
        <w:jc w:val="center"/>
        <w:rPr>
          <w:noProof/>
        </w:rPr>
      </w:pPr>
    </w:p>
    <w:p w14:paraId="27E2AF55" w14:textId="1D861FE9" w:rsidR="00E62611" w:rsidRDefault="00E62611" w:rsidP="00D55649">
      <w:pPr>
        <w:jc w:val="center"/>
      </w:pPr>
    </w:p>
    <w:sectPr w:rsidR="00E62611" w:rsidSect="00AE4C00">
      <w:footerReference w:type="defaul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EB0C" w14:textId="77777777" w:rsidR="00887D9B" w:rsidRDefault="00887D9B" w:rsidP="007747FD">
      <w:pPr>
        <w:spacing w:after="0" w:line="240" w:lineRule="auto"/>
      </w:pPr>
      <w:r>
        <w:separator/>
      </w:r>
    </w:p>
  </w:endnote>
  <w:endnote w:type="continuationSeparator" w:id="0">
    <w:p w14:paraId="31F73FD8" w14:textId="77777777" w:rsidR="00887D9B" w:rsidRDefault="00887D9B" w:rsidP="0077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undry Sterling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undry Sterling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4CD2" w14:textId="24C20C8C" w:rsidR="00887D9B" w:rsidRDefault="00887D9B" w:rsidP="000B1672">
    <w:pPr>
      <w:jc w:val="center"/>
    </w:pPr>
    <w:r>
      <w:t>NETGEAR — powiadomienia o zgodności v36</w:t>
    </w:r>
    <w:r>
      <w:ptab w:relativeTo="margin" w:alignment="center" w:leader="none"/>
    </w:r>
    <w:r>
      <w:t xml:space="preserve"> poprawione 7 lipca 2022 r.</w:t>
    </w:r>
    <w:r>
      <w:ptab w:relativeTo="margin" w:alignment="right" w:leader="none"/>
    </w:r>
    <w:r>
      <w:t xml:space="preserve">Strona </w:t>
    </w:r>
    <w:r w:rsidRPr="00AD5A34">
      <w:fldChar w:fldCharType="begin"/>
    </w:r>
    <w:r w:rsidRPr="00AD5A34">
      <w:instrText xml:space="preserve"> PAGE   \* MERGEFORMAT </w:instrText>
    </w:r>
    <w:r w:rsidRPr="00AD5A34">
      <w:fldChar w:fldCharType="separate"/>
    </w:r>
    <w:r>
      <w:t>21</w:t>
    </w:r>
    <w:r w:rsidRPr="00AD5A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F26B" w14:textId="77777777" w:rsidR="00887D9B" w:rsidRDefault="00887D9B" w:rsidP="007747FD">
      <w:pPr>
        <w:spacing w:after="0" w:line="240" w:lineRule="auto"/>
      </w:pPr>
      <w:r>
        <w:separator/>
      </w:r>
    </w:p>
  </w:footnote>
  <w:footnote w:type="continuationSeparator" w:id="0">
    <w:p w14:paraId="49D3B117" w14:textId="77777777" w:rsidR="00887D9B" w:rsidRDefault="00887D9B" w:rsidP="00774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80B2CE"/>
    <w:multiLevelType w:val="hybridMultilevel"/>
    <w:tmpl w:val="660B67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9793AB"/>
    <w:multiLevelType w:val="hybridMultilevel"/>
    <w:tmpl w:val="F2306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770098"/>
    <w:multiLevelType w:val="hybridMultilevel"/>
    <w:tmpl w:val="065D6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40B07E"/>
    <w:multiLevelType w:val="hybridMultilevel"/>
    <w:tmpl w:val="0333FA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93127C38"/>
    <w:lvl w:ilvl="0">
      <w:start w:val="1"/>
      <w:numFmt w:val="decimal"/>
      <w:lvlText w:val="%1."/>
      <w:lvlJc w:val="left"/>
      <w:pPr>
        <w:tabs>
          <w:tab w:val="num" w:pos="1800"/>
        </w:tabs>
        <w:ind w:left="1800" w:hanging="360"/>
      </w:pPr>
    </w:lvl>
  </w:abstractNum>
  <w:abstractNum w:abstractNumId="5" w15:restartNumberingAfterBreak="0">
    <w:nsid w:val="FFFFFF7D"/>
    <w:multiLevelType w:val="singleLevel"/>
    <w:tmpl w:val="E14A8D50"/>
    <w:lvl w:ilvl="0">
      <w:start w:val="1"/>
      <w:numFmt w:val="decimal"/>
      <w:lvlText w:val="%1."/>
      <w:lvlJc w:val="left"/>
      <w:pPr>
        <w:tabs>
          <w:tab w:val="num" w:pos="1440"/>
        </w:tabs>
        <w:ind w:left="1440" w:hanging="360"/>
      </w:pPr>
    </w:lvl>
  </w:abstractNum>
  <w:abstractNum w:abstractNumId="6" w15:restartNumberingAfterBreak="0">
    <w:nsid w:val="FFFFFF7E"/>
    <w:multiLevelType w:val="singleLevel"/>
    <w:tmpl w:val="F0A4694E"/>
    <w:lvl w:ilvl="0">
      <w:start w:val="1"/>
      <w:numFmt w:val="decimal"/>
      <w:lvlText w:val="%1."/>
      <w:lvlJc w:val="left"/>
      <w:pPr>
        <w:tabs>
          <w:tab w:val="num" w:pos="1080"/>
        </w:tabs>
        <w:ind w:left="1080" w:hanging="360"/>
      </w:pPr>
    </w:lvl>
  </w:abstractNum>
  <w:abstractNum w:abstractNumId="7" w15:restartNumberingAfterBreak="0">
    <w:nsid w:val="FFFFFF7F"/>
    <w:multiLevelType w:val="singleLevel"/>
    <w:tmpl w:val="596A9952"/>
    <w:lvl w:ilvl="0">
      <w:start w:val="1"/>
      <w:numFmt w:val="decimal"/>
      <w:lvlText w:val="%1."/>
      <w:lvlJc w:val="left"/>
      <w:pPr>
        <w:tabs>
          <w:tab w:val="num" w:pos="720"/>
        </w:tabs>
        <w:ind w:left="720" w:hanging="360"/>
      </w:pPr>
    </w:lvl>
  </w:abstractNum>
  <w:abstractNum w:abstractNumId="8" w15:restartNumberingAfterBreak="0">
    <w:nsid w:val="FFFFFF80"/>
    <w:multiLevelType w:val="singleLevel"/>
    <w:tmpl w:val="264C8FDC"/>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D0C81EDA"/>
    <w:lvl w:ilvl="0">
      <w:start w:val="1"/>
      <w:numFmt w:val="bullet"/>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722435F2"/>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4B56AFA8"/>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F7B681AC"/>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387EC08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041816"/>
    <w:multiLevelType w:val="hybridMultilevel"/>
    <w:tmpl w:val="753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05009"/>
    <w:multiLevelType w:val="hybridMultilevel"/>
    <w:tmpl w:val="AFEEECE6"/>
    <w:lvl w:ilvl="0" w:tplc="7690F5C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4468FE"/>
    <w:multiLevelType w:val="hybridMultilevel"/>
    <w:tmpl w:val="2ECA4D8C"/>
    <w:lvl w:ilvl="0" w:tplc="9B8846F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A03E56"/>
    <w:multiLevelType w:val="hybridMultilevel"/>
    <w:tmpl w:val="AF4C8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21918"/>
    <w:multiLevelType w:val="hybridMultilevel"/>
    <w:tmpl w:val="11F62B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31522B3"/>
    <w:multiLevelType w:val="hybridMultilevel"/>
    <w:tmpl w:val="B3B2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E4F0A"/>
    <w:multiLevelType w:val="hybridMultilevel"/>
    <w:tmpl w:val="D3FC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25283"/>
    <w:multiLevelType w:val="hybridMultilevel"/>
    <w:tmpl w:val="FECC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B3858"/>
    <w:multiLevelType w:val="hybridMultilevel"/>
    <w:tmpl w:val="78D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6D5834"/>
    <w:multiLevelType w:val="hybridMultilevel"/>
    <w:tmpl w:val="2B3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B7A85"/>
    <w:multiLevelType w:val="hybridMultilevel"/>
    <w:tmpl w:val="99D2B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0C94D4D"/>
    <w:multiLevelType w:val="hybridMultilevel"/>
    <w:tmpl w:val="8A4E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CAE1A"/>
    <w:multiLevelType w:val="hybridMultilevel"/>
    <w:tmpl w:val="DE63D9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49564AC"/>
    <w:multiLevelType w:val="hybridMultilevel"/>
    <w:tmpl w:val="BDE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0D5022"/>
    <w:multiLevelType w:val="hybridMultilevel"/>
    <w:tmpl w:val="BD60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96329"/>
    <w:multiLevelType w:val="multilevel"/>
    <w:tmpl w:val="E790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982E48"/>
    <w:multiLevelType w:val="hybridMultilevel"/>
    <w:tmpl w:val="5804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D3B08CC"/>
    <w:multiLevelType w:val="hybridMultilevel"/>
    <w:tmpl w:val="67F45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EE85880"/>
    <w:multiLevelType w:val="hybridMultilevel"/>
    <w:tmpl w:val="E31AFBB2"/>
    <w:lvl w:ilvl="0" w:tplc="71C295AA">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384269B"/>
    <w:multiLevelType w:val="hybridMultilevel"/>
    <w:tmpl w:val="799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919B5"/>
    <w:multiLevelType w:val="hybridMultilevel"/>
    <w:tmpl w:val="DDB2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235DC"/>
    <w:multiLevelType w:val="hybridMultilevel"/>
    <w:tmpl w:val="E47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768AC"/>
    <w:multiLevelType w:val="hybridMultilevel"/>
    <w:tmpl w:val="CC5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A440C"/>
    <w:multiLevelType w:val="hybridMultilevel"/>
    <w:tmpl w:val="AC2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F1114"/>
    <w:multiLevelType w:val="hybridMultilevel"/>
    <w:tmpl w:val="72AA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56129"/>
    <w:multiLevelType w:val="hybridMultilevel"/>
    <w:tmpl w:val="C50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82176"/>
    <w:multiLevelType w:val="hybridMultilevel"/>
    <w:tmpl w:val="A240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F25EA"/>
    <w:multiLevelType w:val="hybridMultilevel"/>
    <w:tmpl w:val="E7A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3103C"/>
    <w:multiLevelType w:val="hybridMultilevel"/>
    <w:tmpl w:val="816222AA"/>
    <w:lvl w:ilvl="0" w:tplc="229637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682659">
    <w:abstractNumId w:val="13"/>
  </w:num>
  <w:num w:numId="2" w16cid:durableId="2087532495">
    <w:abstractNumId w:val="11"/>
  </w:num>
  <w:num w:numId="3" w16cid:durableId="581183130">
    <w:abstractNumId w:val="10"/>
  </w:num>
  <w:num w:numId="4" w16cid:durableId="1014460139">
    <w:abstractNumId w:val="9"/>
  </w:num>
  <w:num w:numId="5" w16cid:durableId="1050031314">
    <w:abstractNumId w:val="8"/>
  </w:num>
  <w:num w:numId="6" w16cid:durableId="1245259427">
    <w:abstractNumId w:val="12"/>
  </w:num>
  <w:num w:numId="7" w16cid:durableId="1547571066">
    <w:abstractNumId w:val="7"/>
  </w:num>
  <w:num w:numId="8" w16cid:durableId="1502625334">
    <w:abstractNumId w:val="6"/>
  </w:num>
  <w:num w:numId="9" w16cid:durableId="1495995229">
    <w:abstractNumId w:val="5"/>
  </w:num>
  <w:num w:numId="10" w16cid:durableId="1178038896">
    <w:abstractNumId w:val="4"/>
  </w:num>
  <w:num w:numId="11" w16cid:durableId="706640680">
    <w:abstractNumId w:val="38"/>
  </w:num>
  <w:num w:numId="12" w16cid:durableId="1393458525">
    <w:abstractNumId w:val="39"/>
  </w:num>
  <w:num w:numId="13" w16cid:durableId="1403795062">
    <w:abstractNumId w:val="28"/>
  </w:num>
  <w:num w:numId="14" w16cid:durableId="871070712">
    <w:abstractNumId w:val="36"/>
  </w:num>
  <w:num w:numId="15" w16cid:durableId="1886210414">
    <w:abstractNumId w:val="17"/>
  </w:num>
  <w:num w:numId="16" w16cid:durableId="22174156">
    <w:abstractNumId w:val="32"/>
  </w:num>
  <w:num w:numId="17" w16cid:durableId="284627299">
    <w:abstractNumId w:val="31"/>
  </w:num>
  <w:num w:numId="18" w16cid:durableId="1806463460">
    <w:abstractNumId w:val="27"/>
  </w:num>
  <w:num w:numId="19" w16cid:durableId="1032729492">
    <w:abstractNumId w:val="30"/>
  </w:num>
  <w:num w:numId="20" w16cid:durableId="20770522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1718071">
    <w:abstractNumId w:val="24"/>
  </w:num>
  <w:num w:numId="22" w16cid:durableId="624042049">
    <w:abstractNumId w:val="19"/>
  </w:num>
  <w:num w:numId="23" w16cid:durableId="2056347578">
    <w:abstractNumId w:val="40"/>
  </w:num>
  <w:num w:numId="24" w16cid:durableId="2012563041">
    <w:abstractNumId w:val="33"/>
  </w:num>
  <w:num w:numId="25" w16cid:durableId="1841192404">
    <w:abstractNumId w:val="41"/>
  </w:num>
  <w:num w:numId="26" w16cid:durableId="1631202524">
    <w:abstractNumId w:val="42"/>
  </w:num>
  <w:num w:numId="27" w16cid:durableId="2009668504">
    <w:abstractNumId w:val="20"/>
  </w:num>
  <w:num w:numId="28" w16cid:durableId="1264538377">
    <w:abstractNumId w:val="14"/>
  </w:num>
  <w:num w:numId="29" w16cid:durableId="1235240006">
    <w:abstractNumId w:val="29"/>
  </w:num>
  <w:num w:numId="30" w16cid:durableId="2039507768">
    <w:abstractNumId w:val="37"/>
  </w:num>
  <w:num w:numId="31" w16cid:durableId="137311296">
    <w:abstractNumId w:val="34"/>
  </w:num>
  <w:num w:numId="32" w16cid:durableId="1550914332">
    <w:abstractNumId w:val="21"/>
  </w:num>
  <w:num w:numId="33" w16cid:durableId="1075736078">
    <w:abstractNumId w:val="22"/>
  </w:num>
  <w:num w:numId="34" w16cid:durableId="498152544">
    <w:abstractNumId w:val="15"/>
  </w:num>
  <w:num w:numId="35" w16cid:durableId="2019193219">
    <w:abstractNumId w:val="25"/>
  </w:num>
  <w:num w:numId="36" w16cid:durableId="2047756860">
    <w:abstractNumId w:val="23"/>
  </w:num>
  <w:num w:numId="37" w16cid:durableId="1288395324">
    <w:abstractNumId w:val="35"/>
  </w:num>
  <w:num w:numId="38" w16cid:durableId="1302271489">
    <w:abstractNumId w:val="16"/>
  </w:num>
  <w:num w:numId="39" w16cid:durableId="933901825">
    <w:abstractNumId w:val="2"/>
  </w:num>
  <w:num w:numId="40" w16cid:durableId="1182431286">
    <w:abstractNumId w:val="26"/>
  </w:num>
  <w:num w:numId="41" w16cid:durableId="938952793">
    <w:abstractNumId w:val="0"/>
  </w:num>
  <w:num w:numId="42" w16cid:durableId="208343604">
    <w:abstractNumId w:val="1"/>
  </w:num>
  <w:num w:numId="43" w16cid:durableId="698313538">
    <w:abstractNumId w:val="3"/>
  </w:num>
  <w:num w:numId="44" w16cid:durableId="117410743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ławomir Grotkowski">
    <w15:presenceInfo w15:providerId="AD" w15:userId="S::sgrotkowski@sdl.com::8ae950ec-fd18-4a6f-ac30-02c1b71d22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0D"/>
    <w:rsid w:val="0000101F"/>
    <w:rsid w:val="0000477A"/>
    <w:rsid w:val="0000533D"/>
    <w:rsid w:val="00010328"/>
    <w:rsid w:val="00011236"/>
    <w:rsid w:val="00011C22"/>
    <w:rsid w:val="000127AA"/>
    <w:rsid w:val="000147B6"/>
    <w:rsid w:val="00014818"/>
    <w:rsid w:val="000212EE"/>
    <w:rsid w:val="000215AE"/>
    <w:rsid w:val="00022466"/>
    <w:rsid w:val="00027449"/>
    <w:rsid w:val="00031FFF"/>
    <w:rsid w:val="00037752"/>
    <w:rsid w:val="00042C67"/>
    <w:rsid w:val="000435D6"/>
    <w:rsid w:val="00045A55"/>
    <w:rsid w:val="000477B3"/>
    <w:rsid w:val="00047F4D"/>
    <w:rsid w:val="00054A73"/>
    <w:rsid w:val="00063563"/>
    <w:rsid w:val="0006445B"/>
    <w:rsid w:val="0006746B"/>
    <w:rsid w:val="00067D7F"/>
    <w:rsid w:val="000747E1"/>
    <w:rsid w:val="00075F96"/>
    <w:rsid w:val="00086ECA"/>
    <w:rsid w:val="000A40D1"/>
    <w:rsid w:val="000A4825"/>
    <w:rsid w:val="000A4B34"/>
    <w:rsid w:val="000A51B1"/>
    <w:rsid w:val="000B1672"/>
    <w:rsid w:val="000B36AE"/>
    <w:rsid w:val="000B6C98"/>
    <w:rsid w:val="000B6C9C"/>
    <w:rsid w:val="000C0C1B"/>
    <w:rsid w:val="000C20D9"/>
    <w:rsid w:val="000C411E"/>
    <w:rsid w:val="000C42DE"/>
    <w:rsid w:val="000D203C"/>
    <w:rsid w:val="000D6A99"/>
    <w:rsid w:val="000D7E4D"/>
    <w:rsid w:val="000E14ED"/>
    <w:rsid w:val="000E23B5"/>
    <w:rsid w:val="000E2515"/>
    <w:rsid w:val="000E301F"/>
    <w:rsid w:val="000E6B64"/>
    <w:rsid w:val="000E7882"/>
    <w:rsid w:val="000F03DC"/>
    <w:rsid w:val="000F251E"/>
    <w:rsid w:val="000F2CE9"/>
    <w:rsid w:val="000F304C"/>
    <w:rsid w:val="000F395D"/>
    <w:rsid w:val="000F4A86"/>
    <w:rsid w:val="001035C0"/>
    <w:rsid w:val="00104BC3"/>
    <w:rsid w:val="00124B98"/>
    <w:rsid w:val="00124BAD"/>
    <w:rsid w:val="0012607E"/>
    <w:rsid w:val="001263C7"/>
    <w:rsid w:val="0012644D"/>
    <w:rsid w:val="00130A80"/>
    <w:rsid w:val="00132062"/>
    <w:rsid w:val="0013300D"/>
    <w:rsid w:val="00142EC6"/>
    <w:rsid w:val="0014339D"/>
    <w:rsid w:val="00145201"/>
    <w:rsid w:val="00145868"/>
    <w:rsid w:val="0015149C"/>
    <w:rsid w:val="00151917"/>
    <w:rsid w:val="00152F10"/>
    <w:rsid w:val="00155080"/>
    <w:rsid w:val="00157F81"/>
    <w:rsid w:val="001619F2"/>
    <w:rsid w:val="00164A46"/>
    <w:rsid w:val="0017180B"/>
    <w:rsid w:val="001748E9"/>
    <w:rsid w:val="00174B99"/>
    <w:rsid w:val="00176244"/>
    <w:rsid w:val="00180FB9"/>
    <w:rsid w:val="00187888"/>
    <w:rsid w:val="00190050"/>
    <w:rsid w:val="001903FF"/>
    <w:rsid w:val="00192551"/>
    <w:rsid w:val="00194876"/>
    <w:rsid w:val="001A41EA"/>
    <w:rsid w:val="001A4C46"/>
    <w:rsid w:val="001A514C"/>
    <w:rsid w:val="001A59A6"/>
    <w:rsid w:val="001B46B7"/>
    <w:rsid w:val="001B5599"/>
    <w:rsid w:val="001B7ECA"/>
    <w:rsid w:val="001C4B14"/>
    <w:rsid w:val="001D77A4"/>
    <w:rsid w:val="001E0784"/>
    <w:rsid w:val="001E4EB5"/>
    <w:rsid w:val="001E54B9"/>
    <w:rsid w:val="001E6007"/>
    <w:rsid w:val="001E6DA5"/>
    <w:rsid w:val="001F2CF2"/>
    <w:rsid w:val="001F3313"/>
    <w:rsid w:val="001F3F1D"/>
    <w:rsid w:val="001F54C4"/>
    <w:rsid w:val="00201E44"/>
    <w:rsid w:val="00201F29"/>
    <w:rsid w:val="002044E6"/>
    <w:rsid w:val="00204A14"/>
    <w:rsid w:val="002064B6"/>
    <w:rsid w:val="002145BB"/>
    <w:rsid w:val="00217BC8"/>
    <w:rsid w:val="00217EFE"/>
    <w:rsid w:val="0023008B"/>
    <w:rsid w:val="002330C5"/>
    <w:rsid w:val="00233A1F"/>
    <w:rsid w:val="00234A05"/>
    <w:rsid w:val="002414BE"/>
    <w:rsid w:val="00250F36"/>
    <w:rsid w:val="00251B7C"/>
    <w:rsid w:val="0026043D"/>
    <w:rsid w:val="00260503"/>
    <w:rsid w:val="00260B0E"/>
    <w:rsid w:val="00260B39"/>
    <w:rsid w:val="00263213"/>
    <w:rsid w:val="00263361"/>
    <w:rsid w:val="00263DC2"/>
    <w:rsid w:val="00266E54"/>
    <w:rsid w:val="00276750"/>
    <w:rsid w:val="00276868"/>
    <w:rsid w:val="00277065"/>
    <w:rsid w:val="00277177"/>
    <w:rsid w:val="00281A17"/>
    <w:rsid w:val="00281B31"/>
    <w:rsid w:val="00284AF5"/>
    <w:rsid w:val="00287B12"/>
    <w:rsid w:val="00290AEF"/>
    <w:rsid w:val="00293858"/>
    <w:rsid w:val="00294042"/>
    <w:rsid w:val="00294208"/>
    <w:rsid w:val="002A1D67"/>
    <w:rsid w:val="002A2D30"/>
    <w:rsid w:val="002A6434"/>
    <w:rsid w:val="002A7E78"/>
    <w:rsid w:val="002B2473"/>
    <w:rsid w:val="002B3585"/>
    <w:rsid w:val="002B58BB"/>
    <w:rsid w:val="002C4B56"/>
    <w:rsid w:val="002C73E9"/>
    <w:rsid w:val="002C7415"/>
    <w:rsid w:val="002D60EB"/>
    <w:rsid w:val="002D6D64"/>
    <w:rsid w:val="002E0621"/>
    <w:rsid w:val="002E361F"/>
    <w:rsid w:val="002E5510"/>
    <w:rsid w:val="002E6629"/>
    <w:rsid w:val="002F0CAE"/>
    <w:rsid w:val="002F1C2F"/>
    <w:rsid w:val="002F2D23"/>
    <w:rsid w:val="002F32A0"/>
    <w:rsid w:val="002F3CBE"/>
    <w:rsid w:val="00307134"/>
    <w:rsid w:val="00312797"/>
    <w:rsid w:val="00313BAD"/>
    <w:rsid w:val="00314CF3"/>
    <w:rsid w:val="00315028"/>
    <w:rsid w:val="00315237"/>
    <w:rsid w:val="00315929"/>
    <w:rsid w:val="0031607B"/>
    <w:rsid w:val="003177A8"/>
    <w:rsid w:val="003200B1"/>
    <w:rsid w:val="00320D63"/>
    <w:rsid w:val="003343D9"/>
    <w:rsid w:val="003413AE"/>
    <w:rsid w:val="00341846"/>
    <w:rsid w:val="00342297"/>
    <w:rsid w:val="0034553B"/>
    <w:rsid w:val="00346382"/>
    <w:rsid w:val="00346F97"/>
    <w:rsid w:val="00351260"/>
    <w:rsid w:val="00354B5B"/>
    <w:rsid w:val="00354E7E"/>
    <w:rsid w:val="00354FF9"/>
    <w:rsid w:val="00356269"/>
    <w:rsid w:val="003572CF"/>
    <w:rsid w:val="00371A57"/>
    <w:rsid w:val="00375F22"/>
    <w:rsid w:val="00375FF8"/>
    <w:rsid w:val="0037608F"/>
    <w:rsid w:val="00382666"/>
    <w:rsid w:val="0038724B"/>
    <w:rsid w:val="00387A5A"/>
    <w:rsid w:val="00391C39"/>
    <w:rsid w:val="00394F1F"/>
    <w:rsid w:val="003A0DA1"/>
    <w:rsid w:val="003A6025"/>
    <w:rsid w:val="003B01F9"/>
    <w:rsid w:val="003B05E3"/>
    <w:rsid w:val="003B1754"/>
    <w:rsid w:val="003B28A1"/>
    <w:rsid w:val="003B293C"/>
    <w:rsid w:val="003B3DC6"/>
    <w:rsid w:val="003B3E0A"/>
    <w:rsid w:val="003B5C5E"/>
    <w:rsid w:val="003C35E7"/>
    <w:rsid w:val="003C44A0"/>
    <w:rsid w:val="003C6B77"/>
    <w:rsid w:val="003D2494"/>
    <w:rsid w:val="003D5457"/>
    <w:rsid w:val="003D7795"/>
    <w:rsid w:val="003E066C"/>
    <w:rsid w:val="003E0CCE"/>
    <w:rsid w:val="003E0E35"/>
    <w:rsid w:val="003E2EC0"/>
    <w:rsid w:val="003E5064"/>
    <w:rsid w:val="003F09B3"/>
    <w:rsid w:val="003F20E8"/>
    <w:rsid w:val="003F3A5A"/>
    <w:rsid w:val="003F4F06"/>
    <w:rsid w:val="003F7B59"/>
    <w:rsid w:val="00401B39"/>
    <w:rsid w:val="00404C25"/>
    <w:rsid w:val="0040534E"/>
    <w:rsid w:val="004053EC"/>
    <w:rsid w:val="00406A5B"/>
    <w:rsid w:val="00410A44"/>
    <w:rsid w:val="00413E95"/>
    <w:rsid w:val="00417F27"/>
    <w:rsid w:val="00420559"/>
    <w:rsid w:val="00421319"/>
    <w:rsid w:val="004217DC"/>
    <w:rsid w:val="00423270"/>
    <w:rsid w:val="00423F6A"/>
    <w:rsid w:val="00424412"/>
    <w:rsid w:val="00424989"/>
    <w:rsid w:val="00430601"/>
    <w:rsid w:val="00431D4F"/>
    <w:rsid w:val="00434EC6"/>
    <w:rsid w:val="00434FDD"/>
    <w:rsid w:val="004354C0"/>
    <w:rsid w:val="0044027B"/>
    <w:rsid w:val="00440354"/>
    <w:rsid w:val="00441C80"/>
    <w:rsid w:val="00442E7F"/>
    <w:rsid w:val="004437D2"/>
    <w:rsid w:val="0044582A"/>
    <w:rsid w:val="00445F96"/>
    <w:rsid w:val="00447B86"/>
    <w:rsid w:val="004570E2"/>
    <w:rsid w:val="0046104C"/>
    <w:rsid w:val="00463A8D"/>
    <w:rsid w:val="0048171C"/>
    <w:rsid w:val="0048177F"/>
    <w:rsid w:val="00481C42"/>
    <w:rsid w:val="00482369"/>
    <w:rsid w:val="00485B89"/>
    <w:rsid w:val="004874C5"/>
    <w:rsid w:val="0049001A"/>
    <w:rsid w:val="00491C10"/>
    <w:rsid w:val="00494D1A"/>
    <w:rsid w:val="00496277"/>
    <w:rsid w:val="004A7BFA"/>
    <w:rsid w:val="004A7D3F"/>
    <w:rsid w:val="004B1640"/>
    <w:rsid w:val="004B22D1"/>
    <w:rsid w:val="004B2951"/>
    <w:rsid w:val="004B319D"/>
    <w:rsid w:val="004B4F57"/>
    <w:rsid w:val="004C163F"/>
    <w:rsid w:val="004C3A6A"/>
    <w:rsid w:val="004C712D"/>
    <w:rsid w:val="004D2019"/>
    <w:rsid w:val="004D3CB2"/>
    <w:rsid w:val="004D74B1"/>
    <w:rsid w:val="004E30A8"/>
    <w:rsid w:val="004E534D"/>
    <w:rsid w:val="004E5CDC"/>
    <w:rsid w:val="004E6865"/>
    <w:rsid w:val="004F02A8"/>
    <w:rsid w:val="004F0B55"/>
    <w:rsid w:val="004F497D"/>
    <w:rsid w:val="004F5457"/>
    <w:rsid w:val="00502E0D"/>
    <w:rsid w:val="0050414C"/>
    <w:rsid w:val="00504C13"/>
    <w:rsid w:val="00507E03"/>
    <w:rsid w:val="00510C1B"/>
    <w:rsid w:val="00510FD6"/>
    <w:rsid w:val="00512C32"/>
    <w:rsid w:val="00516FEC"/>
    <w:rsid w:val="00523081"/>
    <w:rsid w:val="00523200"/>
    <w:rsid w:val="0052662C"/>
    <w:rsid w:val="0052671E"/>
    <w:rsid w:val="00527ADC"/>
    <w:rsid w:val="00530C71"/>
    <w:rsid w:val="00530F29"/>
    <w:rsid w:val="00531789"/>
    <w:rsid w:val="005322BD"/>
    <w:rsid w:val="00540578"/>
    <w:rsid w:val="005426C2"/>
    <w:rsid w:val="00542BAE"/>
    <w:rsid w:val="00544635"/>
    <w:rsid w:val="00546238"/>
    <w:rsid w:val="00553FB4"/>
    <w:rsid w:val="0055419A"/>
    <w:rsid w:val="00554260"/>
    <w:rsid w:val="005546E5"/>
    <w:rsid w:val="0055539B"/>
    <w:rsid w:val="0055706F"/>
    <w:rsid w:val="0056586B"/>
    <w:rsid w:val="005740B4"/>
    <w:rsid w:val="005749B5"/>
    <w:rsid w:val="005756BD"/>
    <w:rsid w:val="005778CF"/>
    <w:rsid w:val="005806E0"/>
    <w:rsid w:val="00583B2A"/>
    <w:rsid w:val="005860FE"/>
    <w:rsid w:val="00590123"/>
    <w:rsid w:val="0059065D"/>
    <w:rsid w:val="00591F7C"/>
    <w:rsid w:val="00593BB7"/>
    <w:rsid w:val="00594E54"/>
    <w:rsid w:val="005A3EBA"/>
    <w:rsid w:val="005A5077"/>
    <w:rsid w:val="005B1993"/>
    <w:rsid w:val="005C121F"/>
    <w:rsid w:val="005C4A60"/>
    <w:rsid w:val="005C6860"/>
    <w:rsid w:val="005D17AE"/>
    <w:rsid w:val="005D389D"/>
    <w:rsid w:val="005E602B"/>
    <w:rsid w:val="005F0D70"/>
    <w:rsid w:val="005F1BE8"/>
    <w:rsid w:val="005F214C"/>
    <w:rsid w:val="005F3CE1"/>
    <w:rsid w:val="005F5119"/>
    <w:rsid w:val="00603489"/>
    <w:rsid w:val="00604F74"/>
    <w:rsid w:val="0060535B"/>
    <w:rsid w:val="0060625B"/>
    <w:rsid w:val="006067D1"/>
    <w:rsid w:val="006078D0"/>
    <w:rsid w:val="006110E2"/>
    <w:rsid w:val="006114AF"/>
    <w:rsid w:val="00611E9C"/>
    <w:rsid w:val="00612DC5"/>
    <w:rsid w:val="00615AFF"/>
    <w:rsid w:val="00620D32"/>
    <w:rsid w:val="00620E05"/>
    <w:rsid w:val="00621AAC"/>
    <w:rsid w:val="006239CE"/>
    <w:rsid w:val="00623EEA"/>
    <w:rsid w:val="0062527A"/>
    <w:rsid w:val="00627781"/>
    <w:rsid w:val="00631365"/>
    <w:rsid w:val="006314A6"/>
    <w:rsid w:val="00635055"/>
    <w:rsid w:val="00642DE3"/>
    <w:rsid w:val="00643CD4"/>
    <w:rsid w:val="006464D3"/>
    <w:rsid w:val="006465B0"/>
    <w:rsid w:val="006473A7"/>
    <w:rsid w:val="00650BE1"/>
    <w:rsid w:val="00653370"/>
    <w:rsid w:val="006611D6"/>
    <w:rsid w:val="00665F5B"/>
    <w:rsid w:val="00667738"/>
    <w:rsid w:val="00667B8A"/>
    <w:rsid w:val="00672EF0"/>
    <w:rsid w:val="00675A65"/>
    <w:rsid w:val="00676CC8"/>
    <w:rsid w:val="00682E9D"/>
    <w:rsid w:val="00683FD5"/>
    <w:rsid w:val="006840DB"/>
    <w:rsid w:val="0068435A"/>
    <w:rsid w:val="00684CF1"/>
    <w:rsid w:val="00686CE9"/>
    <w:rsid w:val="00695862"/>
    <w:rsid w:val="0069591F"/>
    <w:rsid w:val="00697549"/>
    <w:rsid w:val="0069788A"/>
    <w:rsid w:val="006A0246"/>
    <w:rsid w:val="006A070C"/>
    <w:rsid w:val="006A18D5"/>
    <w:rsid w:val="006A663D"/>
    <w:rsid w:val="006B01B8"/>
    <w:rsid w:val="006B124E"/>
    <w:rsid w:val="006B3862"/>
    <w:rsid w:val="006B4956"/>
    <w:rsid w:val="006B51C6"/>
    <w:rsid w:val="006C1A5E"/>
    <w:rsid w:val="006C3E49"/>
    <w:rsid w:val="006C7F36"/>
    <w:rsid w:val="006D0E42"/>
    <w:rsid w:val="006D1744"/>
    <w:rsid w:val="006D178B"/>
    <w:rsid w:val="006D5780"/>
    <w:rsid w:val="006D6E83"/>
    <w:rsid w:val="006E6F0E"/>
    <w:rsid w:val="006E714A"/>
    <w:rsid w:val="006F2801"/>
    <w:rsid w:val="006F292F"/>
    <w:rsid w:val="006F32B8"/>
    <w:rsid w:val="006F503A"/>
    <w:rsid w:val="006F52BA"/>
    <w:rsid w:val="006F6302"/>
    <w:rsid w:val="006F70F9"/>
    <w:rsid w:val="007000CC"/>
    <w:rsid w:val="00711C6D"/>
    <w:rsid w:val="00716A11"/>
    <w:rsid w:val="007230FA"/>
    <w:rsid w:val="00727A09"/>
    <w:rsid w:val="0073303E"/>
    <w:rsid w:val="00742C88"/>
    <w:rsid w:val="00742D36"/>
    <w:rsid w:val="00743DE1"/>
    <w:rsid w:val="007456AA"/>
    <w:rsid w:val="00745F46"/>
    <w:rsid w:val="007465B2"/>
    <w:rsid w:val="00751520"/>
    <w:rsid w:val="00756B28"/>
    <w:rsid w:val="007576CC"/>
    <w:rsid w:val="00763931"/>
    <w:rsid w:val="007647B0"/>
    <w:rsid w:val="00765625"/>
    <w:rsid w:val="007747FD"/>
    <w:rsid w:val="00775411"/>
    <w:rsid w:val="00775DC6"/>
    <w:rsid w:val="00782DCC"/>
    <w:rsid w:val="00782EDA"/>
    <w:rsid w:val="007836E8"/>
    <w:rsid w:val="00785CF6"/>
    <w:rsid w:val="00790898"/>
    <w:rsid w:val="007A2880"/>
    <w:rsid w:val="007A37BA"/>
    <w:rsid w:val="007A7DC9"/>
    <w:rsid w:val="007B2983"/>
    <w:rsid w:val="007B4860"/>
    <w:rsid w:val="007C0A5A"/>
    <w:rsid w:val="007C4FD1"/>
    <w:rsid w:val="007C5FA2"/>
    <w:rsid w:val="007C6C8A"/>
    <w:rsid w:val="007D04AC"/>
    <w:rsid w:val="007D0D27"/>
    <w:rsid w:val="007D1EBC"/>
    <w:rsid w:val="007D277E"/>
    <w:rsid w:val="007D5B99"/>
    <w:rsid w:val="007E040C"/>
    <w:rsid w:val="007E389D"/>
    <w:rsid w:val="007E573C"/>
    <w:rsid w:val="007E5B60"/>
    <w:rsid w:val="007F284C"/>
    <w:rsid w:val="007F359B"/>
    <w:rsid w:val="007F3816"/>
    <w:rsid w:val="007F5C80"/>
    <w:rsid w:val="0080229A"/>
    <w:rsid w:val="00807DED"/>
    <w:rsid w:val="008122A0"/>
    <w:rsid w:val="0081235B"/>
    <w:rsid w:val="008127FD"/>
    <w:rsid w:val="0081445F"/>
    <w:rsid w:val="00814F87"/>
    <w:rsid w:val="00816B70"/>
    <w:rsid w:val="00816D3E"/>
    <w:rsid w:val="008172B1"/>
    <w:rsid w:val="00820802"/>
    <w:rsid w:val="00820C84"/>
    <w:rsid w:val="00821506"/>
    <w:rsid w:val="0082382E"/>
    <w:rsid w:val="008244B2"/>
    <w:rsid w:val="00832DE1"/>
    <w:rsid w:val="00833AB2"/>
    <w:rsid w:val="00833B0F"/>
    <w:rsid w:val="008341C9"/>
    <w:rsid w:val="008345D0"/>
    <w:rsid w:val="00834D53"/>
    <w:rsid w:val="008350C8"/>
    <w:rsid w:val="008370E7"/>
    <w:rsid w:val="00844B44"/>
    <w:rsid w:val="008509C9"/>
    <w:rsid w:val="00856E11"/>
    <w:rsid w:val="008626B5"/>
    <w:rsid w:val="00863997"/>
    <w:rsid w:val="00864319"/>
    <w:rsid w:val="0086630F"/>
    <w:rsid w:val="00866A38"/>
    <w:rsid w:val="008707F9"/>
    <w:rsid w:val="00874AD2"/>
    <w:rsid w:val="00875031"/>
    <w:rsid w:val="00877E6D"/>
    <w:rsid w:val="00880428"/>
    <w:rsid w:val="00880523"/>
    <w:rsid w:val="008824E6"/>
    <w:rsid w:val="0088639A"/>
    <w:rsid w:val="00887D9B"/>
    <w:rsid w:val="00892279"/>
    <w:rsid w:val="008944C4"/>
    <w:rsid w:val="0089506E"/>
    <w:rsid w:val="008A0D9A"/>
    <w:rsid w:val="008A1173"/>
    <w:rsid w:val="008A152F"/>
    <w:rsid w:val="008A30EE"/>
    <w:rsid w:val="008A3B83"/>
    <w:rsid w:val="008B4430"/>
    <w:rsid w:val="008C2049"/>
    <w:rsid w:val="008C2AC8"/>
    <w:rsid w:val="008C3C9C"/>
    <w:rsid w:val="008C4E60"/>
    <w:rsid w:val="008C6680"/>
    <w:rsid w:val="008C77FA"/>
    <w:rsid w:val="008D3F45"/>
    <w:rsid w:val="008D3F8E"/>
    <w:rsid w:val="008D49D2"/>
    <w:rsid w:val="008D4B1D"/>
    <w:rsid w:val="008E0AE0"/>
    <w:rsid w:val="008E1045"/>
    <w:rsid w:val="008F23C9"/>
    <w:rsid w:val="008F2752"/>
    <w:rsid w:val="009016A7"/>
    <w:rsid w:val="00901959"/>
    <w:rsid w:val="00906EAF"/>
    <w:rsid w:val="00921BE7"/>
    <w:rsid w:val="00922A55"/>
    <w:rsid w:val="0092333D"/>
    <w:rsid w:val="009246CD"/>
    <w:rsid w:val="00931EEB"/>
    <w:rsid w:val="00933F34"/>
    <w:rsid w:val="00935050"/>
    <w:rsid w:val="00936F79"/>
    <w:rsid w:val="009441F4"/>
    <w:rsid w:val="00944A3B"/>
    <w:rsid w:val="009450E0"/>
    <w:rsid w:val="00952395"/>
    <w:rsid w:val="00956AB1"/>
    <w:rsid w:val="00956C18"/>
    <w:rsid w:val="00957030"/>
    <w:rsid w:val="00957073"/>
    <w:rsid w:val="0096116C"/>
    <w:rsid w:val="00964B33"/>
    <w:rsid w:val="0097006B"/>
    <w:rsid w:val="00990AC1"/>
    <w:rsid w:val="009913BA"/>
    <w:rsid w:val="00991CB7"/>
    <w:rsid w:val="00995943"/>
    <w:rsid w:val="009A054E"/>
    <w:rsid w:val="009A1357"/>
    <w:rsid w:val="009A22C9"/>
    <w:rsid w:val="009A5C72"/>
    <w:rsid w:val="009A675F"/>
    <w:rsid w:val="009A769B"/>
    <w:rsid w:val="009B16CB"/>
    <w:rsid w:val="009B5DC2"/>
    <w:rsid w:val="009C105E"/>
    <w:rsid w:val="009C1BEF"/>
    <w:rsid w:val="009C202A"/>
    <w:rsid w:val="009C2166"/>
    <w:rsid w:val="009C27BE"/>
    <w:rsid w:val="009D72D1"/>
    <w:rsid w:val="009E043D"/>
    <w:rsid w:val="009E16C7"/>
    <w:rsid w:val="009E172B"/>
    <w:rsid w:val="009E1A24"/>
    <w:rsid w:val="009F10BF"/>
    <w:rsid w:val="009F1EF2"/>
    <w:rsid w:val="009F3130"/>
    <w:rsid w:val="009F4584"/>
    <w:rsid w:val="009F4DAB"/>
    <w:rsid w:val="00A00538"/>
    <w:rsid w:val="00A00D27"/>
    <w:rsid w:val="00A03195"/>
    <w:rsid w:val="00A12B63"/>
    <w:rsid w:val="00A23CD2"/>
    <w:rsid w:val="00A254E8"/>
    <w:rsid w:val="00A25AC9"/>
    <w:rsid w:val="00A26F22"/>
    <w:rsid w:val="00A3605E"/>
    <w:rsid w:val="00A360FC"/>
    <w:rsid w:val="00A36BD1"/>
    <w:rsid w:val="00A40B93"/>
    <w:rsid w:val="00A413BA"/>
    <w:rsid w:val="00A42825"/>
    <w:rsid w:val="00A443D6"/>
    <w:rsid w:val="00A44B0E"/>
    <w:rsid w:val="00A44D85"/>
    <w:rsid w:val="00A44DF9"/>
    <w:rsid w:val="00A5425C"/>
    <w:rsid w:val="00A5567C"/>
    <w:rsid w:val="00A56306"/>
    <w:rsid w:val="00A57D4F"/>
    <w:rsid w:val="00A61106"/>
    <w:rsid w:val="00A622E2"/>
    <w:rsid w:val="00A670DE"/>
    <w:rsid w:val="00A70FE2"/>
    <w:rsid w:val="00A72112"/>
    <w:rsid w:val="00A77C50"/>
    <w:rsid w:val="00A81D71"/>
    <w:rsid w:val="00A83AC9"/>
    <w:rsid w:val="00A86E9B"/>
    <w:rsid w:val="00A87C82"/>
    <w:rsid w:val="00A87FFB"/>
    <w:rsid w:val="00A92061"/>
    <w:rsid w:val="00A95388"/>
    <w:rsid w:val="00AA0DDA"/>
    <w:rsid w:val="00AA1A53"/>
    <w:rsid w:val="00AA1C70"/>
    <w:rsid w:val="00AA30D0"/>
    <w:rsid w:val="00AA4EED"/>
    <w:rsid w:val="00AA5A71"/>
    <w:rsid w:val="00AA5B25"/>
    <w:rsid w:val="00AA7FAE"/>
    <w:rsid w:val="00AC1FC9"/>
    <w:rsid w:val="00AC23E2"/>
    <w:rsid w:val="00AC5A02"/>
    <w:rsid w:val="00AC6BFD"/>
    <w:rsid w:val="00AD1E97"/>
    <w:rsid w:val="00AD3F79"/>
    <w:rsid w:val="00AD5A34"/>
    <w:rsid w:val="00AD5F1E"/>
    <w:rsid w:val="00AE18DC"/>
    <w:rsid w:val="00AE299A"/>
    <w:rsid w:val="00AE2A18"/>
    <w:rsid w:val="00AE2CB6"/>
    <w:rsid w:val="00AE3A05"/>
    <w:rsid w:val="00AE49FB"/>
    <w:rsid w:val="00AE4C00"/>
    <w:rsid w:val="00AE72FE"/>
    <w:rsid w:val="00AE7BC2"/>
    <w:rsid w:val="00AF5D93"/>
    <w:rsid w:val="00AF5E7F"/>
    <w:rsid w:val="00AF6B26"/>
    <w:rsid w:val="00B04F75"/>
    <w:rsid w:val="00B07032"/>
    <w:rsid w:val="00B0726F"/>
    <w:rsid w:val="00B12215"/>
    <w:rsid w:val="00B15620"/>
    <w:rsid w:val="00B2351F"/>
    <w:rsid w:val="00B24349"/>
    <w:rsid w:val="00B26FC8"/>
    <w:rsid w:val="00B30C34"/>
    <w:rsid w:val="00B36BA1"/>
    <w:rsid w:val="00B37C78"/>
    <w:rsid w:val="00B402FA"/>
    <w:rsid w:val="00B41119"/>
    <w:rsid w:val="00B437EA"/>
    <w:rsid w:val="00B45971"/>
    <w:rsid w:val="00B45C4B"/>
    <w:rsid w:val="00B5301B"/>
    <w:rsid w:val="00B62030"/>
    <w:rsid w:val="00B62416"/>
    <w:rsid w:val="00B647AA"/>
    <w:rsid w:val="00B654CA"/>
    <w:rsid w:val="00B76660"/>
    <w:rsid w:val="00B76D27"/>
    <w:rsid w:val="00B83F48"/>
    <w:rsid w:val="00B85660"/>
    <w:rsid w:val="00B85AB4"/>
    <w:rsid w:val="00B86893"/>
    <w:rsid w:val="00B90FD7"/>
    <w:rsid w:val="00BA03CE"/>
    <w:rsid w:val="00BA1B27"/>
    <w:rsid w:val="00BA29B1"/>
    <w:rsid w:val="00BB1CE3"/>
    <w:rsid w:val="00BB2455"/>
    <w:rsid w:val="00BB2623"/>
    <w:rsid w:val="00BB2B5E"/>
    <w:rsid w:val="00BB3188"/>
    <w:rsid w:val="00BB37EA"/>
    <w:rsid w:val="00BB5581"/>
    <w:rsid w:val="00BB66B4"/>
    <w:rsid w:val="00BB6B1B"/>
    <w:rsid w:val="00BB6EF9"/>
    <w:rsid w:val="00BC631F"/>
    <w:rsid w:val="00BC7AC3"/>
    <w:rsid w:val="00BD564C"/>
    <w:rsid w:val="00BD5A7D"/>
    <w:rsid w:val="00BD613A"/>
    <w:rsid w:val="00BE0FAC"/>
    <w:rsid w:val="00BE4392"/>
    <w:rsid w:val="00BE4923"/>
    <w:rsid w:val="00BE55C8"/>
    <w:rsid w:val="00BE7D6F"/>
    <w:rsid w:val="00BF07F1"/>
    <w:rsid w:val="00BF4BEC"/>
    <w:rsid w:val="00BF6C07"/>
    <w:rsid w:val="00C01830"/>
    <w:rsid w:val="00C03A95"/>
    <w:rsid w:val="00C06C76"/>
    <w:rsid w:val="00C1193F"/>
    <w:rsid w:val="00C11FB5"/>
    <w:rsid w:val="00C12422"/>
    <w:rsid w:val="00C151FA"/>
    <w:rsid w:val="00C1670E"/>
    <w:rsid w:val="00C243AA"/>
    <w:rsid w:val="00C3268C"/>
    <w:rsid w:val="00C34109"/>
    <w:rsid w:val="00C3537F"/>
    <w:rsid w:val="00C37937"/>
    <w:rsid w:val="00C41C95"/>
    <w:rsid w:val="00C4207D"/>
    <w:rsid w:val="00C44BE6"/>
    <w:rsid w:val="00C46159"/>
    <w:rsid w:val="00C509BF"/>
    <w:rsid w:val="00C5342C"/>
    <w:rsid w:val="00C610D9"/>
    <w:rsid w:val="00C63A0C"/>
    <w:rsid w:val="00C64D3E"/>
    <w:rsid w:val="00C759EA"/>
    <w:rsid w:val="00C77FC0"/>
    <w:rsid w:val="00C801F8"/>
    <w:rsid w:val="00C831B1"/>
    <w:rsid w:val="00C9195E"/>
    <w:rsid w:val="00C9341D"/>
    <w:rsid w:val="00C9766E"/>
    <w:rsid w:val="00CA049C"/>
    <w:rsid w:val="00CA4328"/>
    <w:rsid w:val="00CA4343"/>
    <w:rsid w:val="00CA5893"/>
    <w:rsid w:val="00CA5926"/>
    <w:rsid w:val="00CA613A"/>
    <w:rsid w:val="00CB192D"/>
    <w:rsid w:val="00CB6A33"/>
    <w:rsid w:val="00CD6361"/>
    <w:rsid w:val="00CE7E5B"/>
    <w:rsid w:val="00CF0E11"/>
    <w:rsid w:val="00CF1108"/>
    <w:rsid w:val="00CF561C"/>
    <w:rsid w:val="00CF6217"/>
    <w:rsid w:val="00D06CFB"/>
    <w:rsid w:val="00D07607"/>
    <w:rsid w:val="00D07CD7"/>
    <w:rsid w:val="00D10A71"/>
    <w:rsid w:val="00D11E03"/>
    <w:rsid w:val="00D1216D"/>
    <w:rsid w:val="00D144BF"/>
    <w:rsid w:val="00D14AE9"/>
    <w:rsid w:val="00D1598C"/>
    <w:rsid w:val="00D16C69"/>
    <w:rsid w:val="00D16F43"/>
    <w:rsid w:val="00D17572"/>
    <w:rsid w:val="00D23AB7"/>
    <w:rsid w:val="00D32267"/>
    <w:rsid w:val="00D33BCF"/>
    <w:rsid w:val="00D372FF"/>
    <w:rsid w:val="00D47193"/>
    <w:rsid w:val="00D477EB"/>
    <w:rsid w:val="00D53C5B"/>
    <w:rsid w:val="00D54FF3"/>
    <w:rsid w:val="00D55649"/>
    <w:rsid w:val="00D55B2D"/>
    <w:rsid w:val="00D56971"/>
    <w:rsid w:val="00D57181"/>
    <w:rsid w:val="00D62739"/>
    <w:rsid w:val="00D709AB"/>
    <w:rsid w:val="00D72E30"/>
    <w:rsid w:val="00D76DE3"/>
    <w:rsid w:val="00D76E4A"/>
    <w:rsid w:val="00D80416"/>
    <w:rsid w:val="00D8195F"/>
    <w:rsid w:val="00D83744"/>
    <w:rsid w:val="00D92B98"/>
    <w:rsid w:val="00D93A87"/>
    <w:rsid w:val="00D94F27"/>
    <w:rsid w:val="00DA0C40"/>
    <w:rsid w:val="00DA2340"/>
    <w:rsid w:val="00DA2909"/>
    <w:rsid w:val="00DA35FB"/>
    <w:rsid w:val="00DA3F88"/>
    <w:rsid w:val="00DA4579"/>
    <w:rsid w:val="00DA7671"/>
    <w:rsid w:val="00DB1424"/>
    <w:rsid w:val="00DB1C21"/>
    <w:rsid w:val="00DB2383"/>
    <w:rsid w:val="00DC19C1"/>
    <w:rsid w:val="00DC4207"/>
    <w:rsid w:val="00DC500E"/>
    <w:rsid w:val="00DC5EAA"/>
    <w:rsid w:val="00DC7558"/>
    <w:rsid w:val="00DD32FC"/>
    <w:rsid w:val="00DD4A52"/>
    <w:rsid w:val="00DE7200"/>
    <w:rsid w:val="00DE7838"/>
    <w:rsid w:val="00DF0D4A"/>
    <w:rsid w:val="00DF1FE9"/>
    <w:rsid w:val="00DF24E4"/>
    <w:rsid w:val="00DF3F22"/>
    <w:rsid w:val="00DF5D73"/>
    <w:rsid w:val="00E02734"/>
    <w:rsid w:val="00E105BF"/>
    <w:rsid w:val="00E109AA"/>
    <w:rsid w:val="00E1333B"/>
    <w:rsid w:val="00E13347"/>
    <w:rsid w:val="00E13934"/>
    <w:rsid w:val="00E15178"/>
    <w:rsid w:val="00E230E0"/>
    <w:rsid w:val="00E2422A"/>
    <w:rsid w:val="00E244D6"/>
    <w:rsid w:val="00E252AF"/>
    <w:rsid w:val="00E253EC"/>
    <w:rsid w:val="00E26579"/>
    <w:rsid w:val="00E320CF"/>
    <w:rsid w:val="00E36D9F"/>
    <w:rsid w:val="00E3743F"/>
    <w:rsid w:val="00E37662"/>
    <w:rsid w:val="00E51FE3"/>
    <w:rsid w:val="00E545E9"/>
    <w:rsid w:val="00E555C8"/>
    <w:rsid w:val="00E57E48"/>
    <w:rsid w:val="00E62611"/>
    <w:rsid w:val="00E63B27"/>
    <w:rsid w:val="00E7107C"/>
    <w:rsid w:val="00E72EE4"/>
    <w:rsid w:val="00E82C94"/>
    <w:rsid w:val="00E85723"/>
    <w:rsid w:val="00E862C9"/>
    <w:rsid w:val="00E90731"/>
    <w:rsid w:val="00EA5DA3"/>
    <w:rsid w:val="00EB009A"/>
    <w:rsid w:val="00EB1502"/>
    <w:rsid w:val="00EB52B4"/>
    <w:rsid w:val="00EC019B"/>
    <w:rsid w:val="00EC0F3B"/>
    <w:rsid w:val="00EC14AE"/>
    <w:rsid w:val="00EC1D55"/>
    <w:rsid w:val="00EC52DA"/>
    <w:rsid w:val="00EC6BD6"/>
    <w:rsid w:val="00EC7353"/>
    <w:rsid w:val="00ED0A66"/>
    <w:rsid w:val="00ED150C"/>
    <w:rsid w:val="00ED31F0"/>
    <w:rsid w:val="00ED54D5"/>
    <w:rsid w:val="00ED6388"/>
    <w:rsid w:val="00ED6E9F"/>
    <w:rsid w:val="00EE08C6"/>
    <w:rsid w:val="00EE0CE4"/>
    <w:rsid w:val="00EE2620"/>
    <w:rsid w:val="00EE4C24"/>
    <w:rsid w:val="00EE5249"/>
    <w:rsid w:val="00EE552E"/>
    <w:rsid w:val="00EE61BC"/>
    <w:rsid w:val="00EE7148"/>
    <w:rsid w:val="00EF352A"/>
    <w:rsid w:val="00EF48A7"/>
    <w:rsid w:val="00EF535E"/>
    <w:rsid w:val="00EF5A92"/>
    <w:rsid w:val="00EF6A6C"/>
    <w:rsid w:val="00F02BB1"/>
    <w:rsid w:val="00F07353"/>
    <w:rsid w:val="00F1393D"/>
    <w:rsid w:val="00F17B8B"/>
    <w:rsid w:val="00F205AA"/>
    <w:rsid w:val="00F21D50"/>
    <w:rsid w:val="00F36D72"/>
    <w:rsid w:val="00F409B7"/>
    <w:rsid w:val="00F41C2F"/>
    <w:rsid w:val="00F4773E"/>
    <w:rsid w:val="00F52ECD"/>
    <w:rsid w:val="00F550FF"/>
    <w:rsid w:val="00F55878"/>
    <w:rsid w:val="00F60757"/>
    <w:rsid w:val="00F61886"/>
    <w:rsid w:val="00F61B01"/>
    <w:rsid w:val="00F7291E"/>
    <w:rsid w:val="00F74373"/>
    <w:rsid w:val="00F750E6"/>
    <w:rsid w:val="00F76120"/>
    <w:rsid w:val="00F77478"/>
    <w:rsid w:val="00F77DDD"/>
    <w:rsid w:val="00F80C52"/>
    <w:rsid w:val="00F8221B"/>
    <w:rsid w:val="00FA11DC"/>
    <w:rsid w:val="00FA27C1"/>
    <w:rsid w:val="00FA3B94"/>
    <w:rsid w:val="00FA3EFF"/>
    <w:rsid w:val="00FA4693"/>
    <w:rsid w:val="00FA5DA3"/>
    <w:rsid w:val="00FB3140"/>
    <w:rsid w:val="00FB5B24"/>
    <w:rsid w:val="00FB72F4"/>
    <w:rsid w:val="00FC00C7"/>
    <w:rsid w:val="00FC5C60"/>
    <w:rsid w:val="00FC69CD"/>
    <w:rsid w:val="00FC7A0D"/>
    <w:rsid w:val="00FC7E78"/>
    <w:rsid w:val="00FD236E"/>
    <w:rsid w:val="00FD37C7"/>
    <w:rsid w:val="00FD41BE"/>
    <w:rsid w:val="00FD43BB"/>
    <w:rsid w:val="00FD441D"/>
    <w:rsid w:val="00FD7329"/>
    <w:rsid w:val="00FD781F"/>
    <w:rsid w:val="00FE06D9"/>
    <w:rsid w:val="00FE7064"/>
    <w:rsid w:val="00FF1ADF"/>
    <w:rsid w:val="00FF1D6C"/>
    <w:rsid w:val="00FF45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D810F6"/>
  <w15:docId w15:val="{66AC59ED-D454-4938-B6A4-7AF4DC71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3E9"/>
    <w:rPr>
      <w:rFonts w:ascii="Arial" w:hAnsi="Arial"/>
      <w:sz w:val="18"/>
    </w:rPr>
  </w:style>
  <w:style w:type="paragraph" w:styleId="Heading1">
    <w:name w:val="heading 1"/>
    <w:basedOn w:val="Normal"/>
    <w:next w:val="Normal"/>
    <w:link w:val="Heading1Char"/>
    <w:uiPriority w:val="9"/>
    <w:qFormat/>
    <w:rsid w:val="00481C42"/>
    <w:pPr>
      <w:keepNext/>
      <w:keepLines/>
      <w:spacing w:before="480" w:after="6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81C42"/>
    <w:pPr>
      <w:keepNext/>
      <w:keepLines/>
      <w:spacing w:before="200" w:after="6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481C42"/>
    <w:pPr>
      <w:keepNext/>
      <w:keepLines/>
      <w:spacing w:before="200" w:after="6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8122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0D"/>
    <w:rPr>
      <w:rFonts w:ascii="Tahoma" w:hAnsi="Tahoma" w:cs="Tahoma"/>
      <w:sz w:val="16"/>
      <w:szCs w:val="16"/>
    </w:rPr>
  </w:style>
  <w:style w:type="paragraph" w:styleId="Title">
    <w:name w:val="Title"/>
    <w:basedOn w:val="Normal"/>
    <w:next w:val="Normal"/>
    <w:link w:val="TitleChar"/>
    <w:autoRedefine/>
    <w:uiPriority w:val="10"/>
    <w:qFormat/>
    <w:rsid w:val="009F10BF"/>
    <w:pPr>
      <w:pBdr>
        <w:bottom w:val="single" w:sz="8" w:space="1" w:color="7030A0"/>
      </w:pBdr>
      <w:spacing w:after="300" w:line="240" w:lineRule="auto"/>
      <w:contextualSpacing/>
    </w:pPr>
    <w:rPr>
      <w:rFonts w:eastAsiaTheme="majorEastAsia" w:cstheme="majorBidi"/>
      <w:color w:val="000000" w:themeColor="text1"/>
      <w:spacing w:val="5"/>
      <w:kern w:val="28"/>
      <w:sz w:val="40"/>
      <w:szCs w:val="52"/>
    </w:rPr>
  </w:style>
  <w:style w:type="character" w:customStyle="1" w:styleId="TitleChar">
    <w:name w:val="Title Char"/>
    <w:basedOn w:val="DefaultParagraphFont"/>
    <w:link w:val="Title"/>
    <w:uiPriority w:val="10"/>
    <w:rsid w:val="009F10BF"/>
    <w:rPr>
      <w:rFonts w:ascii="Arial" w:eastAsiaTheme="majorEastAsia" w:hAnsi="Arial" w:cstheme="majorBidi"/>
      <w:color w:val="000000" w:themeColor="text1"/>
      <w:spacing w:val="5"/>
      <w:kern w:val="28"/>
      <w:sz w:val="40"/>
      <w:szCs w:val="52"/>
    </w:rPr>
  </w:style>
  <w:style w:type="paragraph" w:styleId="PlainText">
    <w:name w:val="Plain Text"/>
    <w:basedOn w:val="Normal"/>
    <w:link w:val="PlainTextChar"/>
    <w:uiPriority w:val="99"/>
    <w:unhideWhenUsed/>
    <w:rsid w:val="00502E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02E0D"/>
    <w:rPr>
      <w:rFonts w:ascii="Consolas" w:hAnsi="Consolas" w:cs="Consolas"/>
      <w:sz w:val="21"/>
      <w:szCs w:val="21"/>
    </w:rPr>
  </w:style>
  <w:style w:type="character" w:customStyle="1" w:styleId="Heading1Char">
    <w:name w:val="Heading 1 Char"/>
    <w:basedOn w:val="DefaultParagraphFont"/>
    <w:link w:val="Heading1"/>
    <w:uiPriority w:val="9"/>
    <w:rsid w:val="00481C42"/>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4E534D"/>
    <w:pPr>
      <w:ind w:left="720"/>
      <w:contextualSpacing/>
    </w:pPr>
  </w:style>
  <w:style w:type="character" w:customStyle="1" w:styleId="Heading2Char">
    <w:name w:val="Heading 2 Char"/>
    <w:basedOn w:val="DefaultParagraphFont"/>
    <w:link w:val="Heading2"/>
    <w:uiPriority w:val="9"/>
    <w:rsid w:val="00481C42"/>
    <w:rPr>
      <w:rFonts w:ascii="Arial" w:eastAsiaTheme="majorEastAsia" w:hAnsi="Arial" w:cstheme="majorBidi"/>
      <w:b/>
      <w:bCs/>
      <w:color w:val="000000" w:themeColor="text1"/>
      <w:sz w:val="26"/>
      <w:szCs w:val="26"/>
    </w:rPr>
  </w:style>
  <w:style w:type="table" w:styleId="TableGrid">
    <w:name w:val="Table Grid"/>
    <w:basedOn w:val="TableNormal"/>
    <w:rsid w:val="005F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F1B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5F1BE8"/>
    <w:rPr>
      <w:rFonts w:ascii="Arial" w:hAnsi="Arial"/>
      <w:b/>
      <w:bCs/>
      <w:sz w:val="18"/>
    </w:rPr>
  </w:style>
  <w:style w:type="character" w:customStyle="1" w:styleId="Heading3Char">
    <w:name w:val="Heading 3 Char"/>
    <w:basedOn w:val="DefaultParagraphFont"/>
    <w:link w:val="Heading3"/>
    <w:uiPriority w:val="9"/>
    <w:rsid w:val="00481C42"/>
    <w:rPr>
      <w:rFonts w:ascii="Arial" w:eastAsiaTheme="majorEastAsia" w:hAnsi="Arial" w:cstheme="majorBidi"/>
      <w:b/>
      <w:bCs/>
      <w:color w:val="000000" w:themeColor="text1"/>
      <w:sz w:val="18"/>
    </w:rPr>
  </w:style>
  <w:style w:type="paragraph" w:styleId="Header">
    <w:name w:val="header"/>
    <w:basedOn w:val="Normal"/>
    <w:link w:val="HeaderChar"/>
    <w:uiPriority w:val="99"/>
    <w:unhideWhenUsed/>
    <w:rsid w:val="0077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7FD"/>
    <w:rPr>
      <w:rFonts w:ascii="Arial" w:hAnsi="Arial"/>
      <w:sz w:val="18"/>
    </w:rPr>
  </w:style>
  <w:style w:type="paragraph" w:styleId="Footer">
    <w:name w:val="footer"/>
    <w:basedOn w:val="Normal"/>
    <w:link w:val="FooterChar"/>
    <w:uiPriority w:val="99"/>
    <w:unhideWhenUsed/>
    <w:rsid w:val="0077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7FD"/>
    <w:rPr>
      <w:rFonts w:ascii="Arial" w:hAnsi="Arial"/>
      <w:sz w:val="18"/>
    </w:rPr>
  </w:style>
  <w:style w:type="paragraph" w:customStyle="1" w:styleId="SP241826">
    <w:name w:val="SP241826"/>
    <w:basedOn w:val="Normal"/>
    <w:next w:val="Normal"/>
    <w:uiPriority w:val="99"/>
    <w:rsid w:val="00C243AA"/>
    <w:pPr>
      <w:autoSpaceDE w:val="0"/>
      <w:autoSpaceDN w:val="0"/>
      <w:adjustRightInd w:val="0"/>
      <w:spacing w:after="0" w:line="240" w:lineRule="auto"/>
    </w:pPr>
    <w:rPr>
      <w:rFonts w:ascii="Times New Roman" w:hAnsi="Times New Roman" w:cs="Times New Roman"/>
      <w:sz w:val="24"/>
      <w:szCs w:val="24"/>
    </w:rPr>
  </w:style>
  <w:style w:type="paragraph" w:customStyle="1" w:styleId="SP241705">
    <w:name w:val="SP241705"/>
    <w:basedOn w:val="Normal"/>
    <w:next w:val="Normal"/>
    <w:uiPriority w:val="99"/>
    <w:rsid w:val="00C243AA"/>
    <w:pPr>
      <w:autoSpaceDE w:val="0"/>
      <w:autoSpaceDN w:val="0"/>
      <w:adjustRightInd w:val="0"/>
      <w:spacing w:after="0" w:line="240" w:lineRule="auto"/>
    </w:pPr>
    <w:rPr>
      <w:rFonts w:ascii="Times New Roman" w:hAnsi="Times New Roman" w:cs="Times New Roman"/>
      <w:sz w:val="24"/>
      <w:szCs w:val="24"/>
    </w:rPr>
  </w:style>
  <w:style w:type="character" w:customStyle="1" w:styleId="SC1512">
    <w:name w:val="SC1512"/>
    <w:uiPriority w:val="99"/>
    <w:rsid w:val="00C243AA"/>
    <w:rPr>
      <w:color w:val="000000"/>
      <w:sz w:val="20"/>
      <w:szCs w:val="20"/>
    </w:rPr>
  </w:style>
  <w:style w:type="paragraph" w:customStyle="1" w:styleId="Default">
    <w:name w:val="Default"/>
    <w:rsid w:val="00AE2A18"/>
    <w:pPr>
      <w:autoSpaceDE w:val="0"/>
      <w:autoSpaceDN w:val="0"/>
      <w:adjustRightInd w:val="0"/>
      <w:spacing w:after="0" w:line="240" w:lineRule="auto"/>
    </w:pPr>
    <w:rPr>
      <w:rFonts w:ascii="Verdana" w:hAnsi="Verdana" w:cs="Verdana"/>
      <w:color w:val="000000"/>
      <w:sz w:val="24"/>
      <w:szCs w:val="24"/>
    </w:rPr>
  </w:style>
  <w:style w:type="character" w:customStyle="1" w:styleId="shorttext">
    <w:name w:val="short_text"/>
    <w:basedOn w:val="DefaultParagraphFont"/>
    <w:rsid w:val="007D5B99"/>
  </w:style>
  <w:style w:type="character" w:customStyle="1" w:styleId="hps">
    <w:name w:val="hps"/>
    <w:basedOn w:val="DefaultParagraphFont"/>
    <w:rsid w:val="007D5B99"/>
  </w:style>
  <w:style w:type="paragraph" w:customStyle="1" w:styleId="SP5282723">
    <w:name w:val="SP.5.282723"/>
    <w:basedOn w:val="Normal"/>
    <w:uiPriority w:val="99"/>
    <w:rsid w:val="0040534E"/>
    <w:pPr>
      <w:autoSpaceDE w:val="0"/>
      <w:autoSpaceDN w:val="0"/>
      <w:spacing w:after="0" w:line="240" w:lineRule="auto"/>
    </w:pPr>
    <w:rPr>
      <w:rFonts w:cs="Arial"/>
      <w:sz w:val="24"/>
      <w:szCs w:val="24"/>
    </w:rPr>
  </w:style>
  <w:style w:type="character" w:customStyle="1" w:styleId="SC5188495">
    <w:name w:val="SC.5.188495"/>
    <w:basedOn w:val="DefaultParagraphFont"/>
    <w:uiPriority w:val="99"/>
    <w:rsid w:val="0040534E"/>
    <w:rPr>
      <w:b/>
      <w:bCs/>
      <w:color w:val="211D1E"/>
    </w:rPr>
  </w:style>
  <w:style w:type="paragraph" w:customStyle="1" w:styleId="Special">
    <w:name w:val="Special"/>
    <w:basedOn w:val="Normal"/>
    <w:rsid w:val="004570E2"/>
    <w:pPr>
      <w:spacing w:after="0" w:line="240" w:lineRule="auto"/>
      <w:jc w:val="center"/>
    </w:pPr>
    <w:rPr>
      <w:rFonts w:eastAsia="SimSun" w:cs="Arial"/>
      <w:sz w:val="20"/>
      <w:szCs w:val="20"/>
      <w:lang w:eastAsia="zh-CN"/>
    </w:rPr>
  </w:style>
  <w:style w:type="paragraph" w:styleId="HTMLPreformatted">
    <w:name w:val="HTML Preformatted"/>
    <w:basedOn w:val="Normal"/>
    <w:link w:val="HTMLPreformattedChar"/>
    <w:uiPriority w:val="99"/>
    <w:semiHidden/>
    <w:unhideWhenUsed/>
    <w:rsid w:val="00FD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1BE"/>
    <w:rPr>
      <w:rFonts w:ascii="Courier New" w:eastAsia="Times New Roman" w:hAnsi="Courier New" w:cs="Courier New"/>
      <w:sz w:val="20"/>
      <w:szCs w:val="20"/>
    </w:rPr>
  </w:style>
  <w:style w:type="character" w:styleId="Hyperlink">
    <w:name w:val="Hyperlink"/>
    <w:basedOn w:val="DefaultParagraphFont"/>
    <w:uiPriority w:val="99"/>
    <w:unhideWhenUsed/>
    <w:rsid w:val="00B76660"/>
    <w:rPr>
      <w:color w:val="0000FF" w:themeColor="hyperlink"/>
      <w:u w:val="single"/>
    </w:rPr>
  </w:style>
  <w:style w:type="character" w:customStyle="1" w:styleId="Heading4Char">
    <w:name w:val="Heading 4 Char"/>
    <w:basedOn w:val="DefaultParagraphFont"/>
    <w:link w:val="Heading4"/>
    <w:uiPriority w:val="9"/>
    <w:rsid w:val="008122A0"/>
    <w:rPr>
      <w:rFonts w:asciiTheme="majorHAnsi" w:eastAsiaTheme="majorEastAsia" w:hAnsiTheme="majorHAnsi" w:cstheme="majorBidi"/>
      <w:i/>
      <w:iCs/>
      <w:color w:val="365F91" w:themeColor="accent1" w:themeShade="BF"/>
      <w:sz w:val="18"/>
    </w:rPr>
  </w:style>
  <w:style w:type="paragraph" w:styleId="Revision">
    <w:name w:val="Revision"/>
    <w:hidden/>
    <w:uiPriority w:val="99"/>
    <w:semiHidden/>
    <w:rsid w:val="00EE61BC"/>
    <w:pPr>
      <w:spacing w:after="0" w:line="240" w:lineRule="auto"/>
    </w:pPr>
    <w:rPr>
      <w:rFonts w:ascii="Arial" w:hAnsi="Arial"/>
      <w:sz w:val="18"/>
    </w:rPr>
  </w:style>
  <w:style w:type="character" w:customStyle="1" w:styleId="UnresolvedMention1">
    <w:name w:val="Unresolved Mention1"/>
    <w:basedOn w:val="DefaultParagraphFont"/>
    <w:uiPriority w:val="99"/>
    <w:semiHidden/>
    <w:unhideWhenUsed/>
    <w:rsid w:val="00B654CA"/>
    <w:rPr>
      <w:color w:val="605E5C"/>
      <w:shd w:val="clear" w:color="auto" w:fill="E1DFDD"/>
    </w:rPr>
  </w:style>
  <w:style w:type="character" w:styleId="CommentReference">
    <w:name w:val="annotation reference"/>
    <w:basedOn w:val="DefaultParagraphFont"/>
    <w:uiPriority w:val="99"/>
    <w:semiHidden/>
    <w:unhideWhenUsed/>
    <w:rsid w:val="007C5FA2"/>
    <w:rPr>
      <w:sz w:val="16"/>
      <w:szCs w:val="16"/>
    </w:rPr>
  </w:style>
  <w:style w:type="paragraph" w:styleId="CommentText">
    <w:name w:val="annotation text"/>
    <w:basedOn w:val="Normal"/>
    <w:link w:val="CommentTextChar"/>
    <w:uiPriority w:val="99"/>
    <w:unhideWhenUsed/>
    <w:rsid w:val="007C5FA2"/>
    <w:pPr>
      <w:spacing w:line="240" w:lineRule="auto"/>
    </w:pPr>
    <w:rPr>
      <w:sz w:val="20"/>
      <w:szCs w:val="20"/>
    </w:rPr>
  </w:style>
  <w:style w:type="character" w:customStyle="1" w:styleId="CommentTextChar">
    <w:name w:val="Comment Text Char"/>
    <w:basedOn w:val="DefaultParagraphFont"/>
    <w:link w:val="CommentText"/>
    <w:uiPriority w:val="99"/>
    <w:rsid w:val="007C5F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5FA2"/>
    <w:rPr>
      <w:b/>
      <w:bCs/>
    </w:rPr>
  </w:style>
  <w:style w:type="character" w:customStyle="1" w:styleId="CommentSubjectChar">
    <w:name w:val="Comment Subject Char"/>
    <w:basedOn w:val="CommentTextChar"/>
    <w:link w:val="CommentSubject"/>
    <w:uiPriority w:val="99"/>
    <w:semiHidden/>
    <w:rsid w:val="007C5FA2"/>
    <w:rPr>
      <w:rFonts w:ascii="Arial" w:hAnsi="Arial"/>
      <w:b/>
      <w:bCs/>
      <w:sz w:val="20"/>
      <w:szCs w:val="20"/>
    </w:rPr>
  </w:style>
  <w:style w:type="paragraph" w:styleId="TOCHeading">
    <w:name w:val="TOC Heading"/>
    <w:basedOn w:val="Heading1"/>
    <w:next w:val="Normal"/>
    <w:uiPriority w:val="39"/>
    <w:unhideWhenUsed/>
    <w:qFormat/>
    <w:rsid w:val="00B45971"/>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6F70F9"/>
    <w:pPr>
      <w:tabs>
        <w:tab w:val="right" w:leader="dot" w:pos="9350"/>
      </w:tabs>
      <w:spacing w:after="60"/>
      <w:pPrChange w:id="0" w:author="Sławomir Grotkowski" w:date="2022-11-09T12:22:00Z">
        <w:pPr>
          <w:tabs>
            <w:tab w:val="right" w:leader="dot" w:pos="9350"/>
          </w:tabs>
          <w:spacing w:after="60" w:line="276" w:lineRule="auto"/>
        </w:pPr>
      </w:pPrChange>
    </w:pPr>
    <w:rPr>
      <w:rPrChange w:id="0" w:author="Sławomir Grotkowski" w:date="2022-11-09T12:22:00Z">
        <w:rPr>
          <w:rFonts w:ascii="Arial" w:eastAsia="新細明體" w:hAnsi="Arial" w:cstheme="minorBidi"/>
          <w:sz w:val="18"/>
          <w:szCs w:val="22"/>
          <w:lang w:val="pl-PL" w:eastAsia="en-US" w:bidi="ar-SA"/>
        </w:rPr>
      </w:rPrChange>
    </w:rPr>
  </w:style>
  <w:style w:type="paragraph" w:styleId="TOC2">
    <w:name w:val="toc 2"/>
    <w:basedOn w:val="Normal"/>
    <w:next w:val="Normal"/>
    <w:autoRedefine/>
    <w:uiPriority w:val="39"/>
    <w:unhideWhenUsed/>
    <w:rsid w:val="00B45971"/>
    <w:pPr>
      <w:spacing w:after="100"/>
      <w:ind w:left="180"/>
    </w:pPr>
  </w:style>
  <w:style w:type="paragraph" w:styleId="TOC3">
    <w:name w:val="toc 3"/>
    <w:basedOn w:val="Normal"/>
    <w:next w:val="Normal"/>
    <w:autoRedefine/>
    <w:uiPriority w:val="39"/>
    <w:unhideWhenUsed/>
    <w:rsid w:val="00164A46"/>
    <w:pPr>
      <w:tabs>
        <w:tab w:val="right" w:leader="dot" w:pos="9350"/>
      </w:tabs>
      <w:spacing w:after="100"/>
      <w:ind w:left="360"/>
    </w:pPr>
  </w:style>
  <w:style w:type="character" w:customStyle="1" w:styleId="flagicon">
    <w:name w:val="flagicon"/>
    <w:basedOn w:val="DefaultParagraphFont"/>
    <w:rsid w:val="00313BAD"/>
  </w:style>
  <w:style w:type="character" w:styleId="UnresolvedMention">
    <w:name w:val="Unresolved Mention"/>
    <w:basedOn w:val="DefaultParagraphFont"/>
    <w:uiPriority w:val="99"/>
    <w:semiHidden/>
    <w:unhideWhenUsed/>
    <w:rsid w:val="00394F1F"/>
    <w:rPr>
      <w:color w:val="605E5C"/>
      <w:shd w:val="clear" w:color="auto" w:fill="E1DFDD"/>
    </w:rPr>
  </w:style>
  <w:style w:type="character" w:styleId="FollowedHyperlink">
    <w:name w:val="FollowedHyperlink"/>
    <w:basedOn w:val="DefaultParagraphFont"/>
    <w:uiPriority w:val="99"/>
    <w:semiHidden/>
    <w:unhideWhenUsed/>
    <w:rsid w:val="00394F1F"/>
    <w:rPr>
      <w:color w:val="800080" w:themeColor="followedHyperlink"/>
      <w:u w:val="single"/>
    </w:rPr>
  </w:style>
  <w:style w:type="character" w:customStyle="1" w:styleId="A0">
    <w:name w:val="A0"/>
    <w:uiPriority w:val="99"/>
    <w:rsid w:val="002C7415"/>
    <w:rPr>
      <w:rFonts w:cs="Foundry Sterling Bold"/>
      <w:b/>
      <w:bCs/>
      <w:color w:val="000000"/>
      <w:sz w:val="14"/>
      <w:szCs w:val="14"/>
    </w:rPr>
  </w:style>
  <w:style w:type="character" w:customStyle="1" w:styleId="sc-hjhjly">
    <w:name w:val="sc-hjhjly"/>
    <w:basedOn w:val="DefaultParagraphFont"/>
    <w:rsid w:val="001B5599"/>
  </w:style>
  <w:style w:type="character" w:customStyle="1" w:styleId="y2iqfc">
    <w:name w:val="y2iqfc"/>
    <w:basedOn w:val="DefaultParagraphFont"/>
    <w:rsid w:val="00AD3F79"/>
  </w:style>
  <w:style w:type="character" w:customStyle="1" w:styleId="cf01">
    <w:name w:val="cf01"/>
    <w:basedOn w:val="DefaultParagraphFont"/>
    <w:rsid w:val="00DF24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3818">
      <w:bodyDiv w:val="1"/>
      <w:marLeft w:val="0"/>
      <w:marRight w:val="0"/>
      <w:marTop w:val="0"/>
      <w:marBottom w:val="0"/>
      <w:divBdr>
        <w:top w:val="none" w:sz="0" w:space="0" w:color="auto"/>
        <w:left w:val="none" w:sz="0" w:space="0" w:color="auto"/>
        <w:bottom w:val="none" w:sz="0" w:space="0" w:color="auto"/>
        <w:right w:val="none" w:sz="0" w:space="0" w:color="auto"/>
      </w:divBdr>
    </w:div>
    <w:div w:id="145518545">
      <w:bodyDiv w:val="1"/>
      <w:marLeft w:val="0"/>
      <w:marRight w:val="0"/>
      <w:marTop w:val="0"/>
      <w:marBottom w:val="0"/>
      <w:divBdr>
        <w:top w:val="none" w:sz="0" w:space="0" w:color="auto"/>
        <w:left w:val="none" w:sz="0" w:space="0" w:color="auto"/>
        <w:bottom w:val="none" w:sz="0" w:space="0" w:color="auto"/>
        <w:right w:val="none" w:sz="0" w:space="0" w:color="auto"/>
      </w:divBdr>
    </w:div>
    <w:div w:id="164709810">
      <w:bodyDiv w:val="1"/>
      <w:marLeft w:val="0"/>
      <w:marRight w:val="0"/>
      <w:marTop w:val="0"/>
      <w:marBottom w:val="0"/>
      <w:divBdr>
        <w:top w:val="none" w:sz="0" w:space="0" w:color="auto"/>
        <w:left w:val="none" w:sz="0" w:space="0" w:color="auto"/>
        <w:bottom w:val="none" w:sz="0" w:space="0" w:color="auto"/>
        <w:right w:val="none" w:sz="0" w:space="0" w:color="auto"/>
      </w:divBdr>
    </w:div>
    <w:div w:id="180977510">
      <w:bodyDiv w:val="1"/>
      <w:marLeft w:val="0"/>
      <w:marRight w:val="0"/>
      <w:marTop w:val="0"/>
      <w:marBottom w:val="0"/>
      <w:divBdr>
        <w:top w:val="none" w:sz="0" w:space="0" w:color="auto"/>
        <w:left w:val="none" w:sz="0" w:space="0" w:color="auto"/>
        <w:bottom w:val="none" w:sz="0" w:space="0" w:color="auto"/>
        <w:right w:val="none" w:sz="0" w:space="0" w:color="auto"/>
      </w:divBdr>
    </w:div>
    <w:div w:id="219481985">
      <w:bodyDiv w:val="1"/>
      <w:marLeft w:val="0"/>
      <w:marRight w:val="0"/>
      <w:marTop w:val="0"/>
      <w:marBottom w:val="0"/>
      <w:divBdr>
        <w:top w:val="none" w:sz="0" w:space="0" w:color="auto"/>
        <w:left w:val="none" w:sz="0" w:space="0" w:color="auto"/>
        <w:bottom w:val="none" w:sz="0" w:space="0" w:color="auto"/>
        <w:right w:val="none" w:sz="0" w:space="0" w:color="auto"/>
      </w:divBdr>
    </w:div>
    <w:div w:id="263806124">
      <w:bodyDiv w:val="1"/>
      <w:marLeft w:val="0"/>
      <w:marRight w:val="0"/>
      <w:marTop w:val="0"/>
      <w:marBottom w:val="0"/>
      <w:divBdr>
        <w:top w:val="none" w:sz="0" w:space="0" w:color="auto"/>
        <w:left w:val="none" w:sz="0" w:space="0" w:color="auto"/>
        <w:bottom w:val="none" w:sz="0" w:space="0" w:color="auto"/>
        <w:right w:val="none" w:sz="0" w:space="0" w:color="auto"/>
      </w:divBdr>
    </w:div>
    <w:div w:id="283001754">
      <w:bodyDiv w:val="1"/>
      <w:marLeft w:val="0"/>
      <w:marRight w:val="0"/>
      <w:marTop w:val="0"/>
      <w:marBottom w:val="0"/>
      <w:divBdr>
        <w:top w:val="none" w:sz="0" w:space="0" w:color="auto"/>
        <w:left w:val="none" w:sz="0" w:space="0" w:color="auto"/>
        <w:bottom w:val="none" w:sz="0" w:space="0" w:color="auto"/>
        <w:right w:val="none" w:sz="0" w:space="0" w:color="auto"/>
      </w:divBdr>
    </w:div>
    <w:div w:id="438063538">
      <w:bodyDiv w:val="1"/>
      <w:marLeft w:val="0"/>
      <w:marRight w:val="0"/>
      <w:marTop w:val="0"/>
      <w:marBottom w:val="0"/>
      <w:divBdr>
        <w:top w:val="none" w:sz="0" w:space="0" w:color="auto"/>
        <w:left w:val="none" w:sz="0" w:space="0" w:color="auto"/>
        <w:bottom w:val="none" w:sz="0" w:space="0" w:color="auto"/>
        <w:right w:val="none" w:sz="0" w:space="0" w:color="auto"/>
      </w:divBdr>
    </w:div>
    <w:div w:id="480460606">
      <w:bodyDiv w:val="1"/>
      <w:marLeft w:val="0"/>
      <w:marRight w:val="0"/>
      <w:marTop w:val="0"/>
      <w:marBottom w:val="0"/>
      <w:divBdr>
        <w:top w:val="none" w:sz="0" w:space="0" w:color="auto"/>
        <w:left w:val="none" w:sz="0" w:space="0" w:color="auto"/>
        <w:bottom w:val="none" w:sz="0" w:space="0" w:color="auto"/>
        <w:right w:val="none" w:sz="0" w:space="0" w:color="auto"/>
      </w:divBdr>
    </w:div>
    <w:div w:id="489097072">
      <w:bodyDiv w:val="1"/>
      <w:marLeft w:val="0"/>
      <w:marRight w:val="0"/>
      <w:marTop w:val="0"/>
      <w:marBottom w:val="0"/>
      <w:divBdr>
        <w:top w:val="none" w:sz="0" w:space="0" w:color="auto"/>
        <w:left w:val="none" w:sz="0" w:space="0" w:color="auto"/>
        <w:bottom w:val="none" w:sz="0" w:space="0" w:color="auto"/>
        <w:right w:val="none" w:sz="0" w:space="0" w:color="auto"/>
      </w:divBdr>
    </w:div>
    <w:div w:id="515775712">
      <w:bodyDiv w:val="1"/>
      <w:marLeft w:val="0"/>
      <w:marRight w:val="0"/>
      <w:marTop w:val="0"/>
      <w:marBottom w:val="0"/>
      <w:divBdr>
        <w:top w:val="none" w:sz="0" w:space="0" w:color="auto"/>
        <w:left w:val="none" w:sz="0" w:space="0" w:color="auto"/>
        <w:bottom w:val="none" w:sz="0" w:space="0" w:color="auto"/>
        <w:right w:val="none" w:sz="0" w:space="0" w:color="auto"/>
      </w:divBdr>
    </w:div>
    <w:div w:id="575553824">
      <w:bodyDiv w:val="1"/>
      <w:marLeft w:val="0"/>
      <w:marRight w:val="0"/>
      <w:marTop w:val="0"/>
      <w:marBottom w:val="0"/>
      <w:divBdr>
        <w:top w:val="none" w:sz="0" w:space="0" w:color="auto"/>
        <w:left w:val="none" w:sz="0" w:space="0" w:color="auto"/>
        <w:bottom w:val="none" w:sz="0" w:space="0" w:color="auto"/>
        <w:right w:val="none" w:sz="0" w:space="0" w:color="auto"/>
      </w:divBdr>
    </w:div>
    <w:div w:id="607394447">
      <w:bodyDiv w:val="1"/>
      <w:marLeft w:val="0"/>
      <w:marRight w:val="0"/>
      <w:marTop w:val="0"/>
      <w:marBottom w:val="0"/>
      <w:divBdr>
        <w:top w:val="none" w:sz="0" w:space="0" w:color="auto"/>
        <w:left w:val="none" w:sz="0" w:space="0" w:color="auto"/>
        <w:bottom w:val="none" w:sz="0" w:space="0" w:color="auto"/>
        <w:right w:val="none" w:sz="0" w:space="0" w:color="auto"/>
      </w:divBdr>
    </w:div>
    <w:div w:id="623119421">
      <w:bodyDiv w:val="1"/>
      <w:marLeft w:val="0"/>
      <w:marRight w:val="0"/>
      <w:marTop w:val="0"/>
      <w:marBottom w:val="0"/>
      <w:divBdr>
        <w:top w:val="none" w:sz="0" w:space="0" w:color="auto"/>
        <w:left w:val="none" w:sz="0" w:space="0" w:color="auto"/>
        <w:bottom w:val="none" w:sz="0" w:space="0" w:color="auto"/>
        <w:right w:val="none" w:sz="0" w:space="0" w:color="auto"/>
      </w:divBdr>
    </w:div>
    <w:div w:id="623658188">
      <w:bodyDiv w:val="1"/>
      <w:marLeft w:val="0"/>
      <w:marRight w:val="0"/>
      <w:marTop w:val="0"/>
      <w:marBottom w:val="0"/>
      <w:divBdr>
        <w:top w:val="none" w:sz="0" w:space="0" w:color="auto"/>
        <w:left w:val="none" w:sz="0" w:space="0" w:color="auto"/>
        <w:bottom w:val="none" w:sz="0" w:space="0" w:color="auto"/>
        <w:right w:val="none" w:sz="0" w:space="0" w:color="auto"/>
      </w:divBdr>
    </w:div>
    <w:div w:id="659583222">
      <w:bodyDiv w:val="1"/>
      <w:marLeft w:val="0"/>
      <w:marRight w:val="0"/>
      <w:marTop w:val="0"/>
      <w:marBottom w:val="0"/>
      <w:divBdr>
        <w:top w:val="none" w:sz="0" w:space="0" w:color="auto"/>
        <w:left w:val="none" w:sz="0" w:space="0" w:color="auto"/>
        <w:bottom w:val="none" w:sz="0" w:space="0" w:color="auto"/>
        <w:right w:val="none" w:sz="0" w:space="0" w:color="auto"/>
      </w:divBdr>
    </w:div>
    <w:div w:id="758865888">
      <w:bodyDiv w:val="1"/>
      <w:marLeft w:val="0"/>
      <w:marRight w:val="0"/>
      <w:marTop w:val="0"/>
      <w:marBottom w:val="0"/>
      <w:divBdr>
        <w:top w:val="none" w:sz="0" w:space="0" w:color="auto"/>
        <w:left w:val="none" w:sz="0" w:space="0" w:color="auto"/>
        <w:bottom w:val="none" w:sz="0" w:space="0" w:color="auto"/>
        <w:right w:val="none" w:sz="0" w:space="0" w:color="auto"/>
      </w:divBdr>
    </w:div>
    <w:div w:id="1031765060">
      <w:bodyDiv w:val="1"/>
      <w:marLeft w:val="0"/>
      <w:marRight w:val="0"/>
      <w:marTop w:val="0"/>
      <w:marBottom w:val="0"/>
      <w:divBdr>
        <w:top w:val="none" w:sz="0" w:space="0" w:color="auto"/>
        <w:left w:val="none" w:sz="0" w:space="0" w:color="auto"/>
        <w:bottom w:val="none" w:sz="0" w:space="0" w:color="auto"/>
        <w:right w:val="none" w:sz="0" w:space="0" w:color="auto"/>
      </w:divBdr>
    </w:div>
    <w:div w:id="1064523845">
      <w:bodyDiv w:val="1"/>
      <w:marLeft w:val="0"/>
      <w:marRight w:val="0"/>
      <w:marTop w:val="0"/>
      <w:marBottom w:val="0"/>
      <w:divBdr>
        <w:top w:val="none" w:sz="0" w:space="0" w:color="auto"/>
        <w:left w:val="none" w:sz="0" w:space="0" w:color="auto"/>
        <w:bottom w:val="none" w:sz="0" w:space="0" w:color="auto"/>
        <w:right w:val="none" w:sz="0" w:space="0" w:color="auto"/>
      </w:divBdr>
    </w:div>
    <w:div w:id="1175803610">
      <w:bodyDiv w:val="1"/>
      <w:marLeft w:val="0"/>
      <w:marRight w:val="0"/>
      <w:marTop w:val="0"/>
      <w:marBottom w:val="0"/>
      <w:divBdr>
        <w:top w:val="none" w:sz="0" w:space="0" w:color="auto"/>
        <w:left w:val="none" w:sz="0" w:space="0" w:color="auto"/>
        <w:bottom w:val="none" w:sz="0" w:space="0" w:color="auto"/>
        <w:right w:val="none" w:sz="0" w:space="0" w:color="auto"/>
      </w:divBdr>
    </w:div>
    <w:div w:id="1257247352">
      <w:bodyDiv w:val="1"/>
      <w:marLeft w:val="0"/>
      <w:marRight w:val="0"/>
      <w:marTop w:val="0"/>
      <w:marBottom w:val="0"/>
      <w:divBdr>
        <w:top w:val="none" w:sz="0" w:space="0" w:color="auto"/>
        <w:left w:val="none" w:sz="0" w:space="0" w:color="auto"/>
        <w:bottom w:val="none" w:sz="0" w:space="0" w:color="auto"/>
        <w:right w:val="none" w:sz="0" w:space="0" w:color="auto"/>
      </w:divBdr>
    </w:div>
    <w:div w:id="1297370213">
      <w:bodyDiv w:val="1"/>
      <w:marLeft w:val="0"/>
      <w:marRight w:val="0"/>
      <w:marTop w:val="0"/>
      <w:marBottom w:val="0"/>
      <w:divBdr>
        <w:top w:val="none" w:sz="0" w:space="0" w:color="auto"/>
        <w:left w:val="none" w:sz="0" w:space="0" w:color="auto"/>
        <w:bottom w:val="none" w:sz="0" w:space="0" w:color="auto"/>
        <w:right w:val="none" w:sz="0" w:space="0" w:color="auto"/>
      </w:divBdr>
    </w:div>
    <w:div w:id="1333800805">
      <w:bodyDiv w:val="1"/>
      <w:marLeft w:val="0"/>
      <w:marRight w:val="0"/>
      <w:marTop w:val="0"/>
      <w:marBottom w:val="0"/>
      <w:divBdr>
        <w:top w:val="none" w:sz="0" w:space="0" w:color="auto"/>
        <w:left w:val="none" w:sz="0" w:space="0" w:color="auto"/>
        <w:bottom w:val="none" w:sz="0" w:space="0" w:color="auto"/>
        <w:right w:val="none" w:sz="0" w:space="0" w:color="auto"/>
      </w:divBdr>
    </w:div>
    <w:div w:id="1436438910">
      <w:bodyDiv w:val="1"/>
      <w:marLeft w:val="0"/>
      <w:marRight w:val="0"/>
      <w:marTop w:val="0"/>
      <w:marBottom w:val="0"/>
      <w:divBdr>
        <w:top w:val="none" w:sz="0" w:space="0" w:color="auto"/>
        <w:left w:val="none" w:sz="0" w:space="0" w:color="auto"/>
        <w:bottom w:val="none" w:sz="0" w:space="0" w:color="auto"/>
        <w:right w:val="none" w:sz="0" w:space="0" w:color="auto"/>
      </w:divBdr>
    </w:div>
    <w:div w:id="1496611380">
      <w:bodyDiv w:val="1"/>
      <w:marLeft w:val="0"/>
      <w:marRight w:val="0"/>
      <w:marTop w:val="0"/>
      <w:marBottom w:val="0"/>
      <w:divBdr>
        <w:top w:val="none" w:sz="0" w:space="0" w:color="auto"/>
        <w:left w:val="none" w:sz="0" w:space="0" w:color="auto"/>
        <w:bottom w:val="none" w:sz="0" w:space="0" w:color="auto"/>
        <w:right w:val="none" w:sz="0" w:space="0" w:color="auto"/>
      </w:divBdr>
    </w:div>
    <w:div w:id="1497770396">
      <w:bodyDiv w:val="1"/>
      <w:marLeft w:val="0"/>
      <w:marRight w:val="0"/>
      <w:marTop w:val="0"/>
      <w:marBottom w:val="0"/>
      <w:divBdr>
        <w:top w:val="none" w:sz="0" w:space="0" w:color="auto"/>
        <w:left w:val="none" w:sz="0" w:space="0" w:color="auto"/>
        <w:bottom w:val="none" w:sz="0" w:space="0" w:color="auto"/>
        <w:right w:val="none" w:sz="0" w:space="0" w:color="auto"/>
      </w:divBdr>
    </w:div>
    <w:div w:id="1534416934">
      <w:bodyDiv w:val="1"/>
      <w:marLeft w:val="0"/>
      <w:marRight w:val="0"/>
      <w:marTop w:val="0"/>
      <w:marBottom w:val="0"/>
      <w:divBdr>
        <w:top w:val="none" w:sz="0" w:space="0" w:color="auto"/>
        <w:left w:val="none" w:sz="0" w:space="0" w:color="auto"/>
        <w:bottom w:val="none" w:sz="0" w:space="0" w:color="auto"/>
        <w:right w:val="none" w:sz="0" w:space="0" w:color="auto"/>
      </w:divBdr>
    </w:div>
    <w:div w:id="1606302102">
      <w:bodyDiv w:val="1"/>
      <w:marLeft w:val="0"/>
      <w:marRight w:val="0"/>
      <w:marTop w:val="0"/>
      <w:marBottom w:val="0"/>
      <w:divBdr>
        <w:top w:val="none" w:sz="0" w:space="0" w:color="auto"/>
        <w:left w:val="none" w:sz="0" w:space="0" w:color="auto"/>
        <w:bottom w:val="none" w:sz="0" w:space="0" w:color="auto"/>
        <w:right w:val="none" w:sz="0" w:space="0" w:color="auto"/>
      </w:divBdr>
    </w:div>
    <w:div w:id="1615095388">
      <w:bodyDiv w:val="1"/>
      <w:marLeft w:val="0"/>
      <w:marRight w:val="0"/>
      <w:marTop w:val="0"/>
      <w:marBottom w:val="0"/>
      <w:divBdr>
        <w:top w:val="none" w:sz="0" w:space="0" w:color="auto"/>
        <w:left w:val="none" w:sz="0" w:space="0" w:color="auto"/>
        <w:bottom w:val="none" w:sz="0" w:space="0" w:color="auto"/>
        <w:right w:val="none" w:sz="0" w:space="0" w:color="auto"/>
      </w:divBdr>
      <w:divsChild>
        <w:div w:id="1241016623">
          <w:marLeft w:val="0"/>
          <w:marRight w:val="0"/>
          <w:marTop w:val="0"/>
          <w:marBottom w:val="0"/>
          <w:divBdr>
            <w:top w:val="none" w:sz="0" w:space="0" w:color="auto"/>
            <w:left w:val="none" w:sz="0" w:space="0" w:color="auto"/>
            <w:bottom w:val="none" w:sz="0" w:space="0" w:color="auto"/>
            <w:right w:val="none" w:sz="0" w:space="0" w:color="auto"/>
          </w:divBdr>
          <w:divsChild>
            <w:div w:id="53433418">
              <w:marLeft w:val="0"/>
              <w:marRight w:val="0"/>
              <w:marTop w:val="0"/>
              <w:marBottom w:val="0"/>
              <w:divBdr>
                <w:top w:val="none" w:sz="0" w:space="0" w:color="auto"/>
                <w:left w:val="none" w:sz="0" w:space="0" w:color="auto"/>
                <w:bottom w:val="none" w:sz="0" w:space="0" w:color="auto"/>
                <w:right w:val="none" w:sz="0" w:space="0" w:color="auto"/>
              </w:divBdr>
              <w:divsChild>
                <w:div w:id="476916732">
                  <w:marLeft w:val="0"/>
                  <w:marRight w:val="0"/>
                  <w:marTop w:val="0"/>
                  <w:marBottom w:val="0"/>
                  <w:divBdr>
                    <w:top w:val="none" w:sz="0" w:space="0" w:color="auto"/>
                    <w:left w:val="none" w:sz="0" w:space="0" w:color="auto"/>
                    <w:bottom w:val="none" w:sz="0" w:space="0" w:color="auto"/>
                    <w:right w:val="none" w:sz="0" w:space="0" w:color="auto"/>
                  </w:divBdr>
                  <w:divsChild>
                    <w:div w:id="254750060">
                      <w:marLeft w:val="0"/>
                      <w:marRight w:val="0"/>
                      <w:marTop w:val="0"/>
                      <w:marBottom w:val="0"/>
                      <w:divBdr>
                        <w:top w:val="none" w:sz="0" w:space="0" w:color="auto"/>
                        <w:left w:val="none" w:sz="0" w:space="0" w:color="auto"/>
                        <w:bottom w:val="none" w:sz="0" w:space="0" w:color="auto"/>
                        <w:right w:val="none" w:sz="0" w:space="0" w:color="auto"/>
                      </w:divBdr>
                      <w:divsChild>
                        <w:div w:id="1349454505">
                          <w:marLeft w:val="0"/>
                          <w:marRight w:val="0"/>
                          <w:marTop w:val="0"/>
                          <w:marBottom w:val="0"/>
                          <w:divBdr>
                            <w:top w:val="none" w:sz="0" w:space="0" w:color="auto"/>
                            <w:left w:val="none" w:sz="0" w:space="0" w:color="auto"/>
                            <w:bottom w:val="none" w:sz="0" w:space="0" w:color="auto"/>
                            <w:right w:val="none" w:sz="0" w:space="0" w:color="auto"/>
                          </w:divBdr>
                          <w:divsChild>
                            <w:div w:id="2056418237">
                              <w:marLeft w:val="0"/>
                              <w:marRight w:val="0"/>
                              <w:marTop w:val="0"/>
                              <w:marBottom w:val="0"/>
                              <w:divBdr>
                                <w:top w:val="none" w:sz="0" w:space="0" w:color="auto"/>
                                <w:left w:val="none" w:sz="0" w:space="0" w:color="auto"/>
                                <w:bottom w:val="none" w:sz="0" w:space="0" w:color="auto"/>
                                <w:right w:val="none" w:sz="0" w:space="0" w:color="auto"/>
                              </w:divBdr>
                              <w:divsChild>
                                <w:div w:id="1061639400">
                                  <w:marLeft w:val="0"/>
                                  <w:marRight w:val="0"/>
                                  <w:marTop w:val="0"/>
                                  <w:marBottom w:val="0"/>
                                  <w:divBdr>
                                    <w:top w:val="none" w:sz="0" w:space="0" w:color="auto"/>
                                    <w:left w:val="none" w:sz="0" w:space="0" w:color="auto"/>
                                    <w:bottom w:val="none" w:sz="0" w:space="0" w:color="auto"/>
                                    <w:right w:val="none" w:sz="0" w:space="0" w:color="auto"/>
                                  </w:divBdr>
                                  <w:divsChild>
                                    <w:div w:id="1928341245">
                                      <w:marLeft w:val="0"/>
                                      <w:marRight w:val="0"/>
                                      <w:marTop w:val="0"/>
                                      <w:marBottom w:val="0"/>
                                      <w:divBdr>
                                        <w:top w:val="none" w:sz="0" w:space="0" w:color="auto"/>
                                        <w:left w:val="none" w:sz="0" w:space="0" w:color="auto"/>
                                        <w:bottom w:val="none" w:sz="0" w:space="0" w:color="auto"/>
                                        <w:right w:val="none" w:sz="0" w:space="0" w:color="auto"/>
                                      </w:divBdr>
                                      <w:divsChild>
                                        <w:div w:id="1830443354">
                                          <w:marLeft w:val="0"/>
                                          <w:marRight w:val="0"/>
                                          <w:marTop w:val="0"/>
                                          <w:marBottom w:val="0"/>
                                          <w:divBdr>
                                            <w:top w:val="none" w:sz="0" w:space="0" w:color="auto"/>
                                            <w:left w:val="none" w:sz="0" w:space="0" w:color="auto"/>
                                            <w:bottom w:val="none" w:sz="0" w:space="0" w:color="auto"/>
                                            <w:right w:val="none" w:sz="0" w:space="0" w:color="auto"/>
                                          </w:divBdr>
                                          <w:divsChild>
                                            <w:div w:id="301541168">
                                              <w:marLeft w:val="0"/>
                                              <w:marRight w:val="0"/>
                                              <w:marTop w:val="0"/>
                                              <w:marBottom w:val="0"/>
                                              <w:divBdr>
                                                <w:top w:val="none" w:sz="0" w:space="0" w:color="auto"/>
                                                <w:left w:val="none" w:sz="0" w:space="0" w:color="auto"/>
                                                <w:bottom w:val="none" w:sz="0" w:space="0" w:color="auto"/>
                                                <w:right w:val="none" w:sz="0" w:space="0" w:color="auto"/>
                                              </w:divBdr>
                                              <w:divsChild>
                                                <w:div w:id="1377194067">
                                                  <w:marLeft w:val="0"/>
                                                  <w:marRight w:val="0"/>
                                                  <w:marTop w:val="0"/>
                                                  <w:marBottom w:val="0"/>
                                                  <w:divBdr>
                                                    <w:top w:val="none" w:sz="0" w:space="0" w:color="auto"/>
                                                    <w:left w:val="none" w:sz="0" w:space="0" w:color="auto"/>
                                                    <w:bottom w:val="none" w:sz="0" w:space="0" w:color="auto"/>
                                                    <w:right w:val="none" w:sz="0" w:space="0" w:color="auto"/>
                                                  </w:divBdr>
                                                  <w:divsChild>
                                                    <w:div w:id="1280453537">
                                                      <w:marLeft w:val="0"/>
                                                      <w:marRight w:val="0"/>
                                                      <w:marTop w:val="0"/>
                                                      <w:marBottom w:val="0"/>
                                                      <w:divBdr>
                                                        <w:top w:val="none" w:sz="0" w:space="0" w:color="auto"/>
                                                        <w:left w:val="none" w:sz="0" w:space="0" w:color="auto"/>
                                                        <w:bottom w:val="none" w:sz="0" w:space="0" w:color="auto"/>
                                                        <w:right w:val="none" w:sz="0" w:space="0" w:color="auto"/>
                                                      </w:divBdr>
                                                      <w:divsChild>
                                                        <w:div w:id="100882810">
                                                          <w:marLeft w:val="0"/>
                                                          <w:marRight w:val="0"/>
                                                          <w:marTop w:val="0"/>
                                                          <w:marBottom w:val="0"/>
                                                          <w:divBdr>
                                                            <w:top w:val="none" w:sz="0" w:space="0" w:color="auto"/>
                                                            <w:left w:val="none" w:sz="0" w:space="0" w:color="auto"/>
                                                            <w:bottom w:val="none" w:sz="0" w:space="0" w:color="auto"/>
                                                            <w:right w:val="none" w:sz="0" w:space="0" w:color="auto"/>
                                                          </w:divBdr>
                                                          <w:divsChild>
                                                            <w:div w:id="1210654842">
                                                              <w:marLeft w:val="0"/>
                                                              <w:marRight w:val="0"/>
                                                              <w:marTop w:val="0"/>
                                                              <w:marBottom w:val="0"/>
                                                              <w:divBdr>
                                                                <w:top w:val="none" w:sz="0" w:space="0" w:color="auto"/>
                                                                <w:left w:val="none" w:sz="0" w:space="0" w:color="auto"/>
                                                                <w:bottom w:val="none" w:sz="0" w:space="0" w:color="auto"/>
                                                                <w:right w:val="none" w:sz="0" w:space="0" w:color="auto"/>
                                                              </w:divBdr>
                                                              <w:divsChild>
                                                                <w:div w:id="1212617080">
                                                                  <w:marLeft w:val="0"/>
                                                                  <w:marRight w:val="0"/>
                                                                  <w:marTop w:val="0"/>
                                                                  <w:marBottom w:val="0"/>
                                                                  <w:divBdr>
                                                                    <w:top w:val="none" w:sz="0" w:space="0" w:color="auto"/>
                                                                    <w:left w:val="none" w:sz="0" w:space="0" w:color="auto"/>
                                                                    <w:bottom w:val="none" w:sz="0" w:space="0" w:color="auto"/>
                                                                    <w:right w:val="none" w:sz="0" w:space="0" w:color="auto"/>
                                                                  </w:divBdr>
                                                                  <w:divsChild>
                                                                    <w:div w:id="792596913">
                                                                      <w:marLeft w:val="0"/>
                                                                      <w:marRight w:val="0"/>
                                                                      <w:marTop w:val="0"/>
                                                                      <w:marBottom w:val="0"/>
                                                                      <w:divBdr>
                                                                        <w:top w:val="none" w:sz="0" w:space="0" w:color="auto"/>
                                                                        <w:left w:val="none" w:sz="0" w:space="0" w:color="auto"/>
                                                                        <w:bottom w:val="none" w:sz="0" w:space="0" w:color="auto"/>
                                                                        <w:right w:val="none" w:sz="0" w:space="0" w:color="auto"/>
                                                                      </w:divBdr>
                                                                      <w:divsChild>
                                                                        <w:div w:id="1651594410">
                                                                          <w:marLeft w:val="0"/>
                                                                          <w:marRight w:val="0"/>
                                                                          <w:marTop w:val="0"/>
                                                                          <w:marBottom w:val="0"/>
                                                                          <w:divBdr>
                                                                            <w:top w:val="none" w:sz="0" w:space="0" w:color="auto"/>
                                                                            <w:left w:val="none" w:sz="0" w:space="0" w:color="auto"/>
                                                                            <w:bottom w:val="none" w:sz="0" w:space="0" w:color="auto"/>
                                                                            <w:right w:val="none" w:sz="0" w:space="0" w:color="auto"/>
                                                                          </w:divBdr>
                                                                          <w:divsChild>
                                                                            <w:div w:id="20223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007387">
      <w:bodyDiv w:val="1"/>
      <w:marLeft w:val="0"/>
      <w:marRight w:val="0"/>
      <w:marTop w:val="0"/>
      <w:marBottom w:val="0"/>
      <w:divBdr>
        <w:top w:val="none" w:sz="0" w:space="0" w:color="auto"/>
        <w:left w:val="none" w:sz="0" w:space="0" w:color="auto"/>
        <w:bottom w:val="none" w:sz="0" w:space="0" w:color="auto"/>
        <w:right w:val="none" w:sz="0" w:space="0" w:color="auto"/>
      </w:divBdr>
    </w:div>
    <w:div w:id="1701659547">
      <w:bodyDiv w:val="1"/>
      <w:marLeft w:val="0"/>
      <w:marRight w:val="0"/>
      <w:marTop w:val="0"/>
      <w:marBottom w:val="0"/>
      <w:divBdr>
        <w:top w:val="none" w:sz="0" w:space="0" w:color="auto"/>
        <w:left w:val="none" w:sz="0" w:space="0" w:color="auto"/>
        <w:bottom w:val="none" w:sz="0" w:space="0" w:color="auto"/>
        <w:right w:val="none" w:sz="0" w:space="0" w:color="auto"/>
      </w:divBdr>
    </w:div>
    <w:div w:id="1717587182">
      <w:bodyDiv w:val="1"/>
      <w:marLeft w:val="0"/>
      <w:marRight w:val="0"/>
      <w:marTop w:val="0"/>
      <w:marBottom w:val="0"/>
      <w:divBdr>
        <w:top w:val="none" w:sz="0" w:space="0" w:color="auto"/>
        <w:left w:val="none" w:sz="0" w:space="0" w:color="auto"/>
        <w:bottom w:val="none" w:sz="0" w:space="0" w:color="auto"/>
        <w:right w:val="none" w:sz="0" w:space="0" w:color="auto"/>
      </w:divBdr>
    </w:div>
    <w:div w:id="1787114225">
      <w:bodyDiv w:val="1"/>
      <w:marLeft w:val="0"/>
      <w:marRight w:val="0"/>
      <w:marTop w:val="0"/>
      <w:marBottom w:val="0"/>
      <w:divBdr>
        <w:top w:val="none" w:sz="0" w:space="0" w:color="auto"/>
        <w:left w:val="none" w:sz="0" w:space="0" w:color="auto"/>
        <w:bottom w:val="none" w:sz="0" w:space="0" w:color="auto"/>
        <w:right w:val="none" w:sz="0" w:space="0" w:color="auto"/>
      </w:divBdr>
    </w:div>
    <w:div w:id="1839419620">
      <w:bodyDiv w:val="1"/>
      <w:marLeft w:val="0"/>
      <w:marRight w:val="0"/>
      <w:marTop w:val="0"/>
      <w:marBottom w:val="0"/>
      <w:divBdr>
        <w:top w:val="none" w:sz="0" w:space="0" w:color="auto"/>
        <w:left w:val="none" w:sz="0" w:space="0" w:color="auto"/>
        <w:bottom w:val="none" w:sz="0" w:space="0" w:color="auto"/>
        <w:right w:val="none" w:sz="0" w:space="0" w:color="auto"/>
      </w:divBdr>
    </w:div>
    <w:div w:id="1884170325">
      <w:bodyDiv w:val="1"/>
      <w:marLeft w:val="0"/>
      <w:marRight w:val="0"/>
      <w:marTop w:val="0"/>
      <w:marBottom w:val="0"/>
      <w:divBdr>
        <w:top w:val="none" w:sz="0" w:space="0" w:color="auto"/>
        <w:left w:val="none" w:sz="0" w:space="0" w:color="auto"/>
        <w:bottom w:val="none" w:sz="0" w:space="0" w:color="auto"/>
        <w:right w:val="none" w:sz="0" w:space="0" w:color="auto"/>
      </w:divBdr>
    </w:div>
    <w:div w:id="1906798043">
      <w:bodyDiv w:val="1"/>
      <w:marLeft w:val="0"/>
      <w:marRight w:val="0"/>
      <w:marTop w:val="0"/>
      <w:marBottom w:val="0"/>
      <w:divBdr>
        <w:top w:val="none" w:sz="0" w:space="0" w:color="auto"/>
        <w:left w:val="none" w:sz="0" w:space="0" w:color="auto"/>
        <w:bottom w:val="none" w:sz="0" w:space="0" w:color="auto"/>
        <w:right w:val="none" w:sz="0" w:space="0" w:color="auto"/>
      </w:divBdr>
    </w:div>
    <w:div w:id="1908297787">
      <w:bodyDiv w:val="1"/>
      <w:marLeft w:val="0"/>
      <w:marRight w:val="0"/>
      <w:marTop w:val="0"/>
      <w:marBottom w:val="0"/>
      <w:divBdr>
        <w:top w:val="none" w:sz="0" w:space="0" w:color="auto"/>
        <w:left w:val="none" w:sz="0" w:space="0" w:color="auto"/>
        <w:bottom w:val="none" w:sz="0" w:space="0" w:color="auto"/>
        <w:right w:val="none" w:sz="0" w:space="0" w:color="auto"/>
      </w:divBdr>
    </w:div>
    <w:div w:id="1934432079">
      <w:bodyDiv w:val="1"/>
      <w:marLeft w:val="0"/>
      <w:marRight w:val="0"/>
      <w:marTop w:val="0"/>
      <w:marBottom w:val="0"/>
      <w:divBdr>
        <w:top w:val="none" w:sz="0" w:space="0" w:color="auto"/>
        <w:left w:val="none" w:sz="0" w:space="0" w:color="auto"/>
        <w:bottom w:val="none" w:sz="0" w:space="0" w:color="auto"/>
        <w:right w:val="none" w:sz="0" w:space="0" w:color="auto"/>
      </w:divBdr>
    </w:div>
    <w:div w:id="2008701439">
      <w:bodyDiv w:val="1"/>
      <w:marLeft w:val="0"/>
      <w:marRight w:val="0"/>
      <w:marTop w:val="0"/>
      <w:marBottom w:val="0"/>
      <w:divBdr>
        <w:top w:val="none" w:sz="0" w:space="0" w:color="auto"/>
        <w:left w:val="none" w:sz="0" w:space="0" w:color="auto"/>
        <w:bottom w:val="none" w:sz="0" w:space="0" w:color="auto"/>
        <w:right w:val="none" w:sz="0" w:space="0" w:color="auto"/>
      </w:divBdr>
    </w:div>
    <w:div w:id="2027364057">
      <w:bodyDiv w:val="1"/>
      <w:marLeft w:val="0"/>
      <w:marRight w:val="0"/>
      <w:marTop w:val="0"/>
      <w:marBottom w:val="0"/>
      <w:divBdr>
        <w:top w:val="none" w:sz="0" w:space="0" w:color="auto"/>
        <w:left w:val="none" w:sz="0" w:space="0" w:color="auto"/>
        <w:bottom w:val="none" w:sz="0" w:space="0" w:color="auto"/>
        <w:right w:val="none" w:sz="0" w:space="0" w:color="auto"/>
      </w:divBdr>
    </w:div>
    <w:div w:id="2046787355">
      <w:bodyDiv w:val="1"/>
      <w:marLeft w:val="0"/>
      <w:marRight w:val="0"/>
      <w:marTop w:val="0"/>
      <w:marBottom w:val="0"/>
      <w:divBdr>
        <w:top w:val="none" w:sz="0" w:space="0" w:color="auto"/>
        <w:left w:val="none" w:sz="0" w:space="0" w:color="auto"/>
        <w:bottom w:val="none" w:sz="0" w:space="0" w:color="auto"/>
        <w:right w:val="none" w:sz="0" w:space="0" w:color="auto"/>
      </w:divBdr>
    </w:div>
    <w:div w:id="2067027635">
      <w:bodyDiv w:val="1"/>
      <w:marLeft w:val="0"/>
      <w:marRight w:val="0"/>
      <w:marTop w:val="0"/>
      <w:marBottom w:val="0"/>
      <w:divBdr>
        <w:top w:val="none" w:sz="0" w:space="0" w:color="auto"/>
        <w:left w:val="none" w:sz="0" w:space="0" w:color="auto"/>
        <w:bottom w:val="none" w:sz="0" w:space="0" w:color="auto"/>
        <w:right w:val="none" w:sz="0" w:space="0" w:color="auto"/>
      </w:divBdr>
    </w:div>
    <w:div w:id="20786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tgear.com/about/regulatory/" TargetMode="External"/><Relationship Id="rId18" Type="http://schemas.openxmlformats.org/officeDocument/2006/relationships/hyperlink" Target="https://kb.netgear.com/000062897/UKCA-Declarations-of-Conformity" TargetMode="External"/><Relationship Id="rId26" Type="http://schemas.openxmlformats.org/officeDocument/2006/relationships/hyperlink" Target="https://www.netgear.com/about/regulatory/" TargetMode="External"/><Relationship Id="rId3" Type="http://schemas.openxmlformats.org/officeDocument/2006/relationships/customXml" Target="../customXml/item3.xml"/><Relationship Id="rId21" Type="http://schemas.openxmlformats.org/officeDocument/2006/relationships/hyperlink" Target="https://www.bipt.be/operators/general-holders-licence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etgear.com/about/regulatory/" TargetMode="External"/><Relationship Id="rId17" Type="http://schemas.openxmlformats.org/officeDocument/2006/relationships/hyperlink" Target="http://support.netgear.com/app/answers/detail/a_id/11621/" TargetMode="External"/><Relationship Id="rId25" Type="http://schemas.openxmlformats.org/officeDocument/2006/relationships/hyperlink" Target="https://www.netgear.com/about/regulatory/"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s://www.bipt.be/consumers/free-use-of-radio" TargetMode="External"/><Relationship Id="rId29" Type="http://schemas.openxmlformats.org/officeDocument/2006/relationships/hyperlink" Target="https://www.netgear.com/fr/about/regula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tgear.com/about/regulatory/"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5.gif"/><Relationship Id="rId28" Type="http://schemas.openxmlformats.org/officeDocument/2006/relationships/hyperlink" Target="https://recyclemyelectronics.ca/on/"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EPRA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stang.netgear.com:7002/Agile/PCMServlet" TargetMode="External"/><Relationship Id="rId22" Type="http://schemas.openxmlformats.org/officeDocument/2006/relationships/hyperlink" Target="https://www.netgear.com/about/regulatory/" TargetMode="External"/><Relationship Id="rId27" Type="http://schemas.openxmlformats.org/officeDocument/2006/relationships/hyperlink" Target="https://www.netgear.com/about/regulatory/" TargetMode="External"/><Relationship Id="rId30" Type="http://schemas.openxmlformats.org/officeDocument/2006/relationships/hyperlink" Target="https://www.netgear.com/fr/about/regulator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891C96935744F88197A8A27503256" ma:contentTypeVersion="13" ma:contentTypeDescription="Create a new document." ma:contentTypeScope="" ma:versionID="29edcef112954c6f0bc22fabcf97c735">
  <xsd:schema xmlns:xsd="http://www.w3.org/2001/XMLSchema" xmlns:xs="http://www.w3.org/2001/XMLSchema" xmlns:p="http://schemas.microsoft.com/office/2006/metadata/properties" xmlns:ns3="94e07db7-62c7-4a01-a557-389a5e36f29a" xmlns:ns4="01e74a2c-5aa7-4161-bd04-e7b47985a814" targetNamespace="http://schemas.microsoft.com/office/2006/metadata/properties" ma:root="true" ma:fieldsID="129cb3d195e7b9507554d03efa1d5743" ns3:_="" ns4:_="">
    <xsd:import namespace="94e07db7-62c7-4a01-a557-389a5e36f29a"/>
    <xsd:import namespace="01e74a2c-5aa7-4161-bd04-e7b47985a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7db7-62c7-4a01-a557-389a5e36f2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74a2c-5aa7-4161-bd04-e7b47985a8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0F1D3-5D09-46D4-8C46-E3AD86A2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db7-62c7-4a01-a557-389a5e36f29a"/>
    <ds:schemaRef ds:uri="01e74a2c-5aa7-4161-bd04-e7b47985a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76F34-5125-49B2-9C5A-4C7024865914}">
  <ds:schemaRefs>
    <ds:schemaRef ds:uri="http://schemas.microsoft.com/sharepoint/v3/contenttype/forms"/>
  </ds:schemaRefs>
</ds:datastoreItem>
</file>

<file path=customXml/itemProps3.xml><?xml version="1.0" encoding="utf-8"?>
<ds:datastoreItem xmlns:ds="http://schemas.openxmlformats.org/officeDocument/2006/customXml" ds:itemID="{47150496-CAD4-474D-A37A-C1F36FB6000D}">
  <ds:schemaRefs>
    <ds:schemaRef ds:uri="http://schemas.openxmlformats.org/officeDocument/2006/bibliography"/>
  </ds:schemaRefs>
</ds:datastoreItem>
</file>

<file path=customXml/itemProps4.xml><?xml version="1.0" encoding="utf-8"?>
<ds:datastoreItem xmlns:ds="http://schemas.openxmlformats.org/officeDocument/2006/customXml" ds:itemID="{AC2B5E7B-D252-43BF-A543-6AD8C02C8AD4}">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01e74a2c-5aa7-4161-bd04-e7b47985a814"/>
    <ds:schemaRef ds:uri="http://schemas.openxmlformats.org/package/2006/metadata/core-properties"/>
    <ds:schemaRef ds:uri="http://schemas.microsoft.com/office/infopath/2007/PartnerControls"/>
    <ds:schemaRef ds:uri="94e07db7-62c7-4a01-a557-389a5e36f29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7448</Words>
  <Characters>42460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Netgear, Inc.</Company>
  <LinksUpToDate>false</LinksUpToDate>
  <CharactersWithSpaces>49809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Pampuch</dc:creator>
  <cp:keywords/>
  <dc:description/>
  <cp:lastModifiedBy>Sarah Kuan</cp:lastModifiedBy>
  <cp:revision>23</cp:revision>
  <cp:lastPrinted>2020-05-11T20:54:00Z</cp:lastPrinted>
  <dcterms:created xsi:type="dcterms:W3CDTF">2022-11-04T02:40:00Z</dcterms:created>
  <dcterms:modified xsi:type="dcterms:W3CDTF">2022-11-10T04:17:00Z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0x010100C9E891C96935744F88197A8A27503256</vt:lpwstr>
  </property>
</Properties>
</file>