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3A971" w14:textId="77777777" w:rsidR="00FD43BB" w:rsidRDefault="00FD43BB" w:rsidP="00E253EC">
      <w:pPr>
        <w:tabs>
          <w:tab w:val="left" w:pos="3150"/>
        </w:tabs>
        <w:rPr>
          <w:rFonts w:cs="Arial"/>
        </w:rPr>
      </w:pPr>
    </w:p>
    <w:p w14:paraId="10B8183D" w14:textId="77777777" w:rsidR="00502E0D" w:rsidRDefault="00A36BD1" w:rsidP="00E253EC">
      <w:pPr>
        <w:tabs>
          <w:tab w:val="left" w:pos="3150"/>
        </w:tabs>
        <w:rPr>
          <w:rFonts w:cs="Arial"/>
        </w:rPr>
      </w:pPr>
      <w:r>
        <w:rPr>
          <w:noProof/>
        </w:rPr>
        <w:drawing>
          <wp:inline distT="0" distB="0" distL="0" distR="0" wp14:anchorId="3E6D27D8" wp14:editId="7C9E6CBF">
            <wp:extent cx="2886075" cy="4953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86075" cy="495300"/>
                    </a:xfrm>
                    <a:prstGeom prst="rect">
                      <a:avLst/>
                    </a:prstGeom>
                  </pic:spPr>
                </pic:pic>
              </a:graphicData>
            </a:graphic>
          </wp:inline>
        </w:drawing>
      </w:r>
    </w:p>
    <w:p w14:paraId="01869AE1" w14:textId="77777777" w:rsidR="004053EC" w:rsidRDefault="00502E0D" w:rsidP="00502E0D">
      <w:pPr>
        <w:pStyle w:val="Titre"/>
      </w:pPr>
      <w:r>
        <w:t>Notification de conformité</w:t>
      </w:r>
    </w:p>
    <w:sdt>
      <w:sdtPr>
        <w:rPr>
          <w:rFonts w:ascii="Arial" w:eastAsia="PMingLiU" w:hAnsi="Arial" w:cstheme="minorBidi"/>
          <w:color w:val="auto"/>
          <w:sz w:val="18"/>
          <w:szCs w:val="22"/>
        </w:rPr>
        <w:id w:val="2025824657"/>
        <w:docPartObj>
          <w:docPartGallery w:val="Table of Contents"/>
          <w:docPartUnique/>
        </w:docPartObj>
      </w:sdtPr>
      <w:sdtEndPr>
        <w:rPr>
          <w:b/>
          <w:bCs/>
          <w:noProof/>
        </w:rPr>
      </w:sdtEndPr>
      <w:sdtContent>
        <w:p w14:paraId="15DDFB2A" w14:textId="6D504B28" w:rsidR="00B45971" w:rsidRDefault="00B45971" w:rsidP="00481C42">
          <w:pPr>
            <w:pStyle w:val="En-ttedetabledesmatires"/>
          </w:pPr>
          <w:r>
            <w:t>Table des matières</w:t>
          </w:r>
        </w:p>
        <w:p w14:paraId="6A571DC1" w14:textId="1A0DD267" w:rsidR="00900D23" w:rsidRDefault="00B45971">
          <w:pPr>
            <w:pStyle w:val="TM1"/>
            <w:rPr>
              <w:rFonts w:asciiTheme="minorHAnsi" w:eastAsiaTheme="minorEastAsia" w:hAnsiTheme="minorHAnsi"/>
              <w:noProof/>
              <w:sz w:val="22"/>
              <w:lang w:val="en-US" w:eastAsia="zh-TW"/>
            </w:rPr>
          </w:pPr>
          <w:r>
            <w:fldChar w:fldCharType="begin"/>
          </w:r>
          <w:r>
            <w:instrText xml:space="preserve"> TOC \o "1-3" \h \z \u </w:instrText>
          </w:r>
          <w:r>
            <w:fldChar w:fldCharType="separate"/>
          </w:r>
          <w:hyperlink w:anchor="_Toc118886560" w:history="1">
            <w:r w:rsidR="00900D23" w:rsidRPr="00323853">
              <w:rPr>
                <w:rStyle w:val="Lienhypertexte"/>
                <w:noProof/>
              </w:rPr>
              <w:t>Informations et avis de sécurité</w:t>
            </w:r>
            <w:r w:rsidR="00900D23">
              <w:rPr>
                <w:noProof/>
                <w:webHidden/>
              </w:rPr>
              <w:tab/>
            </w:r>
            <w:r w:rsidR="00900D23">
              <w:rPr>
                <w:noProof/>
                <w:webHidden/>
              </w:rPr>
              <w:fldChar w:fldCharType="begin"/>
            </w:r>
            <w:r w:rsidR="00900D23">
              <w:rPr>
                <w:noProof/>
                <w:webHidden/>
              </w:rPr>
              <w:instrText xml:space="preserve"> PAGEREF _Toc118886560 \h </w:instrText>
            </w:r>
            <w:r w:rsidR="00900D23">
              <w:rPr>
                <w:noProof/>
                <w:webHidden/>
              </w:rPr>
            </w:r>
            <w:r w:rsidR="00900D23">
              <w:rPr>
                <w:noProof/>
                <w:webHidden/>
              </w:rPr>
              <w:fldChar w:fldCharType="separate"/>
            </w:r>
            <w:r w:rsidR="00900D23">
              <w:rPr>
                <w:noProof/>
                <w:webHidden/>
              </w:rPr>
              <w:t>2</w:t>
            </w:r>
            <w:r w:rsidR="00900D23">
              <w:rPr>
                <w:noProof/>
                <w:webHidden/>
              </w:rPr>
              <w:fldChar w:fldCharType="end"/>
            </w:r>
          </w:hyperlink>
        </w:p>
        <w:p w14:paraId="2B1D5C37" w14:textId="64BD487B" w:rsidR="00900D23" w:rsidRDefault="00F55C63">
          <w:pPr>
            <w:pStyle w:val="TM3"/>
            <w:rPr>
              <w:rFonts w:asciiTheme="minorHAnsi" w:eastAsiaTheme="minorEastAsia" w:hAnsiTheme="minorHAnsi"/>
              <w:noProof/>
              <w:sz w:val="22"/>
              <w:lang w:val="en-US" w:eastAsia="zh-TW"/>
            </w:rPr>
          </w:pPr>
          <w:hyperlink w:anchor="_Toc118886561" w:history="1">
            <w:r w:rsidR="00900D23" w:rsidRPr="00323853">
              <w:rPr>
                <w:rStyle w:val="Lienhypertexte"/>
                <w:noProof/>
              </w:rPr>
              <w:t>Comment bien utiliser et manipuler les batteries</w:t>
            </w:r>
            <w:r w:rsidR="00900D23">
              <w:rPr>
                <w:noProof/>
                <w:webHidden/>
              </w:rPr>
              <w:tab/>
            </w:r>
            <w:r w:rsidR="00900D23">
              <w:rPr>
                <w:noProof/>
                <w:webHidden/>
              </w:rPr>
              <w:fldChar w:fldCharType="begin"/>
            </w:r>
            <w:r w:rsidR="00900D23">
              <w:rPr>
                <w:noProof/>
                <w:webHidden/>
              </w:rPr>
              <w:instrText xml:space="preserve"> PAGEREF _Toc118886561 \h </w:instrText>
            </w:r>
            <w:r w:rsidR="00900D23">
              <w:rPr>
                <w:noProof/>
                <w:webHidden/>
              </w:rPr>
            </w:r>
            <w:r w:rsidR="00900D23">
              <w:rPr>
                <w:noProof/>
                <w:webHidden/>
              </w:rPr>
              <w:fldChar w:fldCharType="separate"/>
            </w:r>
            <w:r w:rsidR="00900D23">
              <w:rPr>
                <w:noProof/>
                <w:webHidden/>
              </w:rPr>
              <w:t>2</w:t>
            </w:r>
            <w:r w:rsidR="00900D23">
              <w:rPr>
                <w:noProof/>
                <w:webHidden/>
              </w:rPr>
              <w:fldChar w:fldCharType="end"/>
            </w:r>
          </w:hyperlink>
        </w:p>
        <w:p w14:paraId="2067816D" w14:textId="1BFF8485" w:rsidR="00900D23" w:rsidRDefault="00F55C63">
          <w:pPr>
            <w:pStyle w:val="TM2"/>
            <w:tabs>
              <w:tab w:val="right" w:leader="dot" w:pos="9350"/>
            </w:tabs>
            <w:rPr>
              <w:rFonts w:asciiTheme="minorHAnsi" w:eastAsiaTheme="minorEastAsia" w:hAnsiTheme="minorHAnsi"/>
              <w:noProof/>
              <w:sz w:val="22"/>
              <w:lang w:val="en-US" w:eastAsia="zh-TW"/>
            </w:rPr>
          </w:pPr>
          <w:hyperlink w:anchor="_Toc118886562" w:history="1">
            <w:r w:rsidR="00900D23" w:rsidRPr="00323853">
              <w:rPr>
                <w:rStyle w:val="Lienhypertexte"/>
                <w:noProof/>
              </w:rPr>
              <w:t>Emplacement du marquage</w:t>
            </w:r>
            <w:r w:rsidR="00900D23">
              <w:rPr>
                <w:noProof/>
                <w:webHidden/>
              </w:rPr>
              <w:tab/>
            </w:r>
            <w:r w:rsidR="00900D23">
              <w:rPr>
                <w:noProof/>
                <w:webHidden/>
              </w:rPr>
              <w:fldChar w:fldCharType="begin"/>
            </w:r>
            <w:r w:rsidR="00900D23">
              <w:rPr>
                <w:noProof/>
                <w:webHidden/>
              </w:rPr>
              <w:instrText xml:space="preserve"> PAGEREF _Toc118886562 \h </w:instrText>
            </w:r>
            <w:r w:rsidR="00900D23">
              <w:rPr>
                <w:noProof/>
                <w:webHidden/>
              </w:rPr>
            </w:r>
            <w:r w:rsidR="00900D23">
              <w:rPr>
                <w:noProof/>
                <w:webHidden/>
              </w:rPr>
              <w:fldChar w:fldCharType="separate"/>
            </w:r>
            <w:r w:rsidR="00900D23">
              <w:rPr>
                <w:noProof/>
                <w:webHidden/>
              </w:rPr>
              <w:t>2</w:t>
            </w:r>
            <w:r w:rsidR="00900D23">
              <w:rPr>
                <w:noProof/>
                <w:webHidden/>
              </w:rPr>
              <w:fldChar w:fldCharType="end"/>
            </w:r>
          </w:hyperlink>
        </w:p>
        <w:p w14:paraId="3DDCE51A" w14:textId="4B3C9BAE" w:rsidR="00900D23" w:rsidRDefault="00F55C63">
          <w:pPr>
            <w:pStyle w:val="TM2"/>
            <w:tabs>
              <w:tab w:val="right" w:leader="dot" w:pos="9350"/>
            </w:tabs>
            <w:rPr>
              <w:rFonts w:asciiTheme="minorHAnsi" w:eastAsiaTheme="minorEastAsia" w:hAnsiTheme="minorHAnsi"/>
              <w:noProof/>
              <w:sz w:val="22"/>
              <w:lang w:val="en-US" w:eastAsia="zh-TW"/>
            </w:rPr>
          </w:pPr>
          <w:hyperlink w:anchor="_Toc118886563" w:history="1">
            <w:r w:rsidR="00900D23" w:rsidRPr="00323853">
              <w:rPr>
                <w:rStyle w:val="Lienhypertexte"/>
                <w:noProof/>
              </w:rPr>
              <w:t>Utilisation dans des endroits où des enfants peuvent être présents</w:t>
            </w:r>
            <w:r w:rsidR="00900D23">
              <w:rPr>
                <w:noProof/>
                <w:webHidden/>
              </w:rPr>
              <w:tab/>
            </w:r>
            <w:r w:rsidR="00900D23">
              <w:rPr>
                <w:noProof/>
                <w:webHidden/>
              </w:rPr>
              <w:fldChar w:fldCharType="begin"/>
            </w:r>
            <w:r w:rsidR="00900D23">
              <w:rPr>
                <w:noProof/>
                <w:webHidden/>
              </w:rPr>
              <w:instrText xml:space="preserve"> PAGEREF _Toc118886563 \h </w:instrText>
            </w:r>
            <w:r w:rsidR="00900D23">
              <w:rPr>
                <w:noProof/>
                <w:webHidden/>
              </w:rPr>
            </w:r>
            <w:r w:rsidR="00900D23">
              <w:rPr>
                <w:noProof/>
                <w:webHidden/>
              </w:rPr>
              <w:fldChar w:fldCharType="separate"/>
            </w:r>
            <w:r w:rsidR="00900D23">
              <w:rPr>
                <w:noProof/>
                <w:webHidden/>
              </w:rPr>
              <w:t>2</w:t>
            </w:r>
            <w:r w:rsidR="00900D23">
              <w:rPr>
                <w:noProof/>
                <w:webHidden/>
              </w:rPr>
              <w:fldChar w:fldCharType="end"/>
            </w:r>
          </w:hyperlink>
        </w:p>
        <w:p w14:paraId="5E4DDA41" w14:textId="41283AF7" w:rsidR="00900D23" w:rsidRDefault="00F55C63">
          <w:pPr>
            <w:pStyle w:val="TM2"/>
            <w:tabs>
              <w:tab w:val="right" w:leader="dot" w:pos="9350"/>
            </w:tabs>
            <w:rPr>
              <w:rFonts w:asciiTheme="minorHAnsi" w:eastAsiaTheme="minorEastAsia" w:hAnsiTheme="minorHAnsi"/>
              <w:noProof/>
              <w:sz w:val="22"/>
              <w:lang w:val="en-US" w:eastAsia="zh-TW"/>
            </w:rPr>
          </w:pPr>
          <w:hyperlink w:anchor="_Toc118886564" w:history="1">
            <w:r w:rsidR="00900D23" w:rsidRPr="00323853">
              <w:rPr>
                <w:rStyle w:val="Lienhypertexte"/>
                <w:noProof/>
              </w:rPr>
              <w:t>Avis concernant l'accès restreint</w:t>
            </w:r>
            <w:r w:rsidR="00900D23">
              <w:rPr>
                <w:noProof/>
                <w:webHidden/>
              </w:rPr>
              <w:tab/>
            </w:r>
            <w:r w:rsidR="00900D23">
              <w:rPr>
                <w:noProof/>
                <w:webHidden/>
              </w:rPr>
              <w:fldChar w:fldCharType="begin"/>
            </w:r>
            <w:r w:rsidR="00900D23">
              <w:rPr>
                <w:noProof/>
                <w:webHidden/>
              </w:rPr>
              <w:instrText xml:space="preserve"> PAGEREF _Toc118886564 \h </w:instrText>
            </w:r>
            <w:r w:rsidR="00900D23">
              <w:rPr>
                <w:noProof/>
                <w:webHidden/>
              </w:rPr>
            </w:r>
            <w:r w:rsidR="00900D23">
              <w:rPr>
                <w:noProof/>
                <w:webHidden/>
              </w:rPr>
              <w:fldChar w:fldCharType="separate"/>
            </w:r>
            <w:r w:rsidR="00900D23">
              <w:rPr>
                <w:noProof/>
                <w:webHidden/>
              </w:rPr>
              <w:t>3</w:t>
            </w:r>
            <w:r w:rsidR="00900D23">
              <w:rPr>
                <w:noProof/>
                <w:webHidden/>
              </w:rPr>
              <w:fldChar w:fldCharType="end"/>
            </w:r>
          </w:hyperlink>
        </w:p>
        <w:p w14:paraId="6BBAD836" w14:textId="04E86FE0" w:rsidR="00900D23" w:rsidRDefault="00F55C63">
          <w:pPr>
            <w:pStyle w:val="TM2"/>
            <w:tabs>
              <w:tab w:val="right" w:leader="dot" w:pos="9350"/>
            </w:tabs>
            <w:rPr>
              <w:rFonts w:asciiTheme="minorHAnsi" w:eastAsiaTheme="minorEastAsia" w:hAnsiTheme="minorHAnsi"/>
              <w:noProof/>
              <w:sz w:val="22"/>
              <w:lang w:val="en-US" w:eastAsia="zh-TW"/>
            </w:rPr>
          </w:pPr>
          <w:hyperlink w:anchor="_Toc118886565" w:history="1">
            <w:r w:rsidR="00900D23" w:rsidRPr="00323853">
              <w:rPr>
                <w:rStyle w:val="Lienhypertexte"/>
                <w:noProof/>
              </w:rPr>
              <w:t>Avis concernant la télévision par câble coaxial et la connexion Internet (sur certains modèles)</w:t>
            </w:r>
            <w:r w:rsidR="00900D23">
              <w:rPr>
                <w:noProof/>
                <w:webHidden/>
              </w:rPr>
              <w:tab/>
            </w:r>
            <w:r w:rsidR="00900D23">
              <w:rPr>
                <w:noProof/>
                <w:webHidden/>
              </w:rPr>
              <w:fldChar w:fldCharType="begin"/>
            </w:r>
            <w:r w:rsidR="00900D23">
              <w:rPr>
                <w:noProof/>
                <w:webHidden/>
              </w:rPr>
              <w:instrText xml:space="preserve"> PAGEREF _Toc118886565 \h </w:instrText>
            </w:r>
            <w:r w:rsidR="00900D23">
              <w:rPr>
                <w:noProof/>
                <w:webHidden/>
              </w:rPr>
            </w:r>
            <w:r w:rsidR="00900D23">
              <w:rPr>
                <w:noProof/>
                <w:webHidden/>
              </w:rPr>
              <w:fldChar w:fldCharType="separate"/>
            </w:r>
            <w:r w:rsidR="00900D23">
              <w:rPr>
                <w:noProof/>
                <w:webHidden/>
              </w:rPr>
              <w:t>3</w:t>
            </w:r>
            <w:r w:rsidR="00900D23">
              <w:rPr>
                <w:noProof/>
                <w:webHidden/>
              </w:rPr>
              <w:fldChar w:fldCharType="end"/>
            </w:r>
          </w:hyperlink>
        </w:p>
        <w:p w14:paraId="7A057F55" w14:textId="6CCD8446" w:rsidR="00900D23" w:rsidRDefault="00F55C63">
          <w:pPr>
            <w:pStyle w:val="TM1"/>
            <w:rPr>
              <w:rFonts w:asciiTheme="minorHAnsi" w:eastAsiaTheme="minorEastAsia" w:hAnsiTheme="minorHAnsi"/>
              <w:noProof/>
              <w:sz w:val="22"/>
              <w:lang w:val="en-US" w:eastAsia="zh-TW"/>
            </w:rPr>
          </w:pPr>
          <w:hyperlink w:anchor="_Toc118886566" w:history="1">
            <w:r w:rsidR="00900D23" w:rsidRPr="00323853">
              <w:rPr>
                <w:rStyle w:val="Lienhypertexte"/>
                <w:noProof/>
              </w:rPr>
              <w:t>Informations relatives à la conformité légale</w:t>
            </w:r>
            <w:r w:rsidR="00900D23">
              <w:rPr>
                <w:noProof/>
                <w:webHidden/>
              </w:rPr>
              <w:tab/>
            </w:r>
            <w:r w:rsidR="00900D23">
              <w:rPr>
                <w:noProof/>
                <w:webHidden/>
              </w:rPr>
              <w:fldChar w:fldCharType="begin"/>
            </w:r>
            <w:r w:rsidR="00900D23">
              <w:rPr>
                <w:noProof/>
                <w:webHidden/>
              </w:rPr>
              <w:instrText xml:space="preserve"> PAGEREF _Toc118886566 \h </w:instrText>
            </w:r>
            <w:r w:rsidR="00900D23">
              <w:rPr>
                <w:noProof/>
                <w:webHidden/>
              </w:rPr>
            </w:r>
            <w:r w:rsidR="00900D23">
              <w:rPr>
                <w:noProof/>
                <w:webHidden/>
              </w:rPr>
              <w:fldChar w:fldCharType="separate"/>
            </w:r>
            <w:r w:rsidR="00900D23">
              <w:rPr>
                <w:noProof/>
                <w:webHidden/>
              </w:rPr>
              <w:t>3</w:t>
            </w:r>
            <w:r w:rsidR="00900D23">
              <w:rPr>
                <w:noProof/>
                <w:webHidden/>
              </w:rPr>
              <w:fldChar w:fldCharType="end"/>
            </w:r>
          </w:hyperlink>
        </w:p>
        <w:p w14:paraId="3FF2D97D" w14:textId="313643A7" w:rsidR="00900D23" w:rsidRDefault="00F55C63">
          <w:pPr>
            <w:pStyle w:val="TM2"/>
            <w:tabs>
              <w:tab w:val="right" w:leader="dot" w:pos="9350"/>
            </w:tabs>
            <w:rPr>
              <w:rFonts w:asciiTheme="minorHAnsi" w:eastAsiaTheme="minorEastAsia" w:hAnsiTheme="minorHAnsi"/>
              <w:noProof/>
              <w:sz w:val="22"/>
              <w:lang w:val="en-US" w:eastAsia="zh-TW"/>
            </w:rPr>
          </w:pPr>
          <w:hyperlink w:anchor="_Toc118886567" w:history="1">
            <w:r w:rsidR="00900D23" w:rsidRPr="00323853">
              <w:rPr>
                <w:rStyle w:val="Lienhypertexte"/>
                <w:noProof/>
              </w:rPr>
              <w:t>Equipement certifié pour une utilisation en extérieur</w:t>
            </w:r>
            <w:r w:rsidR="00900D23">
              <w:rPr>
                <w:noProof/>
                <w:webHidden/>
              </w:rPr>
              <w:tab/>
            </w:r>
            <w:r w:rsidR="00900D23">
              <w:rPr>
                <w:noProof/>
                <w:webHidden/>
              </w:rPr>
              <w:fldChar w:fldCharType="begin"/>
            </w:r>
            <w:r w:rsidR="00900D23">
              <w:rPr>
                <w:noProof/>
                <w:webHidden/>
              </w:rPr>
              <w:instrText xml:space="preserve"> PAGEREF _Toc118886567 \h </w:instrText>
            </w:r>
            <w:r w:rsidR="00900D23">
              <w:rPr>
                <w:noProof/>
                <w:webHidden/>
              </w:rPr>
            </w:r>
            <w:r w:rsidR="00900D23">
              <w:rPr>
                <w:noProof/>
                <w:webHidden/>
              </w:rPr>
              <w:fldChar w:fldCharType="separate"/>
            </w:r>
            <w:r w:rsidR="00900D23">
              <w:rPr>
                <w:noProof/>
                <w:webHidden/>
              </w:rPr>
              <w:t>4</w:t>
            </w:r>
            <w:r w:rsidR="00900D23">
              <w:rPr>
                <w:noProof/>
                <w:webHidden/>
              </w:rPr>
              <w:fldChar w:fldCharType="end"/>
            </w:r>
          </w:hyperlink>
        </w:p>
        <w:p w14:paraId="628E62C1" w14:textId="388BB8BD" w:rsidR="00900D23" w:rsidRDefault="00F55C63">
          <w:pPr>
            <w:pStyle w:val="TM2"/>
            <w:tabs>
              <w:tab w:val="right" w:leader="dot" w:pos="9350"/>
            </w:tabs>
            <w:rPr>
              <w:rFonts w:asciiTheme="minorHAnsi" w:eastAsiaTheme="minorEastAsia" w:hAnsiTheme="minorHAnsi"/>
              <w:noProof/>
              <w:sz w:val="22"/>
              <w:lang w:val="en-US" w:eastAsia="zh-TW"/>
            </w:rPr>
          </w:pPr>
          <w:hyperlink w:anchor="_Toc118886568" w:history="1">
            <w:r w:rsidR="00900D23" w:rsidRPr="00323853">
              <w:rPr>
                <w:rStyle w:val="Lienhypertexte"/>
                <w:noProof/>
              </w:rPr>
              <w:t>Equipement avec antennes externes</w:t>
            </w:r>
            <w:r w:rsidR="00900D23">
              <w:rPr>
                <w:noProof/>
                <w:webHidden/>
              </w:rPr>
              <w:tab/>
            </w:r>
            <w:r w:rsidR="00900D23">
              <w:rPr>
                <w:noProof/>
                <w:webHidden/>
              </w:rPr>
              <w:fldChar w:fldCharType="begin"/>
            </w:r>
            <w:r w:rsidR="00900D23">
              <w:rPr>
                <w:noProof/>
                <w:webHidden/>
              </w:rPr>
              <w:instrText xml:space="preserve"> PAGEREF _Toc118886568 \h </w:instrText>
            </w:r>
            <w:r w:rsidR="00900D23">
              <w:rPr>
                <w:noProof/>
                <w:webHidden/>
              </w:rPr>
            </w:r>
            <w:r w:rsidR="00900D23">
              <w:rPr>
                <w:noProof/>
                <w:webHidden/>
              </w:rPr>
              <w:fldChar w:fldCharType="separate"/>
            </w:r>
            <w:r w:rsidR="00900D23">
              <w:rPr>
                <w:noProof/>
                <w:webHidden/>
              </w:rPr>
              <w:t>4</w:t>
            </w:r>
            <w:r w:rsidR="00900D23">
              <w:rPr>
                <w:noProof/>
                <w:webHidden/>
              </w:rPr>
              <w:fldChar w:fldCharType="end"/>
            </w:r>
          </w:hyperlink>
        </w:p>
        <w:p w14:paraId="0B6F77DC" w14:textId="58784EE6" w:rsidR="00900D23" w:rsidRDefault="00F55C63">
          <w:pPr>
            <w:pStyle w:val="TM1"/>
            <w:rPr>
              <w:rFonts w:asciiTheme="minorHAnsi" w:eastAsiaTheme="minorEastAsia" w:hAnsiTheme="minorHAnsi"/>
              <w:noProof/>
              <w:sz w:val="22"/>
              <w:lang w:val="en-US" w:eastAsia="zh-TW"/>
            </w:rPr>
          </w:pPr>
          <w:hyperlink w:anchor="_Toc118886569" w:history="1">
            <w:r w:rsidR="00900D23" w:rsidRPr="00323853">
              <w:rPr>
                <w:rStyle w:val="Lienhypertexte"/>
                <w:noProof/>
              </w:rPr>
              <w:t>Exigences réglementaires pour une utilisation en Europe (GB, UK et UE)</w:t>
            </w:r>
            <w:r w:rsidR="00900D23">
              <w:rPr>
                <w:noProof/>
                <w:webHidden/>
              </w:rPr>
              <w:tab/>
            </w:r>
            <w:r w:rsidR="00900D23">
              <w:rPr>
                <w:noProof/>
                <w:webHidden/>
              </w:rPr>
              <w:fldChar w:fldCharType="begin"/>
            </w:r>
            <w:r w:rsidR="00900D23">
              <w:rPr>
                <w:noProof/>
                <w:webHidden/>
              </w:rPr>
              <w:instrText xml:space="preserve"> PAGEREF _Toc118886569 \h </w:instrText>
            </w:r>
            <w:r w:rsidR="00900D23">
              <w:rPr>
                <w:noProof/>
                <w:webHidden/>
              </w:rPr>
            </w:r>
            <w:r w:rsidR="00900D23">
              <w:rPr>
                <w:noProof/>
                <w:webHidden/>
              </w:rPr>
              <w:fldChar w:fldCharType="separate"/>
            </w:r>
            <w:r w:rsidR="00900D23">
              <w:rPr>
                <w:noProof/>
                <w:webHidden/>
              </w:rPr>
              <w:t>5</w:t>
            </w:r>
            <w:r w:rsidR="00900D23">
              <w:rPr>
                <w:noProof/>
                <w:webHidden/>
              </w:rPr>
              <w:fldChar w:fldCharType="end"/>
            </w:r>
          </w:hyperlink>
        </w:p>
        <w:p w14:paraId="4E55DC0F" w14:textId="26C5158B" w:rsidR="00900D23" w:rsidRDefault="00F55C63">
          <w:pPr>
            <w:pStyle w:val="TM2"/>
            <w:tabs>
              <w:tab w:val="right" w:leader="dot" w:pos="9350"/>
            </w:tabs>
            <w:rPr>
              <w:rFonts w:asciiTheme="minorHAnsi" w:eastAsiaTheme="minorEastAsia" w:hAnsiTheme="minorHAnsi"/>
              <w:noProof/>
              <w:sz w:val="22"/>
              <w:lang w:val="en-US" w:eastAsia="zh-TW"/>
            </w:rPr>
          </w:pPr>
          <w:hyperlink w:anchor="_Toc118886570" w:history="1">
            <w:r w:rsidR="00900D23" w:rsidRPr="00323853">
              <w:rPr>
                <w:rStyle w:val="Lienhypertexte"/>
                <w:noProof/>
              </w:rPr>
              <w:t>Conformité à la directive 2014/53/UE sur les équipements radioélectriques</w:t>
            </w:r>
            <w:r w:rsidR="00900D23">
              <w:rPr>
                <w:noProof/>
                <w:webHidden/>
              </w:rPr>
              <w:tab/>
            </w:r>
            <w:r w:rsidR="00900D23">
              <w:rPr>
                <w:noProof/>
                <w:webHidden/>
              </w:rPr>
              <w:fldChar w:fldCharType="begin"/>
            </w:r>
            <w:r w:rsidR="00900D23">
              <w:rPr>
                <w:noProof/>
                <w:webHidden/>
              </w:rPr>
              <w:instrText xml:space="preserve"> PAGEREF _Toc118886570 \h </w:instrText>
            </w:r>
            <w:r w:rsidR="00900D23">
              <w:rPr>
                <w:noProof/>
                <w:webHidden/>
              </w:rPr>
            </w:r>
            <w:r w:rsidR="00900D23">
              <w:rPr>
                <w:noProof/>
                <w:webHidden/>
              </w:rPr>
              <w:fldChar w:fldCharType="separate"/>
            </w:r>
            <w:r w:rsidR="00900D23">
              <w:rPr>
                <w:noProof/>
                <w:webHidden/>
              </w:rPr>
              <w:t>6</w:t>
            </w:r>
            <w:r w:rsidR="00900D23">
              <w:rPr>
                <w:noProof/>
                <w:webHidden/>
              </w:rPr>
              <w:fldChar w:fldCharType="end"/>
            </w:r>
          </w:hyperlink>
        </w:p>
        <w:p w14:paraId="4EE7FA93" w14:textId="1AA14778" w:rsidR="00900D23" w:rsidRDefault="00F55C63">
          <w:pPr>
            <w:pStyle w:val="TM3"/>
            <w:rPr>
              <w:rFonts w:asciiTheme="minorHAnsi" w:eastAsiaTheme="minorEastAsia" w:hAnsiTheme="minorHAnsi"/>
              <w:noProof/>
              <w:sz w:val="22"/>
              <w:lang w:val="en-US" w:eastAsia="zh-TW"/>
            </w:rPr>
          </w:pPr>
          <w:hyperlink w:anchor="_Toc118886571" w:history="1">
            <w:r w:rsidR="00900D23" w:rsidRPr="00323853">
              <w:rPr>
                <w:rStyle w:val="Lienhypertexte"/>
                <w:noProof/>
              </w:rPr>
              <w:t>Directives relatives à l'exposition aux fréquences radio</w:t>
            </w:r>
            <w:r w:rsidR="00900D23">
              <w:rPr>
                <w:noProof/>
                <w:webHidden/>
              </w:rPr>
              <w:tab/>
            </w:r>
            <w:r w:rsidR="00900D23">
              <w:rPr>
                <w:noProof/>
                <w:webHidden/>
              </w:rPr>
              <w:fldChar w:fldCharType="begin"/>
            </w:r>
            <w:r w:rsidR="00900D23">
              <w:rPr>
                <w:noProof/>
                <w:webHidden/>
              </w:rPr>
              <w:instrText xml:space="preserve"> PAGEREF _Toc118886571 \h </w:instrText>
            </w:r>
            <w:r w:rsidR="00900D23">
              <w:rPr>
                <w:noProof/>
                <w:webHidden/>
              </w:rPr>
            </w:r>
            <w:r w:rsidR="00900D23">
              <w:rPr>
                <w:noProof/>
                <w:webHidden/>
              </w:rPr>
              <w:fldChar w:fldCharType="separate"/>
            </w:r>
            <w:r w:rsidR="00900D23">
              <w:rPr>
                <w:noProof/>
                <w:webHidden/>
              </w:rPr>
              <w:t>6</w:t>
            </w:r>
            <w:r w:rsidR="00900D23">
              <w:rPr>
                <w:noProof/>
                <w:webHidden/>
              </w:rPr>
              <w:fldChar w:fldCharType="end"/>
            </w:r>
          </w:hyperlink>
        </w:p>
        <w:p w14:paraId="3484AC0D" w14:textId="39E3C1D8" w:rsidR="00900D23" w:rsidRDefault="00F55C63">
          <w:pPr>
            <w:pStyle w:val="TM2"/>
            <w:tabs>
              <w:tab w:val="right" w:leader="dot" w:pos="9350"/>
            </w:tabs>
            <w:rPr>
              <w:rFonts w:asciiTheme="minorHAnsi" w:eastAsiaTheme="minorEastAsia" w:hAnsiTheme="minorHAnsi"/>
              <w:noProof/>
              <w:sz w:val="22"/>
              <w:lang w:val="en-US" w:eastAsia="zh-TW"/>
            </w:rPr>
          </w:pPr>
          <w:hyperlink w:anchor="_Toc118886572" w:history="1">
            <w:r w:rsidR="00900D23" w:rsidRPr="00323853">
              <w:rPr>
                <w:rStyle w:val="Lienhypertexte"/>
                <w:noProof/>
              </w:rPr>
              <w:t>Précautions spécifiques en matière de compatibilité électromagnétique (CEM)</w:t>
            </w:r>
            <w:r w:rsidR="00900D23">
              <w:rPr>
                <w:noProof/>
                <w:webHidden/>
              </w:rPr>
              <w:tab/>
            </w:r>
            <w:r w:rsidR="00900D23">
              <w:rPr>
                <w:noProof/>
                <w:webHidden/>
              </w:rPr>
              <w:fldChar w:fldCharType="begin"/>
            </w:r>
            <w:r w:rsidR="00900D23">
              <w:rPr>
                <w:noProof/>
                <w:webHidden/>
              </w:rPr>
              <w:instrText xml:space="preserve"> PAGEREF _Toc118886572 \h </w:instrText>
            </w:r>
            <w:r w:rsidR="00900D23">
              <w:rPr>
                <w:noProof/>
                <w:webHidden/>
              </w:rPr>
            </w:r>
            <w:r w:rsidR="00900D23">
              <w:rPr>
                <w:noProof/>
                <w:webHidden/>
              </w:rPr>
              <w:fldChar w:fldCharType="separate"/>
            </w:r>
            <w:r w:rsidR="00900D23">
              <w:rPr>
                <w:noProof/>
                <w:webHidden/>
              </w:rPr>
              <w:t>7</w:t>
            </w:r>
            <w:r w:rsidR="00900D23">
              <w:rPr>
                <w:noProof/>
                <w:webHidden/>
              </w:rPr>
              <w:fldChar w:fldCharType="end"/>
            </w:r>
          </w:hyperlink>
        </w:p>
        <w:p w14:paraId="60C92F9C" w14:textId="0FF4B9E7" w:rsidR="00900D23" w:rsidRDefault="00F55C63">
          <w:pPr>
            <w:pStyle w:val="TM1"/>
            <w:rPr>
              <w:rFonts w:asciiTheme="minorHAnsi" w:eastAsiaTheme="minorEastAsia" w:hAnsiTheme="minorHAnsi"/>
              <w:noProof/>
              <w:sz w:val="22"/>
              <w:lang w:val="en-US" w:eastAsia="zh-TW"/>
            </w:rPr>
          </w:pPr>
          <w:hyperlink w:anchor="_Toc118886573" w:history="1">
            <w:r w:rsidR="00900D23" w:rsidRPr="00323853">
              <w:rPr>
                <w:rStyle w:val="Lienhypertexte"/>
                <w:noProof/>
              </w:rPr>
              <w:t>Exigences de la FCC pour le fonctionnement aux Etats-Unis</w:t>
            </w:r>
            <w:r w:rsidR="00900D23">
              <w:rPr>
                <w:noProof/>
                <w:webHidden/>
              </w:rPr>
              <w:tab/>
            </w:r>
            <w:r w:rsidR="00900D23">
              <w:rPr>
                <w:noProof/>
                <w:webHidden/>
              </w:rPr>
              <w:fldChar w:fldCharType="begin"/>
            </w:r>
            <w:r w:rsidR="00900D23">
              <w:rPr>
                <w:noProof/>
                <w:webHidden/>
              </w:rPr>
              <w:instrText xml:space="preserve"> PAGEREF _Toc118886573 \h </w:instrText>
            </w:r>
            <w:r w:rsidR="00900D23">
              <w:rPr>
                <w:noProof/>
                <w:webHidden/>
              </w:rPr>
            </w:r>
            <w:r w:rsidR="00900D23">
              <w:rPr>
                <w:noProof/>
                <w:webHidden/>
              </w:rPr>
              <w:fldChar w:fldCharType="separate"/>
            </w:r>
            <w:r w:rsidR="00900D23">
              <w:rPr>
                <w:noProof/>
                <w:webHidden/>
              </w:rPr>
              <w:t>7</w:t>
            </w:r>
            <w:r w:rsidR="00900D23">
              <w:rPr>
                <w:noProof/>
                <w:webHidden/>
              </w:rPr>
              <w:fldChar w:fldCharType="end"/>
            </w:r>
          </w:hyperlink>
        </w:p>
        <w:p w14:paraId="2134590D" w14:textId="44DC655B" w:rsidR="00900D23" w:rsidRDefault="00F55C63">
          <w:pPr>
            <w:pStyle w:val="TM2"/>
            <w:tabs>
              <w:tab w:val="right" w:leader="dot" w:pos="9350"/>
            </w:tabs>
            <w:rPr>
              <w:rFonts w:asciiTheme="minorHAnsi" w:eastAsiaTheme="minorEastAsia" w:hAnsiTheme="minorHAnsi"/>
              <w:noProof/>
              <w:sz w:val="22"/>
              <w:lang w:val="en-US" w:eastAsia="zh-TW"/>
            </w:rPr>
          </w:pPr>
          <w:hyperlink w:anchor="_Toc118886574" w:history="1">
            <w:r w:rsidR="00900D23" w:rsidRPr="00323853">
              <w:rPr>
                <w:rStyle w:val="Lienhypertexte"/>
                <w:noProof/>
              </w:rPr>
              <w:t>Déclaration de conformité de la FCC</w:t>
            </w:r>
            <w:r w:rsidR="00900D23">
              <w:rPr>
                <w:noProof/>
                <w:webHidden/>
              </w:rPr>
              <w:tab/>
            </w:r>
            <w:r w:rsidR="00900D23">
              <w:rPr>
                <w:noProof/>
                <w:webHidden/>
              </w:rPr>
              <w:fldChar w:fldCharType="begin"/>
            </w:r>
            <w:r w:rsidR="00900D23">
              <w:rPr>
                <w:noProof/>
                <w:webHidden/>
              </w:rPr>
              <w:instrText xml:space="preserve"> PAGEREF _Toc118886574 \h </w:instrText>
            </w:r>
            <w:r w:rsidR="00900D23">
              <w:rPr>
                <w:noProof/>
                <w:webHidden/>
              </w:rPr>
            </w:r>
            <w:r w:rsidR="00900D23">
              <w:rPr>
                <w:noProof/>
                <w:webHidden/>
              </w:rPr>
              <w:fldChar w:fldCharType="separate"/>
            </w:r>
            <w:r w:rsidR="00900D23">
              <w:rPr>
                <w:noProof/>
                <w:webHidden/>
              </w:rPr>
              <w:t>8</w:t>
            </w:r>
            <w:r w:rsidR="00900D23">
              <w:rPr>
                <w:noProof/>
                <w:webHidden/>
              </w:rPr>
              <w:fldChar w:fldCharType="end"/>
            </w:r>
          </w:hyperlink>
        </w:p>
        <w:p w14:paraId="70491858" w14:textId="3594B8C0" w:rsidR="00900D23" w:rsidRDefault="00F55C63">
          <w:pPr>
            <w:pStyle w:val="TM2"/>
            <w:tabs>
              <w:tab w:val="right" w:leader="dot" w:pos="9350"/>
            </w:tabs>
            <w:rPr>
              <w:rFonts w:asciiTheme="minorHAnsi" w:eastAsiaTheme="minorEastAsia" w:hAnsiTheme="minorHAnsi"/>
              <w:noProof/>
              <w:sz w:val="22"/>
              <w:lang w:val="en-US" w:eastAsia="zh-TW"/>
            </w:rPr>
          </w:pPr>
          <w:hyperlink w:anchor="_Toc118886575" w:history="1">
            <w:r w:rsidR="00900D23" w:rsidRPr="00323853">
              <w:rPr>
                <w:rStyle w:val="Lienhypertexte"/>
                <w:noProof/>
              </w:rPr>
              <w:t>Informations de la FCC à destination des utilisateurs</w:t>
            </w:r>
            <w:r w:rsidR="00900D23">
              <w:rPr>
                <w:noProof/>
                <w:webHidden/>
              </w:rPr>
              <w:tab/>
            </w:r>
            <w:r w:rsidR="00900D23">
              <w:rPr>
                <w:noProof/>
                <w:webHidden/>
              </w:rPr>
              <w:fldChar w:fldCharType="begin"/>
            </w:r>
            <w:r w:rsidR="00900D23">
              <w:rPr>
                <w:noProof/>
                <w:webHidden/>
              </w:rPr>
              <w:instrText xml:space="preserve"> PAGEREF _Toc118886575 \h </w:instrText>
            </w:r>
            <w:r w:rsidR="00900D23">
              <w:rPr>
                <w:noProof/>
                <w:webHidden/>
              </w:rPr>
            </w:r>
            <w:r w:rsidR="00900D23">
              <w:rPr>
                <w:noProof/>
                <w:webHidden/>
              </w:rPr>
              <w:fldChar w:fldCharType="separate"/>
            </w:r>
            <w:r w:rsidR="00900D23">
              <w:rPr>
                <w:noProof/>
                <w:webHidden/>
              </w:rPr>
              <w:t>8</w:t>
            </w:r>
            <w:r w:rsidR="00900D23">
              <w:rPr>
                <w:noProof/>
                <w:webHidden/>
              </w:rPr>
              <w:fldChar w:fldCharType="end"/>
            </w:r>
          </w:hyperlink>
        </w:p>
        <w:p w14:paraId="3F37D2E4" w14:textId="0D69A982" w:rsidR="00900D23" w:rsidRDefault="00F55C63">
          <w:pPr>
            <w:pStyle w:val="TM2"/>
            <w:tabs>
              <w:tab w:val="right" w:leader="dot" w:pos="9350"/>
            </w:tabs>
            <w:rPr>
              <w:rFonts w:asciiTheme="minorHAnsi" w:eastAsiaTheme="minorEastAsia" w:hAnsiTheme="minorHAnsi"/>
              <w:noProof/>
              <w:sz w:val="22"/>
              <w:lang w:val="en-US" w:eastAsia="zh-TW"/>
            </w:rPr>
          </w:pPr>
          <w:hyperlink w:anchor="_Toc118886576" w:history="1">
            <w:r w:rsidR="00900D23" w:rsidRPr="00323853">
              <w:rPr>
                <w:rStyle w:val="Lienhypertexte"/>
                <w:noProof/>
              </w:rPr>
              <w:t>Instructions et avertissements de la FCC relatifs aux fréquences radio</w:t>
            </w:r>
            <w:r w:rsidR="00900D23">
              <w:rPr>
                <w:noProof/>
                <w:webHidden/>
              </w:rPr>
              <w:tab/>
            </w:r>
            <w:r w:rsidR="00900D23">
              <w:rPr>
                <w:noProof/>
                <w:webHidden/>
              </w:rPr>
              <w:fldChar w:fldCharType="begin"/>
            </w:r>
            <w:r w:rsidR="00900D23">
              <w:rPr>
                <w:noProof/>
                <w:webHidden/>
              </w:rPr>
              <w:instrText xml:space="preserve"> PAGEREF _Toc118886576 \h </w:instrText>
            </w:r>
            <w:r w:rsidR="00900D23">
              <w:rPr>
                <w:noProof/>
                <w:webHidden/>
              </w:rPr>
            </w:r>
            <w:r w:rsidR="00900D23">
              <w:rPr>
                <w:noProof/>
                <w:webHidden/>
              </w:rPr>
              <w:fldChar w:fldCharType="separate"/>
            </w:r>
            <w:r w:rsidR="00900D23">
              <w:rPr>
                <w:noProof/>
                <w:webHidden/>
              </w:rPr>
              <w:t>8</w:t>
            </w:r>
            <w:r w:rsidR="00900D23">
              <w:rPr>
                <w:noProof/>
                <w:webHidden/>
              </w:rPr>
              <w:fldChar w:fldCharType="end"/>
            </w:r>
          </w:hyperlink>
        </w:p>
        <w:p w14:paraId="5BA25675" w14:textId="6BA9EEF0" w:rsidR="00900D23" w:rsidRDefault="00F55C63">
          <w:pPr>
            <w:pStyle w:val="TM3"/>
            <w:rPr>
              <w:rFonts w:asciiTheme="minorHAnsi" w:eastAsiaTheme="minorEastAsia" w:hAnsiTheme="minorHAnsi"/>
              <w:noProof/>
              <w:sz w:val="22"/>
              <w:lang w:val="en-US" w:eastAsia="zh-TW"/>
            </w:rPr>
          </w:pPr>
          <w:hyperlink w:anchor="_Toc118886577" w:history="1">
            <w:r w:rsidR="00900D23" w:rsidRPr="00323853">
              <w:rPr>
                <w:rStyle w:val="Lienhypertexte"/>
                <w:noProof/>
              </w:rPr>
              <w:t>Utilisation de la sélection du code de pays (équipements de réseau sans fil)</w:t>
            </w:r>
            <w:r w:rsidR="00900D23">
              <w:rPr>
                <w:noProof/>
                <w:webHidden/>
              </w:rPr>
              <w:tab/>
            </w:r>
            <w:r w:rsidR="00900D23">
              <w:rPr>
                <w:noProof/>
                <w:webHidden/>
              </w:rPr>
              <w:fldChar w:fldCharType="begin"/>
            </w:r>
            <w:r w:rsidR="00900D23">
              <w:rPr>
                <w:noProof/>
                <w:webHidden/>
              </w:rPr>
              <w:instrText xml:space="preserve"> PAGEREF _Toc118886577 \h </w:instrText>
            </w:r>
            <w:r w:rsidR="00900D23">
              <w:rPr>
                <w:noProof/>
                <w:webHidden/>
              </w:rPr>
            </w:r>
            <w:r w:rsidR="00900D23">
              <w:rPr>
                <w:noProof/>
                <w:webHidden/>
              </w:rPr>
              <w:fldChar w:fldCharType="separate"/>
            </w:r>
            <w:r w:rsidR="00900D23">
              <w:rPr>
                <w:noProof/>
                <w:webHidden/>
              </w:rPr>
              <w:t>8</w:t>
            </w:r>
            <w:r w:rsidR="00900D23">
              <w:rPr>
                <w:noProof/>
                <w:webHidden/>
              </w:rPr>
              <w:fldChar w:fldCharType="end"/>
            </w:r>
          </w:hyperlink>
        </w:p>
        <w:p w14:paraId="7DDBBA57" w14:textId="04B60732" w:rsidR="00900D23" w:rsidRDefault="00F55C63">
          <w:pPr>
            <w:pStyle w:val="TM3"/>
            <w:rPr>
              <w:rFonts w:asciiTheme="minorHAnsi" w:eastAsiaTheme="minorEastAsia" w:hAnsiTheme="minorHAnsi"/>
              <w:noProof/>
              <w:sz w:val="22"/>
              <w:lang w:val="en-US" w:eastAsia="zh-TW"/>
            </w:rPr>
          </w:pPr>
          <w:hyperlink w:anchor="_Toc118886578" w:history="1">
            <w:r w:rsidR="00900D23" w:rsidRPr="00323853">
              <w:rPr>
                <w:rStyle w:val="Lienhypertexte"/>
                <w:noProof/>
              </w:rPr>
              <w:t>Appareils WiFi 5,9 et 6 GHz</w:t>
            </w:r>
            <w:r w:rsidR="00900D23">
              <w:rPr>
                <w:noProof/>
                <w:webHidden/>
              </w:rPr>
              <w:tab/>
            </w:r>
            <w:r w:rsidR="00900D23">
              <w:rPr>
                <w:noProof/>
                <w:webHidden/>
              </w:rPr>
              <w:fldChar w:fldCharType="begin"/>
            </w:r>
            <w:r w:rsidR="00900D23">
              <w:rPr>
                <w:noProof/>
                <w:webHidden/>
              </w:rPr>
              <w:instrText xml:space="preserve"> PAGEREF _Toc118886578 \h </w:instrText>
            </w:r>
            <w:r w:rsidR="00900D23">
              <w:rPr>
                <w:noProof/>
                <w:webHidden/>
              </w:rPr>
            </w:r>
            <w:r w:rsidR="00900D23">
              <w:rPr>
                <w:noProof/>
                <w:webHidden/>
              </w:rPr>
              <w:fldChar w:fldCharType="separate"/>
            </w:r>
            <w:r w:rsidR="00900D23">
              <w:rPr>
                <w:noProof/>
                <w:webHidden/>
              </w:rPr>
              <w:t>8</w:t>
            </w:r>
            <w:r w:rsidR="00900D23">
              <w:rPr>
                <w:noProof/>
                <w:webHidden/>
              </w:rPr>
              <w:fldChar w:fldCharType="end"/>
            </w:r>
          </w:hyperlink>
        </w:p>
        <w:p w14:paraId="718894C3" w14:textId="3068E3B7" w:rsidR="00900D23" w:rsidRDefault="00F55C63">
          <w:pPr>
            <w:pStyle w:val="TM2"/>
            <w:tabs>
              <w:tab w:val="right" w:leader="dot" w:pos="9350"/>
            </w:tabs>
            <w:rPr>
              <w:rFonts w:asciiTheme="minorHAnsi" w:eastAsiaTheme="minorEastAsia" w:hAnsiTheme="minorHAnsi"/>
              <w:noProof/>
              <w:sz w:val="22"/>
              <w:lang w:val="en-US" w:eastAsia="zh-TW"/>
            </w:rPr>
          </w:pPr>
          <w:hyperlink w:anchor="_Toc118886579" w:history="1">
            <w:r w:rsidR="00900D23" w:rsidRPr="00323853">
              <w:rPr>
                <w:rStyle w:val="Lienhypertexte"/>
                <w:noProof/>
              </w:rPr>
              <w:t>Déclarations de la FCC sur le DAS et l'exposition aux rayonnements radioélectriques</w:t>
            </w:r>
            <w:r w:rsidR="00900D23">
              <w:rPr>
                <w:noProof/>
                <w:webHidden/>
              </w:rPr>
              <w:tab/>
            </w:r>
            <w:r w:rsidR="00900D23">
              <w:rPr>
                <w:noProof/>
                <w:webHidden/>
              </w:rPr>
              <w:fldChar w:fldCharType="begin"/>
            </w:r>
            <w:r w:rsidR="00900D23">
              <w:rPr>
                <w:noProof/>
                <w:webHidden/>
              </w:rPr>
              <w:instrText xml:space="preserve"> PAGEREF _Toc118886579 \h </w:instrText>
            </w:r>
            <w:r w:rsidR="00900D23">
              <w:rPr>
                <w:noProof/>
                <w:webHidden/>
              </w:rPr>
            </w:r>
            <w:r w:rsidR="00900D23">
              <w:rPr>
                <w:noProof/>
                <w:webHidden/>
              </w:rPr>
              <w:fldChar w:fldCharType="separate"/>
            </w:r>
            <w:r w:rsidR="00900D23">
              <w:rPr>
                <w:noProof/>
                <w:webHidden/>
              </w:rPr>
              <w:t>9</w:t>
            </w:r>
            <w:r w:rsidR="00900D23">
              <w:rPr>
                <w:noProof/>
                <w:webHidden/>
              </w:rPr>
              <w:fldChar w:fldCharType="end"/>
            </w:r>
          </w:hyperlink>
        </w:p>
        <w:p w14:paraId="1FBFF21B" w14:textId="74683B01" w:rsidR="00900D23" w:rsidRDefault="00F55C63">
          <w:pPr>
            <w:pStyle w:val="TM3"/>
            <w:rPr>
              <w:rFonts w:asciiTheme="minorHAnsi" w:eastAsiaTheme="minorEastAsia" w:hAnsiTheme="minorHAnsi"/>
              <w:noProof/>
              <w:sz w:val="22"/>
              <w:lang w:val="en-US" w:eastAsia="zh-TW"/>
            </w:rPr>
          </w:pPr>
          <w:hyperlink w:anchor="_Toc118886580" w:history="1">
            <w:r w:rsidR="00900D23" w:rsidRPr="00323853">
              <w:rPr>
                <w:rStyle w:val="Lienhypertexte"/>
                <w:noProof/>
              </w:rPr>
              <w:t>Les informations de cette rubrique s'appliquent aux produits qui transmettent des données ou communiquent sans fil - Déclaration sur le DAS</w:t>
            </w:r>
            <w:r w:rsidR="00900D23">
              <w:rPr>
                <w:noProof/>
                <w:webHidden/>
              </w:rPr>
              <w:tab/>
            </w:r>
            <w:r w:rsidR="00900D23">
              <w:rPr>
                <w:noProof/>
                <w:webHidden/>
              </w:rPr>
              <w:fldChar w:fldCharType="begin"/>
            </w:r>
            <w:r w:rsidR="00900D23">
              <w:rPr>
                <w:noProof/>
                <w:webHidden/>
              </w:rPr>
              <w:instrText xml:space="preserve"> PAGEREF _Toc118886580 \h </w:instrText>
            </w:r>
            <w:r w:rsidR="00900D23">
              <w:rPr>
                <w:noProof/>
                <w:webHidden/>
              </w:rPr>
            </w:r>
            <w:r w:rsidR="00900D23">
              <w:rPr>
                <w:noProof/>
                <w:webHidden/>
              </w:rPr>
              <w:fldChar w:fldCharType="separate"/>
            </w:r>
            <w:r w:rsidR="00900D23">
              <w:rPr>
                <w:noProof/>
                <w:webHidden/>
              </w:rPr>
              <w:t>9</w:t>
            </w:r>
            <w:r w:rsidR="00900D23">
              <w:rPr>
                <w:noProof/>
                <w:webHidden/>
              </w:rPr>
              <w:fldChar w:fldCharType="end"/>
            </w:r>
          </w:hyperlink>
        </w:p>
        <w:p w14:paraId="21B7B3A0" w14:textId="2CCA3F35" w:rsidR="00900D23" w:rsidRDefault="00F55C63">
          <w:pPr>
            <w:pStyle w:val="TM3"/>
            <w:rPr>
              <w:rFonts w:asciiTheme="minorHAnsi" w:eastAsiaTheme="minorEastAsia" w:hAnsiTheme="minorHAnsi"/>
              <w:noProof/>
              <w:sz w:val="22"/>
              <w:lang w:val="en-US" w:eastAsia="zh-TW"/>
            </w:rPr>
          </w:pPr>
          <w:hyperlink w:anchor="_Toc118886581" w:history="1">
            <w:r w:rsidR="00900D23" w:rsidRPr="00323853">
              <w:rPr>
                <w:rStyle w:val="Lienhypertexte"/>
                <w:noProof/>
              </w:rPr>
              <w:t>Déclaration de limite d'exposition maximale admissible</w:t>
            </w:r>
            <w:r w:rsidR="00900D23">
              <w:rPr>
                <w:noProof/>
                <w:webHidden/>
              </w:rPr>
              <w:tab/>
            </w:r>
            <w:r w:rsidR="00900D23">
              <w:rPr>
                <w:noProof/>
                <w:webHidden/>
              </w:rPr>
              <w:fldChar w:fldCharType="begin"/>
            </w:r>
            <w:r w:rsidR="00900D23">
              <w:rPr>
                <w:noProof/>
                <w:webHidden/>
              </w:rPr>
              <w:instrText xml:space="preserve"> PAGEREF _Toc118886581 \h </w:instrText>
            </w:r>
            <w:r w:rsidR="00900D23">
              <w:rPr>
                <w:noProof/>
                <w:webHidden/>
              </w:rPr>
            </w:r>
            <w:r w:rsidR="00900D23">
              <w:rPr>
                <w:noProof/>
                <w:webHidden/>
              </w:rPr>
              <w:fldChar w:fldCharType="separate"/>
            </w:r>
            <w:r w:rsidR="00900D23">
              <w:rPr>
                <w:noProof/>
                <w:webHidden/>
              </w:rPr>
              <w:t>9</w:t>
            </w:r>
            <w:r w:rsidR="00900D23">
              <w:rPr>
                <w:noProof/>
                <w:webHidden/>
              </w:rPr>
              <w:fldChar w:fldCharType="end"/>
            </w:r>
          </w:hyperlink>
        </w:p>
        <w:p w14:paraId="1F72D559" w14:textId="05604AFA" w:rsidR="00900D23" w:rsidRDefault="00F55C63">
          <w:pPr>
            <w:pStyle w:val="TM2"/>
            <w:tabs>
              <w:tab w:val="right" w:leader="dot" w:pos="9350"/>
            </w:tabs>
            <w:rPr>
              <w:rFonts w:asciiTheme="minorHAnsi" w:eastAsiaTheme="minorEastAsia" w:hAnsiTheme="minorHAnsi"/>
              <w:noProof/>
              <w:sz w:val="22"/>
              <w:lang w:val="en-US" w:eastAsia="zh-TW"/>
            </w:rPr>
          </w:pPr>
          <w:hyperlink w:anchor="_Toc118886582" w:history="1">
            <w:r w:rsidR="00900D23" w:rsidRPr="00323853">
              <w:rPr>
                <w:rStyle w:val="Lienhypertexte"/>
                <w:noProof/>
              </w:rPr>
              <w:t>Précautions spécifiques en matière de compatibilité électromagnétique (CEM)</w:t>
            </w:r>
            <w:r w:rsidR="00900D23">
              <w:rPr>
                <w:noProof/>
                <w:webHidden/>
              </w:rPr>
              <w:tab/>
            </w:r>
            <w:r w:rsidR="00900D23">
              <w:rPr>
                <w:noProof/>
                <w:webHidden/>
              </w:rPr>
              <w:fldChar w:fldCharType="begin"/>
            </w:r>
            <w:r w:rsidR="00900D23">
              <w:rPr>
                <w:noProof/>
                <w:webHidden/>
              </w:rPr>
              <w:instrText xml:space="preserve"> PAGEREF _Toc118886582 \h </w:instrText>
            </w:r>
            <w:r w:rsidR="00900D23">
              <w:rPr>
                <w:noProof/>
                <w:webHidden/>
              </w:rPr>
            </w:r>
            <w:r w:rsidR="00900D23">
              <w:rPr>
                <w:noProof/>
                <w:webHidden/>
              </w:rPr>
              <w:fldChar w:fldCharType="separate"/>
            </w:r>
            <w:r w:rsidR="00900D23">
              <w:rPr>
                <w:noProof/>
                <w:webHidden/>
              </w:rPr>
              <w:t>9</w:t>
            </w:r>
            <w:r w:rsidR="00900D23">
              <w:rPr>
                <w:noProof/>
                <w:webHidden/>
              </w:rPr>
              <w:fldChar w:fldCharType="end"/>
            </w:r>
          </w:hyperlink>
        </w:p>
        <w:p w14:paraId="136F711B" w14:textId="5042D42D" w:rsidR="00900D23" w:rsidRDefault="00F55C63">
          <w:pPr>
            <w:pStyle w:val="TM3"/>
            <w:rPr>
              <w:rFonts w:asciiTheme="minorHAnsi" w:eastAsiaTheme="minorEastAsia" w:hAnsiTheme="minorHAnsi"/>
              <w:noProof/>
              <w:sz w:val="22"/>
              <w:lang w:val="en-US" w:eastAsia="zh-TW"/>
            </w:rPr>
          </w:pPr>
          <w:hyperlink w:anchor="_Toc118886583" w:history="1">
            <w:r w:rsidR="00900D23" w:rsidRPr="00323853">
              <w:rPr>
                <w:rStyle w:val="Lienhypertexte"/>
                <w:noProof/>
              </w:rPr>
              <w:t>Produits de classe B</w:t>
            </w:r>
            <w:r w:rsidR="00900D23">
              <w:rPr>
                <w:noProof/>
                <w:webHidden/>
              </w:rPr>
              <w:tab/>
            </w:r>
            <w:r w:rsidR="00900D23">
              <w:rPr>
                <w:noProof/>
                <w:webHidden/>
              </w:rPr>
              <w:fldChar w:fldCharType="begin"/>
            </w:r>
            <w:r w:rsidR="00900D23">
              <w:rPr>
                <w:noProof/>
                <w:webHidden/>
              </w:rPr>
              <w:instrText xml:space="preserve"> PAGEREF _Toc118886583 \h </w:instrText>
            </w:r>
            <w:r w:rsidR="00900D23">
              <w:rPr>
                <w:noProof/>
                <w:webHidden/>
              </w:rPr>
            </w:r>
            <w:r w:rsidR="00900D23">
              <w:rPr>
                <w:noProof/>
                <w:webHidden/>
              </w:rPr>
              <w:fldChar w:fldCharType="separate"/>
            </w:r>
            <w:r w:rsidR="00900D23">
              <w:rPr>
                <w:noProof/>
                <w:webHidden/>
              </w:rPr>
              <w:t>9</w:t>
            </w:r>
            <w:r w:rsidR="00900D23">
              <w:rPr>
                <w:noProof/>
                <w:webHidden/>
              </w:rPr>
              <w:fldChar w:fldCharType="end"/>
            </w:r>
          </w:hyperlink>
        </w:p>
        <w:p w14:paraId="3552CE02" w14:textId="0A667AE2" w:rsidR="00900D23" w:rsidRDefault="00F55C63">
          <w:pPr>
            <w:pStyle w:val="TM3"/>
            <w:rPr>
              <w:rFonts w:asciiTheme="minorHAnsi" w:eastAsiaTheme="minorEastAsia" w:hAnsiTheme="minorHAnsi"/>
              <w:noProof/>
              <w:sz w:val="22"/>
              <w:lang w:val="en-US" w:eastAsia="zh-TW"/>
            </w:rPr>
          </w:pPr>
          <w:hyperlink w:anchor="_Toc118886584" w:history="1">
            <w:r w:rsidR="00900D23" w:rsidRPr="00323853">
              <w:rPr>
                <w:rStyle w:val="Lienhypertexte"/>
                <w:noProof/>
              </w:rPr>
              <w:t>Produits de classe A</w:t>
            </w:r>
            <w:r w:rsidR="00900D23">
              <w:rPr>
                <w:noProof/>
                <w:webHidden/>
              </w:rPr>
              <w:tab/>
            </w:r>
            <w:r w:rsidR="00900D23">
              <w:rPr>
                <w:noProof/>
                <w:webHidden/>
              </w:rPr>
              <w:fldChar w:fldCharType="begin"/>
            </w:r>
            <w:r w:rsidR="00900D23">
              <w:rPr>
                <w:noProof/>
                <w:webHidden/>
              </w:rPr>
              <w:instrText xml:space="preserve"> PAGEREF _Toc118886584 \h </w:instrText>
            </w:r>
            <w:r w:rsidR="00900D23">
              <w:rPr>
                <w:noProof/>
                <w:webHidden/>
              </w:rPr>
            </w:r>
            <w:r w:rsidR="00900D23">
              <w:rPr>
                <w:noProof/>
                <w:webHidden/>
              </w:rPr>
              <w:fldChar w:fldCharType="separate"/>
            </w:r>
            <w:r w:rsidR="00900D23">
              <w:rPr>
                <w:noProof/>
                <w:webHidden/>
              </w:rPr>
              <w:t>10</w:t>
            </w:r>
            <w:r w:rsidR="00900D23">
              <w:rPr>
                <w:noProof/>
                <w:webHidden/>
              </w:rPr>
              <w:fldChar w:fldCharType="end"/>
            </w:r>
          </w:hyperlink>
        </w:p>
        <w:p w14:paraId="44B5FB38" w14:textId="3451D326" w:rsidR="00900D23" w:rsidRDefault="00F55C63">
          <w:pPr>
            <w:pStyle w:val="TM2"/>
            <w:tabs>
              <w:tab w:val="right" w:leader="dot" w:pos="9350"/>
            </w:tabs>
            <w:rPr>
              <w:rFonts w:asciiTheme="minorHAnsi" w:eastAsiaTheme="minorEastAsia" w:hAnsiTheme="minorHAnsi"/>
              <w:noProof/>
              <w:sz w:val="22"/>
              <w:lang w:val="en-US" w:eastAsia="zh-TW"/>
            </w:rPr>
          </w:pPr>
          <w:hyperlink w:anchor="_Toc118886585" w:history="1">
            <w:r w:rsidR="00900D23" w:rsidRPr="00323853">
              <w:rPr>
                <w:rStyle w:val="Lienhypertexte"/>
                <w:noProof/>
              </w:rPr>
              <w:t>Avis relatif à l'article 68 de la FCC</w:t>
            </w:r>
            <w:r w:rsidR="00900D23">
              <w:rPr>
                <w:noProof/>
                <w:webHidden/>
              </w:rPr>
              <w:tab/>
            </w:r>
            <w:r w:rsidR="00900D23">
              <w:rPr>
                <w:noProof/>
                <w:webHidden/>
              </w:rPr>
              <w:fldChar w:fldCharType="begin"/>
            </w:r>
            <w:r w:rsidR="00900D23">
              <w:rPr>
                <w:noProof/>
                <w:webHidden/>
              </w:rPr>
              <w:instrText xml:space="preserve"> PAGEREF _Toc118886585 \h </w:instrText>
            </w:r>
            <w:r w:rsidR="00900D23">
              <w:rPr>
                <w:noProof/>
                <w:webHidden/>
              </w:rPr>
            </w:r>
            <w:r w:rsidR="00900D23">
              <w:rPr>
                <w:noProof/>
                <w:webHidden/>
              </w:rPr>
              <w:fldChar w:fldCharType="separate"/>
            </w:r>
            <w:r w:rsidR="00900D23">
              <w:rPr>
                <w:noProof/>
                <w:webHidden/>
              </w:rPr>
              <w:t>10</w:t>
            </w:r>
            <w:r w:rsidR="00900D23">
              <w:rPr>
                <w:noProof/>
                <w:webHidden/>
              </w:rPr>
              <w:fldChar w:fldCharType="end"/>
            </w:r>
          </w:hyperlink>
        </w:p>
        <w:p w14:paraId="14735AAE" w14:textId="2B515A82" w:rsidR="00900D23" w:rsidRDefault="00F55C63">
          <w:pPr>
            <w:pStyle w:val="TM1"/>
            <w:rPr>
              <w:rFonts w:asciiTheme="minorHAnsi" w:eastAsiaTheme="minorEastAsia" w:hAnsiTheme="minorHAnsi"/>
              <w:noProof/>
              <w:sz w:val="22"/>
              <w:lang w:val="en-US" w:eastAsia="zh-TW"/>
            </w:rPr>
          </w:pPr>
          <w:hyperlink w:anchor="_Toc118886586" w:history="1">
            <w:r w:rsidR="00900D23" w:rsidRPr="00323853">
              <w:rPr>
                <w:rStyle w:val="Lienhypertexte"/>
                <w:noProof/>
              </w:rPr>
              <w:t>Innovation, Science and Economic Development Canada (ISED) Regulations - English</w:t>
            </w:r>
            <w:r w:rsidR="00900D23">
              <w:rPr>
                <w:noProof/>
                <w:webHidden/>
              </w:rPr>
              <w:tab/>
            </w:r>
            <w:r w:rsidR="00900D23">
              <w:rPr>
                <w:noProof/>
                <w:webHidden/>
              </w:rPr>
              <w:fldChar w:fldCharType="begin"/>
            </w:r>
            <w:r w:rsidR="00900D23">
              <w:rPr>
                <w:noProof/>
                <w:webHidden/>
              </w:rPr>
              <w:instrText xml:space="preserve"> PAGEREF _Toc118886586 \h </w:instrText>
            </w:r>
            <w:r w:rsidR="00900D23">
              <w:rPr>
                <w:noProof/>
                <w:webHidden/>
              </w:rPr>
            </w:r>
            <w:r w:rsidR="00900D23">
              <w:rPr>
                <w:noProof/>
                <w:webHidden/>
              </w:rPr>
              <w:fldChar w:fldCharType="separate"/>
            </w:r>
            <w:r w:rsidR="00900D23">
              <w:rPr>
                <w:noProof/>
                <w:webHidden/>
              </w:rPr>
              <w:t>10</w:t>
            </w:r>
            <w:r w:rsidR="00900D23">
              <w:rPr>
                <w:noProof/>
                <w:webHidden/>
              </w:rPr>
              <w:fldChar w:fldCharType="end"/>
            </w:r>
          </w:hyperlink>
        </w:p>
        <w:p w14:paraId="286A75B1" w14:textId="1A496135" w:rsidR="00900D23" w:rsidRDefault="00F55C63">
          <w:pPr>
            <w:pStyle w:val="TM2"/>
            <w:tabs>
              <w:tab w:val="right" w:leader="dot" w:pos="9350"/>
            </w:tabs>
            <w:rPr>
              <w:rFonts w:asciiTheme="minorHAnsi" w:eastAsiaTheme="minorEastAsia" w:hAnsiTheme="minorHAnsi"/>
              <w:noProof/>
              <w:sz w:val="22"/>
              <w:lang w:val="en-US" w:eastAsia="zh-TW"/>
            </w:rPr>
          </w:pPr>
          <w:hyperlink w:anchor="_Toc118886587" w:history="1">
            <w:r w:rsidR="00900D23" w:rsidRPr="00323853">
              <w:rPr>
                <w:rStyle w:val="Lienhypertexte"/>
                <w:noProof/>
              </w:rPr>
              <w:t>Avertissements et instructions relatifs aux fréquences radio</w:t>
            </w:r>
            <w:r w:rsidR="00900D23">
              <w:rPr>
                <w:noProof/>
                <w:webHidden/>
              </w:rPr>
              <w:tab/>
            </w:r>
            <w:r w:rsidR="00900D23">
              <w:rPr>
                <w:noProof/>
                <w:webHidden/>
              </w:rPr>
              <w:fldChar w:fldCharType="begin"/>
            </w:r>
            <w:r w:rsidR="00900D23">
              <w:rPr>
                <w:noProof/>
                <w:webHidden/>
              </w:rPr>
              <w:instrText xml:space="preserve"> PAGEREF _Toc118886587 \h </w:instrText>
            </w:r>
            <w:r w:rsidR="00900D23">
              <w:rPr>
                <w:noProof/>
                <w:webHidden/>
              </w:rPr>
            </w:r>
            <w:r w:rsidR="00900D23">
              <w:rPr>
                <w:noProof/>
                <w:webHidden/>
              </w:rPr>
              <w:fldChar w:fldCharType="separate"/>
            </w:r>
            <w:r w:rsidR="00900D23">
              <w:rPr>
                <w:noProof/>
                <w:webHidden/>
              </w:rPr>
              <w:t>10</w:t>
            </w:r>
            <w:r w:rsidR="00900D23">
              <w:rPr>
                <w:noProof/>
                <w:webHidden/>
              </w:rPr>
              <w:fldChar w:fldCharType="end"/>
            </w:r>
          </w:hyperlink>
        </w:p>
        <w:p w14:paraId="1731CEC9" w14:textId="15C0A580" w:rsidR="00900D23" w:rsidRDefault="00F55C63">
          <w:pPr>
            <w:pStyle w:val="TM2"/>
            <w:tabs>
              <w:tab w:val="right" w:leader="dot" w:pos="9350"/>
            </w:tabs>
            <w:rPr>
              <w:rFonts w:asciiTheme="minorHAnsi" w:eastAsiaTheme="minorEastAsia" w:hAnsiTheme="minorHAnsi"/>
              <w:noProof/>
              <w:sz w:val="22"/>
              <w:lang w:val="en-US" w:eastAsia="zh-TW"/>
            </w:rPr>
          </w:pPr>
          <w:hyperlink w:anchor="_Toc118886588" w:history="1">
            <w:r w:rsidR="00900D23" w:rsidRPr="00323853">
              <w:rPr>
                <w:rStyle w:val="Lienhypertexte"/>
                <w:noProof/>
              </w:rPr>
              <w:t>REMARQUE IMPORTANTE : Déclaration concernant l'exposition aux rayonnements</w:t>
            </w:r>
            <w:r w:rsidR="00900D23">
              <w:rPr>
                <w:noProof/>
                <w:webHidden/>
              </w:rPr>
              <w:tab/>
            </w:r>
            <w:r w:rsidR="00900D23">
              <w:rPr>
                <w:noProof/>
                <w:webHidden/>
              </w:rPr>
              <w:fldChar w:fldCharType="begin"/>
            </w:r>
            <w:r w:rsidR="00900D23">
              <w:rPr>
                <w:noProof/>
                <w:webHidden/>
              </w:rPr>
              <w:instrText xml:space="preserve"> PAGEREF _Toc118886588 \h </w:instrText>
            </w:r>
            <w:r w:rsidR="00900D23">
              <w:rPr>
                <w:noProof/>
                <w:webHidden/>
              </w:rPr>
            </w:r>
            <w:r w:rsidR="00900D23">
              <w:rPr>
                <w:noProof/>
                <w:webHidden/>
              </w:rPr>
              <w:fldChar w:fldCharType="separate"/>
            </w:r>
            <w:r w:rsidR="00900D23">
              <w:rPr>
                <w:noProof/>
                <w:webHidden/>
              </w:rPr>
              <w:t>11</w:t>
            </w:r>
            <w:r w:rsidR="00900D23">
              <w:rPr>
                <w:noProof/>
                <w:webHidden/>
              </w:rPr>
              <w:fldChar w:fldCharType="end"/>
            </w:r>
          </w:hyperlink>
        </w:p>
        <w:p w14:paraId="6CD6B36F" w14:textId="6338B160" w:rsidR="00900D23" w:rsidRDefault="00F55C63">
          <w:pPr>
            <w:pStyle w:val="TM3"/>
            <w:rPr>
              <w:rFonts w:asciiTheme="minorHAnsi" w:eastAsiaTheme="minorEastAsia" w:hAnsiTheme="minorHAnsi"/>
              <w:noProof/>
              <w:sz w:val="22"/>
              <w:lang w:val="en-US" w:eastAsia="zh-TW"/>
            </w:rPr>
          </w:pPr>
          <w:hyperlink w:anchor="_Toc118886589" w:history="1">
            <w:r w:rsidR="00900D23" w:rsidRPr="00323853">
              <w:rPr>
                <w:rStyle w:val="Lienhypertexte"/>
                <w:noProof/>
              </w:rPr>
              <w:t>Avertissement relatif au DAS :</w:t>
            </w:r>
            <w:r w:rsidR="00900D23">
              <w:rPr>
                <w:noProof/>
                <w:webHidden/>
              </w:rPr>
              <w:tab/>
            </w:r>
            <w:r w:rsidR="00900D23">
              <w:rPr>
                <w:noProof/>
                <w:webHidden/>
              </w:rPr>
              <w:fldChar w:fldCharType="begin"/>
            </w:r>
            <w:r w:rsidR="00900D23">
              <w:rPr>
                <w:noProof/>
                <w:webHidden/>
              </w:rPr>
              <w:instrText xml:space="preserve"> PAGEREF _Toc118886589 \h </w:instrText>
            </w:r>
            <w:r w:rsidR="00900D23">
              <w:rPr>
                <w:noProof/>
                <w:webHidden/>
              </w:rPr>
            </w:r>
            <w:r w:rsidR="00900D23">
              <w:rPr>
                <w:noProof/>
                <w:webHidden/>
              </w:rPr>
              <w:fldChar w:fldCharType="separate"/>
            </w:r>
            <w:r w:rsidR="00900D23">
              <w:rPr>
                <w:noProof/>
                <w:webHidden/>
              </w:rPr>
              <w:t>11</w:t>
            </w:r>
            <w:r w:rsidR="00900D23">
              <w:rPr>
                <w:noProof/>
                <w:webHidden/>
              </w:rPr>
              <w:fldChar w:fldCharType="end"/>
            </w:r>
          </w:hyperlink>
        </w:p>
        <w:p w14:paraId="03AE8EEE" w14:textId="35DE7802" w:rsidR="00900D23" w:rsidRDefault="00F55C63">
          <w:pPr>
            <w:pStyle w:val="TM3"/>
            <w:rPr>
              <w:rFonts w:asciiTheme="minorHAnsi" w:eastAsiaTheme="minorEastAsia" w:hAnsiTheme="minorHAnsi"/>
              <w:noProof/>
              <w:sz w:val="22"/>
              <w:lang w:val="en-US" w:eastAsia="zh-TW"/>
            </w:rPr>
          </w:pPr>
          <w:hyperlink w:anchor="_Toc118886590" w:history="1">
            <w:r w:rsidR="00900D23" w:rsidRPr="00323853">
              <w:rPr>
                <w:rStyle w:val="Lienhypertexte"/>
                <w:noProof/>
              </w:rPr>
              <w:t>Déclaration de limite d'exposition maximale admissible</w:t>
            </w:r>
            <w:r w:rsidR="00900D23">
              <w:rPr>
                <w:noProof/>
                <w:webHidden/>
              </w:rPr>
              <w:tab/>
            </w:r>
            <w:r w:rsidR="00900D23">
              <w:rPr>
                <w:noProof/>
                <w:webHidden/>
              </w:rPr>
              <w:fldChar w:fldCharType="begin"/>
            </w:r>
            <w:r w:rsidR="00900D23">
              <w:rPr>
                <w:noProof/>
                <w:webHidden/>
              </w:rPr>
              <w:instrText xml:space="preserve"> PAGEREF _Toc118886590 \h </w:instrText>
            </w:r>
            <w:r w:rsidR="00900D23">
              <w:rPr>
                <w:noProof/>
                <w:webHidden/>
              </w:rPr>
            </w:r>
            <w:r w:rsidR="00900D23">
              <w:rPr>
                <w:noProof/>
                <w:webHidden/>
              </w:rPr>
              <w:fldChar w:fldCharType="separate"/>
            </w:r>
            <w:r w:rsidR="00900D23">
              <w:rPr>
                <w:noProof/>
                <w:webHidden/>
              </w:rPr>
              <w:t>11</w:t>
            </w:r>
            <w:r w:rsidR="00900D23">
              <w:rPr>
                <w:noProof/>
                <w:webHidden/>
              </w:rPr>
              <w:fldChar w:fldCharType="end"/>
            </w:r>
          </w:hyperlink>
        </w:p>
        <w:p w14:paraId="5AADFFA0" w14:textId="35B77C2F" w:rsidR="00900D23" w:rsidRDefault="00F55C63">
          <w:pPr>
            <w:pStyle w:val="TM2"/>
            <w:tabs>
              <w:tab w:val="right" w:leader="dot" w:pos="9350"/>
            </w:tabs>
            <w:rPr>
              <w:rFonts w:asciiTheme="minorHAnsi" w:eastAsiaTheme="minorEastAsia" w:hAnsiTheme="minorHAnsi"/>
              <w:noProof/>
              <w:sz w:val="22"/>
              <w:lang w:val="en-US" w:eastAsia="zh-TW"/>
            </w:rPr>
          </w:pPr>
          <w:hyperlink w:anchor="_Toc118886591" w:history="1">
            <w:r w:rsidR="00900D23" w:rsidRPr="00323853">
              <w:rPr>
                <w:rStyle w:val="Lienhypertexte"/>
                <w:noProof/>
              </w:rPr>
              <w:t>Règlement 522/20 de l'Ontario</w:t>
            </w:r>
            <w:r w:rsidR="00900D23">
              <w:rPr>
                <w:noProof/>
                <w:webHidden/>
              </w:rPr>
              <w:tab/>
            </w:r>
            <w:r w:rsidR="00900D23">
              <w:rPr>
                <w:noProof/>
                <w:webHidden/>
              </w:rPr>
              <w:fldChar w:fldCharType="begin"/>
            </w:r>
            <w:r w:rsidR="00900D23">
              <w:rPr>
                <w:noProof/>
                <w:webHidden/>
              </w:rPr>
              <w:instrText xml:space="preserve"> PAGEREF _Toc118886591 \h </w:instrText>
            </w:r>
            <w:r w:rsidR="00900D23">
              <w:rPr>
                <w:noProof/>
                <w:webHidden/>
              </w:rPr>
            </w:r>
            <w:r w:rsidR="00900D23">
              <w:rPr>
                <w:noProof/>
                <w:webHidden/>
              </w:rPr>
              <w:fldChar w:fldCharType="separate"/>
            </w:r>
            <w:r w:rsidR="00900D23">
              <w:rPr>
                <w:noProof/>
                <w:webHidden/>
              </w:rPr>
              <w:t>12</w:t>
            </w:r>
            <w:r w:rsidR="00900D23">
              <w:rPr>
                <w:noProof/>
                <w:webHidden/>
              </w:rPr>
              <w:fldChar w:fldCharType="end"/>
            </w:r>
          </w:hyperlink>
        </w:p>
        <w:p w14:paraId="60347BAF" w14:textId="72B6DE31" w:rsidR="00900D23" w:rsidRDefault="00F55C63">
          <w:pPr>
            <w:pStyle w:val="TM1"/>
            <w:rPr>
              <w:rFonts w:asciiTheme="minorHAnsi" w:eastAsiaTheme="minorEastAsia" w:hAnsiTheme="minorHAnsi"/>
              <w:noProof/>
              <w:sz w:val="22"/>
              <w:lang w:val="en-US" w:eastAsia="zh-TW"/>
            </w:rPr>
          </w:pPr>
          <w:hyperlink w:anchor="_Toc118886592" w:history="1">
            <w:r w:rsidR="00900D23" w:rsidRPr="00323853">
              <w:rPr>
                <w:rStyle w:val="Lienhypertexte"/>
                <w:noProof/>
              </w:rPr>
              <w:t>Réglementations du ministère Innovation, Sciences et Développement économique Canada (ISDE) – français</w:t>
            </w:r>
            <w:r w:rsidR="00900D23">
              <w:rPr>
                <w:noProof/>
                <w:webHidden/>
              </w:rPr>
              <w:tab/>
            </w:r>
            <w:r w:rsidR="00900D23">
              <w:rPr>
                <w:noProof/>
                <w:webHidden/>
              </w:rPr>
              <w:fldChar w:fldCharType="begin"/>
            </w:r>
            <w:r w:rsidR="00900D23">
              <w:rPr>
                <w:noProof/>
                <w:webHidden/>
              </w:rPr>
              <w:instrText xml:space="preserve"> PAGEREF _Toc118886592 \h </w:instrText>
            </w:r>
            <w:r w:rsidR="00900D23">
              <w:rPr>
                <w:noProof/>
                <w:webHidden/>
              </w:rPr>
            </w:r>
            <w:r w:rsidR="00900D23">
              <w:rPr>
                <w:noProof/>
                <w:webHidden/>
              </w:rPr>
              <w:fldChar w:fldCharType="separate"/>
            </w:r>
            <w:r w:rsidR="00900D23">
              <w:rPr>
                <w:noProof/>
                <w:webHidden/>
              </w:rPr>
              <w:t>12</w:t>
            </w:r>
            <w:r w:rsidR="00900D23">
              <w:rPr>
                <w:noProof/>
                <w:webHidden/>
              </w:rPr>
              <w:fldChar w:fldCharType="end"/>
            </w:r>
          </w:hyperlink>
        </w:p>
        <w:p w14:paraId="5879CB41" w14:textId="103A10BB" w:rsidR="00900D23" w:rsidRDefault="00F55C63">
          <w:pPr>
            <w:pStyle w:val="TM2"/>
            <w:tabs>
              <w:tab w:val="right" w:leader="dot" w:pos="9350"/>
            </w:tabs>
            <w:rPr>
              <w:rFonts w:asciiTheme="minorHAnsi" w:eastAsiaTheme="minorEastAsia" w:hAnsiTheme="minorHAnsi"/>
              <w:noProof/>
              <w:sz w:val="22"/>
              <w:lang w:val="en-US" w:eastAsia="zh-TW"/>
            </w:rPr>
          </w:pPr>
          <w:hyperlink w:anchor="_Toc118886593" w:history="1">
            <w:r w:rsidR="00900D23" w:rsidRPr="00323853">
              <w:rPr>
                <w:rStyle w:val="Lienhypertexte"/>
                <w:noProof/>
              </w:rPr>
              <w:t>Avertissements et instructions relatifs aux fréquences radio</w:t>
            </w:r>
            <w:r w:rsidR="00900D23">
              <w:rPr>
                <w:noProof/>
                <w:webHidden/>
              </w:rPr>
              <w:tab/>
            </w:r>
            <w:r w:rsidR="00900D23">
              <w:rPr>
                <w:noProof/>
                <w:webHidden/>
              </w:rPr>
              <w:fldChar w:fldCharType="begin"/>
            </w:r>
            <w:r w:rsidR="00900D23">
              <w:rPr>
                <w:noProof/>
                <w:webHidden/>
              </w:rPr>
              <w:instrText xml:space="preserve"> PAGEREF _Toc118886593 \h </w:instrText>
            </w:r>
            <w:r w:rsidR="00900D23">
              <w:rPr>
                <w:noProof/>
                <w:webHidden/>
              </w:rPr>
            </w:r>
            <w:r w:rsidR="00900D23">
              <w:rPr>
                <w:noProof/>
                <w:webHidden/>
              </w:rPr>
              <w:fldChar w:fldCharType="separate"/>
            </w:r>
            <w:r w:rsidR="00900D23">
              <w:rPr>
                <w:noProof/>
                <w:webHidden/>
              </w:rPr>
              <w:t>12</w:t>
            </w:r>
            <w:r w:rsidR="00900D23">
              <w:rPr>
                <w:noProof/>
                <w:webHidden/>
              </w:rPr>
              <w:fldChar w:fldCharType="end"/>
            </w:r>
          </w:hyperlink>
        </w:p>
        <w:p w14:paraId="53775EEB" w14:textId="033EA7E4" w:rsidR="00900D23" w:rsidRDefault="00F55C63">
          <w:pPr>
            <w:pStyle w:val="TM2"/>
            <w:tabs>
              <w:tab w:val="right" w:leader="dot" w:pos="9350"/>
            </w:tabs>
            <w:rPr>
              <w:rFonts w:asciiTheme="minorHAnsi" w:eastAsiaTheme="minorEastAsia" w:hAnsiTheme="minorHAnsi"/>
              <w:noProof/>
              <w:sz w:val="22"/>
              <w:lang w:val="en-US" w:eastAsia="zh-TW"/>
            </w:rPr>
          </w:pPr>
          <w:hyperlink w:anchor="_Toc118886594" w:history="1">
            <w:r w:rsidR="00900D23" w:rsidRPr="00323853">
              <w:rPr>
                <w:rStyle w:val="Lienhypertexte"/>
                <w:noProof/>
              </w:rPr>
              <w:t>REMARQUE IMPORTANTE : Déclaration concernant l'exposition aux rayonnements</w:t>
            </w:r>
            <w:r w:rsidR="00900D23">
              <w:rPr>
                <w:noProof/>
                <w:webHidden/>
              </w:rPr>
              <w:tab/>
            </w:r>
            <w:r w:rsidR="00900D23">
              <w:rPr>
                <w:noProof/>
                <w:webHidden/>
              </w:rPr>
              <w:fldChar w:fldCharType="begin"/>
            </w:r>
            <w:r w:rsidR="00900D23">
              <w:rPr>
                <w:noProof/>
                <w:webHidden/>
              </w:rPr>
              <w:instrText xml:space="preserve"> PAGEREF _Toc118886594 \h </w:instrText>
            </w:r>
            <w:r w:rsidR="00900D23">
              <w:rPr>
                <w:noProof/>
                <w:webHidden/>
              </w:rPr>
            </w:r>
            <w:r w:rsidR="00900D23">
              <w:rPr>
                <w:noProof/>
                <w:webHidden/>
              </w:rPr>
              <w:fldChar w:fldCharType="separate"/>
            </w:r>
            <w:r w:rsidR="00900D23">
              <w:rPr>
                <w:noProof/>
                <w:webHidden/>
              </w:rPr>
              <w:t>13</w:t>
            </w:r>
            <w:r w:rsidR="00900D23">
              <w:rPr>
                <w:noProof/>
                <w:webHidden/>
              </w:rPr>
              <w:fldChar w:fldCharType="end"/>
            </w:r>
          </w:hyperlink>
        </w:p>
        <w:p w14:paraId="25814333" w14:textId="6FE33280" w:rsidR="00900D23" w:rsidRDefault="00F55C63">
          <w:pPr>
            <w:pStyle w:val="TM3"/>
            <w:rPr>
              <w:rFonts w:asciiTheme="minorHAnsi" w:eastAsiaTheme="minorEastAsia" w:hAnsiTheme="minorHAnsi"/>
              <w:noProof/>
              <w:sz w:val="22"/>
              <w:lang w:val="en-US" w:eastAsia="zh-TW"/>
            </w:rPr>
          </w:pPr>
          <w:hyperlink w:anchor="_Toc118886595" w:history="1">
            <w:r w:rsidR="00900D23" w:rsidRPr="00323853">
              <w:rPr>
                <w:rStyle w:val="Lienhypertexte"/>
                <w:noProof/>
              </w:rPr>
              <w:t>Avertissement relatif au DAS :</w:t>
            </w:r>
            <w:r w:rsidR="00900D23">
              <w:rPr>
                <w:noProof/>
                <w:webHidden/>
              </w:rPr>
              <w:tab/>
            </w:r>
            <w:r w:rsidR="00900D23">
              <w:rPr>
                <w:noProof/>
                <w:webHidden/>
              </w:rPr>
              <w:fldChar w:fldCharType="begin"/>
            </w:r>
            <w:r w:rsidR="00900D23">
              <w:rPr>
                <w:noProof/>
                <w:webHidden/>
              </w:rPr>
              <w:instrText xml:space="preserve"> PAGEREF _Toc118886595 \h </w:instrText>
            </w:r>
            <w:r w:rsidR="00900D23">
              <w:rPr>
                <w:noProof/>
                <w:webHidden/>
              </w:rPr>
            </w:r>
            <w:r w:rsidR="00900D23">
              <w:rPr>
                <w:noProof/>
                <w:webHidden/>
              </w:rPr>
              <w:fldChar w:fldCharType="separate"/>
            </w:r>
            <w:r w:rsidR="00900D23">
              <w:rPr>
                <w:noProof/>
                <w:webHidden/>
              </w:rPr>
              <w:t>13</w:t>
            </w:r>
            <w:r w:rsidR="00900D23">
              <w:rPr>
                <w:noProof/>
                <w:webHidden/>
              </w:rPr>
              <w:fldChar w:fldCharType="end"/>
            </w:r>
          </w:hyperlink>
        </w:p>
        <w:p w14:paraId="6AFBCF98" w14:textId="460C011D" w:rsidR="00900D23" w:rsidRDefault="00F55C63">
          <w:pPr>
            <w:pStyle w:val="TM3"/>
            <w:rPr>
              <w:rFonts w:asciiTheme="minorHAnsi" w:eastAsiaTheme="minorEastAsia" w:hAnsiTheme="minorHAnsi"/>
              <w:noProof/>
              <w:sz w:val="22"/>
              <w:lang w:val="en-US" w:eastAsia="zh-TW"/>
            </w:rPr>
          </w:pPr>
          <w:hyperlink w:anchor="_Toc118886596" w:history="1">
            <w:r w:rsidR="00900D23" w:rsidRPr="00323853">
              <w:rPr>
                <w:rStyle w:val="Lienhypertexte"/>
                <w:noProof/>
              </w:rPr>
              <w:t>Déclaration de limite d'exposition maximale admissible</w:t>
            </w:r>
            <w:r w:rsidR="00900D23">
              <w:rPr>
                <w:noProof/>
                <w:webHidden/>
              </w:rPr>
              <w:tab/>
            </w:r>
            <w:r w:rsidR="00900D23">
              <w:rPr>
                <w:noProof/>
                <w:webHidden/>
              </w:rPr>
              <w:fldChar w:fldCharType="begin"/>
            </w:r>
            <w:r w:rsidR="00900D23">
              <w:rPr>
                <w:noProof/>
                <w:webHidden/>
              </w:rPr>
              <w:instrText xml:space="preserve"> PAGEREF _Toc118886596 \h </w:instrText>
            </w:r>
            <w:r w:rsidR="00900D23">
              <w:rPr>
                <w:noProof/>
                <w:webHidden/>
              </w:rPr>
            </w:r>
            <w:r w:rsidR="00900D23">
              <w:rPr>
                <w:noProof/>
                <w:webHidden/>
              </w:rPr>
              <w:fldChar w:fldCharType="separate"/>
            </w:r>
            <w:r w:rsidR="00900D23">
              <w:rPr>
                <w:noProof/>
                <w:webHidden/>
              </w:rPr>
              <w:t>13</w:t>
            </w:r>
            <w:r w:rsidR="00900D23">
              <w:rPr>
                <w:noProof/>
                <w:webHidden/>
              </w:rPr>
              <w:fldChar w:fldCharType="end"/>
            </w:r>
          </w:hyperlink>
        </w:p>
        <w:p w14:paraId="5957F2C7" w14:textId="7EAC0809" w:rsidR="00900D23" w:rsidRDefault="00F55C63">
          <w:pPr>
            <w:pStyle w:val="TM2"/>
            <w:tabs>
              <w:tab w:val="right" w:leader="dot" w:pos="9350"/>
            </w:tabs>
            <w:rPr>
              <w:rFonts w:asciiTheme="minorHAnsi" w:eastAsiaTheme="minorEastAsia" w:hAnsiTheme="minorHAnsi"/>
              <w:noProof/>
              <w:sz w:val="22"/>
              <w:lang w:val="en-US" w:eastAsia="zh-TW"/>
            </w:rPr>
          </w:pPr>
          <w:hyperlink w:anchor="_Toc118886597" w:history="1">
            <w:r w:rsidR="00900D23" w:rsidRPr="00323853">
              <w:rPr>
                <w:rStyle w:val="Lienhypertexte"/>
                <w:noProof/>
              </w:rPr>
              <w:t>Règlement 522/20 de l'Ontario</w:t>
            </w:r>
            <w:r w:rsidR="00900D23">
              <w:rPr>
                <w:noProof/>
                <w:webHidden/>
              </w:rPr>
              <w:tab/>
            </w:r>
            <w:r w:rsidR="00900D23">
              <w:rPr>
                <w:noProof/>
                <w:webHidden/>
              </w:rPr>
              <w:fldChar w:fldCharType="begin"/>
            </w:r>
            <w:r w:rsidR="00900D23">
              <w:rPr>
                <w:noProof/>
                <w:webHidden/>
              </w:rPr>
              <w:instrText xml:space="preserve"> PAGEREF _Toc118886597 \h </w:instrText>
            </w:r>
            <w:r w:rsidR="00900D23">
              <w:rPr>
                <w:noProof/>
                <w:webHidden/>
              </w:rPr>
            </w:r>
            <w:r w:rsidR="00900D23">
              <w:rPr>
                <w:noProof/>
                <w:webHidden/>
              </w:rPr>
              <w:fldChar w:fldCharType="separate"/>
            </w:r>
            <w:r w:rsidR="00900D23">
              <w:rPr>
                <w:noProof/>
                <w:webHidden/>
              </w:rPr>
              <w:t>13</w:t>
            </w:r>
            <w:r w:rsidR="00900D23">
              <w:rPr>
                <w:noProof/>
                <w:webHidden/>
              </w:rPr>
              <w:fldChar w:fldCharType="end"/>
            </w:r>
          </w:hyperlink>
        </w:p>
        <w:p w14:paraId="1E09A02D" w14:textId="2CC82B1F" w:rsidR="00900D23" w:rsidRDefault="00F55C63">
          <w:pPr>
            <w:pStyle w:val="TM2"/>
            <w:tabs>
              <w:tab w:val="right" w:leader="dot" w:pos="9350"/>
            </w:tabs>
            <w:rPr>
              <w:rFonts w:asciiTheme="minorHAnsi" w:eastAsiaTheme="minorEastAsia" w:hAnsiTheme="minorHAnsi"/>
              <w:noProof/>
              <w:sz w:val="22"/>
              <w:lang w:val="en-US" w:eastAsia="zh-TW"/>
            </w:rPr>
          </w:pPr>
          <w:hyperlink w:anchor="_Toc118886598" w:history="1">
            <w:r w:rsidR="00900D23" w:rsidRPr="00323853">
              <w:rPr>
                <w:rStyle w:val="Lienhypertexte"/>
                <w:noProof/>
              </w:rPr>
              <w:t>Tableau de réduction des interférences</w:t>
            </w:r>
            <w:r w:rsidR="00900D23">
              <w:rPr>
                <w:noProof/>
                <w:webHidden/>
              </w:rPr>
              <w:tab/>
            </w:r>
            <w:r w:rsidR="00900D23">
              <w:rPr>
                <w:noProof/>
                <w:webHidden/>
              </w:rPr>
              <w:fldChar w:fldCharType="begin"/>
            </w:r>
            <w:r w:rsidR="00900D23">
              <w:rPr>
                <w:noProof/>
                <w:webHidden/>
              </w:rPr>
              <w:instrText xml:space="preserve"> PAGEREF _Toc118886598 \h </w:instrText>
            </w:r>
            <w:r w:rsidR="00900D23">
              <w:rPr>
                <w:noProof/>
                <w:webHidden/>
              </w:rPr>
            </w:r>
            <w:r w:rsidR="00900D23">
              <w:rPr>
                <w:noProof/>
                <w:webHidden/>
              </w:rPr>
              <w:fldChar w:fldCharType="separate"/>
            </w:r>
            <w:r w:rsidR="00900D23">
              <w:rPr>
                <w:noProof/>
                <w:webHidden/>
              </w:rPr>
              <w:t>14</w:t>
            </w:r>
            <w:r w:rsidR="00900D23">
              <w:rPr>
                <w:noProof/>
                <w:webHidden/>
              </w:rPr>
              <w:fldChar w:fldCharType="end"/>
            </w:r>
          </w:hyperlink>
        </w:p>
        <w:p w14:paraId="725296B1" w14:textId="6072DD0B" w:rsidR="00900D23" w:rsidRDefault="00F55C63">
          <w:pPr>
            <w:pStyle w:val="TM1"/>
            <w:rPr>
              <w:rFonts w:asciiTheme="minorHAnsi" w:eastAsiaTheme="minorEastAsia" w:hAnsiTheme="minorHAnsi"/>
              <w:noProof/>
              <w:sz w:val="22"/>
              <w:lang w:val="en-US" w:eastAsia="zh-TW"/>
            </w:rPr>
          </w:pPr>
          <w:hyperlink w:anchor="_Toc118886599" w:history="1">
            <w:r w:rsidR="00900D23" w:rsidRPr="00323853">
              <w:rPr>
                <w:rStyle w:val="Lienhypertexte"/>
                <w:noProof/>
              </w:rPr>
              <w:t>EXIGENCES D'ETIQUETAGE DE L'EMBALLAGE DES BATTERIES LITHIUM-ION ET LITHIUM-METAL</w:t>
            </w:r>
            <w:r w:rsidR="00900D23">
              <w:rPr>
                <w:noProof/>
                <w:webHidden/>
              </w:rPr>
              <w:tab/>
            </w:r>
            <w:r w:rsidR="00900D23">
              <w:rPr>
                <w:noProof/>
                <w:webHidden/>
              </w:rPr>
              <w:fldChar w:fldCharType="begin"/>
            </w:r>
            <w:r w:rsidR="00900D23">
              <w:rPr>
                <w:noProof/>
                <w:webHidden/>
              </w:rPr>
              <w:instrText xml:space="preserve"> PAGEREF _Toc118886599 \h </w:instrText>
            </w:r>
            <w:r w:rsidR="00900D23">
              <w:rPr>
                <w:noProof/>
                <w:webHidden/>
              </w:rPr>
            </w:r>
            <w:r w:rsidR="00900D23">
              <w:rPr>
                <w:noProof/>
                <w:webHidden/>
              </w:rPr>
              <w:fldChar w:fldCharType="separate"/>
            </w:r>
            <w:r w:rsidR="00900D23">
              <w:rPr>
                <w:noProof/>
                <w:webHidden/>
              </w:rPr>
              <w:t>14</w:t>
            </w:r>
            <w:r w:rsidR="00900D23">
              <w:rPr>
                <w:noProof/>
                <w:webHidden/>
              </w:rPr>
              <w:fldChar w:fldCharType="end"/>
            </w:r>
          </w:hyperlink>
        </w:p>
        <w:p w14:paraId="656BF4EB" w14:textId="62DFABFF" w:rsidR="00900D23" w:rsidRDefault="00F55C63">
          <w:pPr>
            <w:pStyle w:val="TM3"/>
            <w:rPr>
              <w:rFonts w:asciiTheme="minorHAnsi" w:eastAsiaTheme="minorEastAsia" w:hAnsiTheme="minorHAnsi"/>
              <w:noProof/>
              <w:sz w:val="22"/>
              <w:lang w:val="en-US" w:eastAsia="zh-TW"/>
            </w:rPr>
          </w:pPr>
          <w:hyperlink w:anchor="_Toc118886600" w:history="1">
            <w:r w:rsidR="00900D23" w:rsidRPr="00323853">
              <w:rPr>
                <w:rStyle w:val="Lienhypertexte"/>
                <w:noProof/>
              </w:rPr>
              <w:t>Batteries Li-Ion et Li-métal</w:t>
            </w:r>
            <w:r w:rsidR="00900D23">
              <w:rPr>
                <w:noProof/>
                <w:webHidden/>
              </w:rPr>
              <w:tab/>
            </w:r>
            <w:r w:rsidR="00900D23">
              <w:rPr>
                <w:noProof/>
                <w:webHidden/>
              </w:rPr>
              <w:fldChar w:fldCharType="begin"/>
            </w:r>
            <w:r w:rsidR="00900D23">
              <w:rPr>
                <w:noProof/>
                <w:webHidden/>
              </w:rPr>
              <w:instrText xml:space="preserve"> PAGEREF _Toc118886600 \h </w:instrText>
            </w:r>
            <w:r w:rsidR="00900D23">
              <w:rPr>
                <w:noProof/>
                <w:webHidden/>
              </w:rPr>
            </w:r>
            <w:r w:rsidR="00900D23">
              <w:rPr>
                <w:noProof/>
                <w:webHidden/>
              </w:rPr>
              <w:fldChar w:fldCharType="separate"/>
            </w:r>
            <w:r w:rsidR="00900D23">
              <w:rPr>
                <w:noProof/>
                <w:webHidden/>
              </w:rPr>
              <w:t>14</w:t>
            </w:r>
            <w:r w:rsidR="00900D23">
              <w:rPr>
                <w:noProof/>
                <w:webHidden/>
              </w:rPr>
              <w:fldChar w:fldCharType="end"/>
            </w:r>
          </w:hyperlink>
        </w:p>
        <w:p w14:paraId="799FB582" w14:textId="52E2A5AD" w:rsidR="00900D23" w:rsidRDefault="00F55C63">
          <w:pPr>
            <w:pStyle w:val="TM3"/>
            <w:rPr>
              <w:rFonts w:asciiTheme="minorHAnsi" w:eastAsiaTheme="minorEastAsia" w:hAnsiTheme="minorHAnsi"/>
              <w:noProof/>
              <w:sz w:val="22"/>
              <w:lang w:val="en-US" w:eastAsia="zh-TW"/>
            </w:rPr>
          </w:pPr>
          <w:hyperlink w:anchor="_Toc118886601" w:history="1">
            <w:r w:rsidR="00900D23" w:rsidRPr="00323853">
              <w:rPr>
                <w:rStyle w:val="Lienhypertexte"/>
                <w:noProof/>
              </w:rPr>
              <w:t>Exigences d'étiquetage pour les batteries Li-Ion et Li-métal</w:t>
            </w:r>
            <w:r w:rsidR="00900D23">
              <w:rPr>
                <w:noProof/>
                <w:webHidden/>
              </w:rPr>
              <w:tab/>
            </w:r>
            <w:r w:rsidR="00900D23">
              <w:rPr>
                <w:noProof/>
                <w:webHidden/>
              </w:rPr>
              <w:fldChar w:fldCharType="begin"/>
            </w:r>
            <w:r w:rsidR="00900D23">
              <w:rPr>
                <w:noProof/>
                <w:webHidden/>
              </w:rPr>
              <w:instrText xml:space="preserve"> PAGEREF _Toc118886601 \h </w:instrText>
            </w:r>
            <w:r w:rsidR="00900D23">
              <w:rPr>
                <w:noProof/>
                <w:webHidden/>
              </w:rPr>
            </w:r>
            <w:r w:rsidR="00900D23">
              <w:rPr>
                <w:noProof/>
                <w:webHidden/>
              </w:rPr>
              <w:fldChar w:fldCharType="separate"/>
            </w:r>
            <w:r w:rsidR="00900D23">
              <w:rPr>
                <w:noProof/>
                <w:webHidden/>
              </w:rPr>
              <w:t>14</w:t>
            </w:r>
            <w:r w:rsidR="00900D23">
              <w:rPr>
                <w:noProof/>
                <w:webHidden/>
              </w:rPr>
              <w:fldChar w:fldCharType="end"/>
            </w:r>
          </w:hyperlink>
        </w:p>
        <w:p w14:paraId="7F0329C5" w14:textId="7F8DDC0E" w:rsidR="00900D23" w:rsidRDefault="00F55C63">
          <w:pPr>
            <w:pStyle w:val="TM3"/>
            <w:rPr>
              <w:rFonts w:asciiTheme="minorHAnsi" w:eastAsiaTheme="minorEastAsia" w:hAnsiTheme="minorHAnsi"/>
              <w:noProof/>
              <w:sz w:val="22"/>
              <w:lang w:val="en-US" w:eastAsia="zh-TW"/>
            </w:rPr>
          </w:pPr>
          <w:hyperlink w:anchor="_Toc118886602" w:history="1">
            <w:r w:rsidR="00900D23" w:rsidRPr="00323853">
              <w:rPr>
                <w:rStyle w:val="Lienhypertexte"/>
                <w:noProof/>
              </w:rPr>
              <w:t>Exceptions d'étiquetage</w:t>
            </w:r>
            <w:r w:rsidR="00900D23">
              <w:rPr>
                <w:noProof/>
                <w:webHidden/>
              </w:rPr>
              <w:tab/>
            </w:r>
            <w:r w:rsidR="00900D23">
              <w:rPr>
                <w:noProof/>
                <w:webHidden/>
              </w:rPr>
              <w:fldChar w:fldCharType="begin"/>
            </w:r>
            <w:r w:rsidR="00900D23">
              <w:rPr>
                <w:noProof/>
                <w:webHidden/>
              </w:rPr>
              <w:instrText xml:space="preserve"> PAGEREF _Toc118886602 \h </w:instrText>
            </w:r>
            <w:r w:rsidR="00900D23">
              <w:rPr>
                <w:noProof/>
                <w:webHidden/>
              </w:rPr>
            </w:r>
            <w:r w:rsidR="00900D23">
              <w:rPr>
                <w:noProof/>
                <w:webHidden/>
              </w:rPr>
              <w:fldChar w:fldCharType="separate"/>
            </w:r>
            <w:r w:rsidR="00900D23">
              <w:rPr>
                <w:noProof/>
                <w:webHidden/>
              </w:rPr>
              <w:t>16</w:t>
            </w:r>
            <w:r w:rsidR="00900D23">
              <w:rPr>
                <w:noProof/>
                <w:webHidden/>
              </w:rPr>
              <w:fldChar w:fldCharType="end"/>
            </w:r>
          </w:hyperlink>
        </w:p>
        <w:p w14:paraId="376659FC" w14:textId="25C19805" w:rsidR="00900D23" w:rsidRDefault="00F55C63">
          <w:pPr>
            <w:pStyle w:val="TM3"/>
            <w:rPr>
              <w:rFonts w:asciiTheme="minorHAnsi" w:eastAsiaTheme="minorEastAsia" w:hAnsiTheme="minorHAnsi"/>
              <w:noProof/>
              <w:sz w:val="22"/>
              <w:lang w:val="en-US" w:eastAsia="zh-TW"/>
            </w:rPr>
          </w:pPr>
          <w:hyperlink w:anchor="_Toc118886603" w:history="1">
            <w:r w:rsidR="00900D23" w:rsidRPr="00323853">
              <w:rPr>
                <w:rStyle w:val="Lienhypertexte"/>
                <w:noProof/>
              </w:rPr>
              <w:t>Avertissement relatif à la mise au rebut des produits</w:t>
            </w:r>
            <w:r w:rsidR="00900D23">
              <w:rPr>
                <w:noProof/>
                <w:webHidden/>
              </w:rPr>
              <w:tab/>
            </w:r>
            <w:r w:rsidR="00900D23">
              <w:rPr>
                <w:noProof/>
                <w:webHidden/>
              </w:rPr>
              <w:fldChar w:fldCharType="begin"/>
            </w:r>
            <w:r w:rsidR="00900D23">
              <w:rPr>
                <w:noProof/>
                <w:webHidden/>
              </w:rPr>
              <w:instrText xml:space="preserve"> PAGEREF _Toc118886603 \h </w:instrText>
            </w:r>
            <w:r w:rsidR="00900D23">
              <w:rPr>
                <w:noProof/>
                <w:webHidden/>
              </w:rPr>
            </w:r>
            <w:r w:rsidR="00900D23">
              <w:rPr>
                <w:noProof/>
                <w:webHidden/>
              </w:rPr>
              <w:fldChar w:fldCharType="separate"/>
            </w:r>
            <w:r w:rsidR="00900D23">
              <w:rPr>
                <w:noProof/>
                <w:webHidden/>
              </w:rPr>
              <w:t>16</w:t>
            </w:r>
            <w:r w:rsidR="00900D23">
              <w:rPr>
                <w:noProof/>
                <w:webHidden/>
              </w:rPr>
              <w:fldChar w:fldCharType="end"/>
            </w:r>
          </w:hyperlink>
        </w:p>
        <w:p w14:paraId="6C96F648" w14:textId="0FBC280D" w:rsidR="00900D23" w:rsidRDefault="00F55C63">
          <w:pPr>
            <w:pStyle w:val="TM1"/>
            <w:rPr>
              <w:rFonts w:asciiTheme="minorHAnsi" w:eastAsiaTheme="minorEastAsia" w:hAnsiTheme="minorHAnsi"/>
              <w:noProof/>
              <w:sz w:val="22"/>
              <w:lang w:val="en-US" w:eastAsia="zh-TW"/>
            </w:rPr>
          </w:pPr>
          <w:hyperlink w:anchor="_Toc118886604" w:history="1">
            <w:r w:rsidR="00900D23" w:rsidRPr="00323853">
              <w:rPr>
                <w:rStyle w:val="Lienhypertexte"/>
                <w:noProof/>
              </w:rPr>
              <w:t>Informations relatives à la sécurité et à la CEM de l'appareil CPL et de la prise gigogne</w:t>
            </w:r>
            <w:r w:rsidR="00900D23">
              <w:rPr>
                <w:noProof/>
                <w:webHidden/>
              </w:rPr>
              <w:tab/>
            </w:r>
            <w:r w:rsidR="00900D23">
              <w:rPr>
                <w:noProof/>
                <w:webHidden/>
              </w:rPr>
              <w:fldChar w:fldCharType="begin"/>
            </w:r>
            <w:r w:rsidR="00900D23">
              <w:rPr>
                <w:noProof/>
                <w:webHidden/>
              </w:rPr>
              <w:instrText xml:space="preserve"> PAGEREF _Toc118886604 \h </w:instrText>
            </w:r>
            <w:r w:rsidR="00900D23">
              <w:rPr>
                <w:noProof/>
                <w:webHidden/>
              </w:rPr>
            </w:r>
            <w:r w:rsidR="00900D23">
              <w:rPr>
                <w:noProof/>
                <w:webHidden/>
              </w:rPr>
              <w:fldChar w:fldCharType="separate"/>
            </w:r>
            <w:r w:rsidR="00900D23">
              <w:rPr>
                <w:noProof/>
                <w:webHidden/>
              </w:rPr>
              <w:t>16</w:t>
            </w:r>
            <w:r w:rsidR="00900D23">
              <w:rPr>
                <w:noProof/>
                <w:webHidden/>
              </w:rPr>
              <w:fldChar w:fldCharType="end"/>
            </w:r>
          </w:hyperlink>
        </w:p>
        <w:p w14:paraId="76730AE9" w14:textId="45BE6FA8" w:rsidR="00900D23" w:rsidRDefault="00F55C63">
          <w:pPr>
            <w:pStyle w:val="TM2"/>
            <w:tabs>
              <w:tab w:val="right" w:leader="dot" w:pos="9350"/>
            </w:tabs>
            <w:rPr>
              <w:rFonts w:asciiTheme="minorHAnsi" w:eastAsiaTheme="minorEastAsia" w:hAnsiTheme="minorHAnsi"/>
              <w:noProof/>
              <w:sz w:val="22"/>
              <w:lang w:val="en-US" w:eastAsia="zh-TW"/>
            </w:rPr>
          </w:pPr>
          <w:hyperlink w:anchor="_Toc118886605" w:history="1">
            <w:r w:rsidR="00900D23" w:rsidRPr="00323853">
              <w:rPr>
                <w:rStyle w:val="Lienhypertexte"/>
                <w:noProof/>
              </w:rPr>
              <w:t>Instructions générales</w:t>
            </w:r>
            <w:r w:rsidR="00900D23">
              <w:rPr>
                <w:noProof/>
                <w:webHidden/>
              </w:rPr>
              <w:tab/>
            </w:r>
            <w:r w:rsidR="00900D23">
              <w:rPr>
                <w:noProof/>
                <w:webHidden/>
              </w:rPr>
              <w:fldChar w:fldCharType="begin"/>
            </w:r>
            <w:r w:rsidR="00900D23">
              <w:rPr>
                <w:noProof/>
                <w:webHidden/>
              </w:rPr>
              <w:instrText xml:space="preserve"> PAGEREF _Toc118886605 \h </w:instrText>
            </w:r>
            <w:r w:rsidR="00900D23">
              <w:rPr>
                <w:noProof/>
                <w:webHidden/>
              </w:rPr>
            </w:r>
            <w:r w:rsidR="00900D23">
              <w:rPr>
                <w:noProof/>
                <w:webHidden/>
              </w:rPr>
              <w:fldChar w:fldCharType="separate"/>
            </w:r>
            <w:r w:rsidR="00900D23">
              <w:rPr>
                <w:noProof/>
                <w:webHidden/>
              </w:rPr>
              <w:t>17</w:t>
            </w:r>
            <w:r w:rsidR="00900D23">
              <w:rPr>
                <w:noProof/>
                <w:webHidden/>
              </w:rPr>
              <w:fldChar w:fldCharType="end"/>
            </w:r>
          </w:hyperlink>
        </w:p>
        <w:p w14:paraId="36767612" w14:textId="7ED1B8C1" w:rsidR="00900D23" w:rsidRDefault="00F55C63">
          <w:pPr>
            <w:pStyle w:val="TM1"/>
            <w:rPr>
              <w:rFonts w:asciiTheme="minorHAnsi" w:eastAsiaTheme="minorEastAsia" w:hAnsiTheme="minorHAnsi"/>
              <w:noProof/>
              <w:sz w:val="22"/>
              <w:lang w:val="en-US" w:eastAsia="zh-TW"/>
            </w:rPr>
          </w:pPr>
          <w:hyperlink w:anchor="_Toc118886606" w:history="1">
            <w:r w:rsidR="00900D23" w:rsidRPr="00323853">
              <w:rPr>
                <w:rStyle w:val="Lienhypertexte"/>
                <w:noProof/>
              </w:rPr>
              <w:t>Conformité à la Proposition 65 de la Californie (Prop 65)</w:t>
            </w:r>
            <w:r w:rsidR="00900D23">
              <w:rPr>
                <w:noProof/>
                <w:webHidden/>
              </w:rPr>
              <w:tab/>
            </w:r>
            <w:r w:rsidR="00900D23">
              <w:rPr>
                <w:noProof/>
                <w:webHidden/>
              </w:rPr>
              <w:fldChar w:fldCharType="begin"/>
            </w:r>
            <w:r w:rsidR="00900D23">
              <w:rPr>
                <w:noProof/>
                <w:webHidden/>
              </w:rPr>
              <w:instrText xml:space="preserve"> PAGEREF _Toc118886606 \h </w:instrText>
            </w:r>
            <w:r w:rsidR="00900D23">
              <w:rPr>
                <w:noProof/>
                <w:webHidden/>
              </w:rPr>
            </w:r>
            <w:r w:rsidR="00900D23">
              <w:rPr>
                <w:noProof/>
                <w:webHidden/>
              </w:rPr>
              <w:fldChar w:fldCharType="separate"/>
            </w:r>
            <w:r w:rsidR="00900D23">
              <w:rPr>
                <w:noProof/>
                <w:webHidden/>
              </w:rPr>
              <w:t>18</w:t>
            </w:r>
            <w:r w:rsidR="00900D23">
              <w:rPr>
                <w:noProof/>
                <w:webHidden/>
              </w:rPr>
              <w:fldChar w:fldCharType="end"/>
            </w:r>
          </w:hyperlink>
        </w:p>
        <w:p w14:paraId="799C59E4" w14:textId="18EC4BBF" w:rsidR="00900D23" w:rsidRDefault="00F55C63">
          <w:pPr>
            <w:pStyle w:val="TM1"/>
            <w:rPr>
              <w:rFonts w:asciiTheme="minorHAnsi" w:eastAsiaTheme="minorEastAsia" w:hAnsiTheme="minorHAnsi"/>
              <w:noProof/>
              <w:sz w:val="22"/>
              <w:lang w:val="en-US" w:eastAsia="zh-TW"/>
            </w:rPr>
          </w:pPr>
          <w:hyperlink w:anchor="_Toc118886607" w:history="1">
            <w:r w:rsidR="00900D23" w:rsidRPr="00323853">
              <w:rPr>
                <w:rStyle w:val="Lienhypertexte"/>
                <w:noProof/>
              </w:rPr>
              <w:t>Instructions de sécurité pour la fixation sur bâti</w:t>
            </w:r>
            <w:r w:rsidR="00900D23">
              <w:rPr>
                <w:noProof/>
                <w:webHidden/>
              </w:rPr>
              <w:tab/>
            </w:r>
            <w:r w:rsidR="00900D23">
              <w:rPr>
                <w:noProof/>
                <w:webHidden/>
              </w:rPr>
              <w:fldChar w:fldCharType="begin"/>
            </w:r>
            <w:r w:rsidR="00900D23">
              <w:rPr>
                <w:noProof/>
                <w:webHidden/>
              </w:rPr>
              <w:instrText xml:space="preserve"> PAGEREF _Toc118886607 \h </w:instrText>
            </w:r>
            <w:r w:rsidR="00900D23">
              <w:rPr>
                <w:noProof/>
                <w:webHidden/>
              </w:rPr>
            </w:r>
            <w:r w:rsidR="00900D23">
              <w:rPr>
                <w:noProof/>
                <w:webHidden/>
              </w:rPr>
              <w:fldChar w:fldCharType="separate"/>
            </w:r>
            <w:r w:rsidR="00900D23">
              <w:rPr>
                <w:noProof/>
                <w:webHidden/>
              </w:rPr>
              <w:t>18</w:t>
            </w:r>
            <w:r w:rsidR="00900D23">
              <w:rPr>
                <w:noProof/>
                <w:webHidden/>
              </w:rPr>
              <w:fldChar w:fldCharType="end"/>
            </w:r>
          </w:hyperlink>
        </w:p>
        <w:p w14:paraId="7020F41B" w14:textId="7E31795C" w:rsidR="002C7415" w:rsidRPr="006F2801" w:rsidRDefault="00B45971">
          <w:pPr>
            <w:rPr>
              <w:b/>
            </w:rPr>
          </w:pPr>
          <w:r>
            <w:rPr>
              <w:b/>
            </w:rPr>
            <w:fldChar w:fldCharType="end"/>
          </w:r>
        </w:p>
      </w:sdtContent>
    </w:sdt>
    <w:p w14:paraId="64B77610" w14:textId="413F0795" w:rsidR="002C7415" w:rsidRDefault="002C7415" w:rsidP="002C7415">
      <w:pPr>
        <w:pStyle w:val="Titre1"/>
      </w:pPr>
      <w:bookmarkStart w:id="0" w:name="_Toc118886560"/>
      <w:r>
        <w:t>Informations et avis de sécurité</w:t>
      </w:r>
      <w:bookmarkEnd w:id="0"/>
    </w:p>
    <w:p w14:paraId="2A12AAA9" w14:textId="47A188E0" w:rsidR="00434FDD" w:rsidRDefault="00434FDD" w:rsidP="007000CC">
      <w:pPr>
        <w:spacing w:after="0"/>
      </w:pPr>
      <w:r>
        <w:t xml:space="preserve">Suivez les avertissements, mises en garde et remarques du document Consignes de sécurité et informations réglementaires de l'appareil dans la rubrique Conformité aux normes de sécurité du site </w:t>
      </w:r>
      <w:hyperlink r:id="rId12" w:history="1">
        <w:r>
          <w:rPr>
            <w:rStyle w:val="Lienhypertexte"/>
          </w:rPr>
          <w:t>https://www.netgear.com/fr/about/regulatory/</w:t>
        </w:r>
      </w:hyperlink>
      <w:r>
        <w:t>.</w:t>
      </w:r>
    </w:p>
    <w:p w14:paraId="51FE6BC8" w14:textId="77777777" w:rsidR="00BF4BEC" w:rsidRPr="00434FDD" w:rsidRDefault="00BF4BEC" w:rsidP="007000CC">
      <w:pPr>
        <w:spacing w:after="0" w:line="240" w:lineRule="auto"/>
      </w:pPr>
    </w:p>
    <w:p w14:paraId="6D39395F" w14:textId="77777777" w:rsidR="002C7415" w:rsidRPr="003C0805" w:rsidRDefault="002C7415" w:rsidP="000C20D9">
      <w:pPr>
        <w:pStyle w:val="Titre3"/>
      </w:pPr>
      <w:bookmarkStart w:id="1" w:name="_Toc118886561"/>
      <w:r>
        <w:t>Comment bien utiliser et manipuler les batteries</w:t>
      </w:r>
      <w:bookmarkEnd w:id="1"/>
    </w:p>
    <w:p w14:paraId="589F7F44" w14:textId="5768A722" w:rsidR="00BF4BEC" w:rsidRDefault="00BF4BEC" w:rsidP="00BF4BEC">
      <w:r>
        <w:t xml:space="preserve">Suivez les avertissements, les mises en garde et les remarques figurant dans le document Avis de sécurité sur les piles et batteries de la rubrique Conformité aux normes de sécurité du site </w:t>
      </w:r>
      <w:hyperlink r:id="rId13" w:history="1">
        <w:r>
          <w:rPr>
            <w:rStyle w:val="Lienhypertexte"/>
          </w:rPr>
          <w:t>www.netgear.com/fr/about/regulatory/</w:t>
        </w:r>
      </w:hyperlink>
      <w:r>
        <w:t>.</w:t>
      </w:r>
    </w:p>
    <w:p w14:paraId="551258F7" w14:textId="77777777" w:rsidR="002C7415" w:rsidRPr="00E109AA" w:rsidRDefault="002C7415" w:rsidP="002C7415">
      <w:pPr>
        <w:numPr>
          <w:ilvl w:val="0"/>
          <w:numId w:val="42"/>
        </w:numPr>
        <w:autoSpaceDE w:val="0"/>
        <w:autoSpaceDN w:val="0"/>
        <w:adjustRightInd w:val="0"/>
        <w:spacing w:after="0" w:line="240" w:lineRule="auto"/>
      </w:pPr>
      <w:r>
        <w:t>Si votre adaptateur secteur a été exposé à de l'eau, à d'autres liquides ou à une humidité excessive, confiez-le à un centre de réparation agréé pour inspection.</w:t>
      </w:r>
    </w:p>
    <w:p w14:paraId="3BEBD7BE" w14:textId="77777777" w:rsidR="002C7415" w:rsidRPr="00E109AA" w:rsidRDefault="002C7415" w:rsidP="002C7415">
      <w:pPr>
        <w:numPr>
          <w:ilvl w:val="0"/>
          <w:numId w:val="42"/>
        </w:numPr>
        <w:autoSpaceDE w:val="0"/>
        <w:autoSpaceDN w:val="0"/>
        <w:adjustRightInd w:val="0"/>
        <w:spacing w:after="0" w:line="240" w:lineRule="auto"/>
      </w:pPr>
    </w:p>
    <w:p w14:paraId="619547FB" w14:textId="77777777" w:rsidR="002C7415" w:rsidRPr="00E109AA" w:rsidRDefault="002C7415" w:rsidP="002C7415">
      <w:pPr>
        <w:numPr>
          <w:ilvl w:val="0"/>
          <w:numId w:val="44"/>
        </w:numPr>
        <w:autoSpaceDE w:val="0"/>
        <w:autoSpaceDN w:val="0"/>
        <w:adjustRightInd w:val="0"/>
        <w:spacing w:after="22" w:line="240" w:lineRule="auto"/>
      </w:pPr>
      <w:r>
        <w:t>L'équipement doit être branché uniquement à une prise de courant se trouvant à proximité et facilement accessible.</w:t>
      </w:r>
    </w:p>
    <w:p w14:paraId="404D4A89" w14:textId="77777777" w:rsidR="002C7415" w:rsidRDefault="002C7415" w:rsidP="002C7415">
      <w:pPr>
        <w:autoSpaceDE w:val="0"/>
        <w:autoSpaceDN w:val="0"/>
        <w:adjustRightInd w:val="0"/>
        <w:spacing w:after="0" w:line="240" w:lineRule="auto"/>
        <w:rPr>
          <w:rFonts w:ascii="Foundry Sterling Book" w:hAnsi="Foundry Sterling Book" w:cs="Foundry Sterling Book"/>
          <w:color w:val="000000"/>
          <w:sz w:val="14"/>
          <w:szCs w:val="14"/>
        </w:rPr>
      </w:pPr>
    </w:p>
    <w:p w14:paraId="5DB786B3" w14:textId="744FA7BC" w:rsidR="002C7415" w:rsidRDefault="002C7415" w:rsidP="000C20D9">
      <w:pPr>
        <w:pStyle w:val="Titre2"/>
      </w:pPr>
      <w:bookmarkStart w:id="2" w:name="_Toc118886562"/>
      <w:r>
        <w:t>Emplacement du marquage</w:t>
      </w:r>
      <w:bookmarkEnd w:id="2"/>
    </w:p>
    <w:p w14:paraId="6B274B8B" w14:textId="44E4FD46" w:rsidR="002C7415" w:rsidRPr="00455E2C" w:rsidRDefault="002C7415" w:rsidP="00BB37EA">
      <w:bookmarkStart w:id="3" w:name="_Hlk41642397"/>
      <w:r>
        <w:t>Les informations de marquage des produits Netgear, notamment tous les Switches Netgear et les dispositifs de montage pour NETGEAR ReadyNAS, et quasiment tous les routeurs et satellites sans fil, se trouvent en bas de l'appareil</w:t>
      </w:r>
      <w:bookmarkEnd w:id="3"/>
      <w:r>
        <w:t xml:space="preserve">. </w:t>
      </w:r>
    </w:p>
    <w:p w14:paraId="6874B7CE" w14:textId="77777777" w:rsidR="002C7415" w:rsidRPr="000C20D9" w:rsidRDefault="002C7415" w:rsidP="000C20D9">
      <w:pPr>
        <w:pStyle w:val="Titre2"/>
      </w:pPr>
      <w:bookmarkStart w:id="4" w:name="_Toc118886563"/>
      <w:r>
        <w:t>Utilisation dans des endroits où des enfants peuvent être présents</w:t>
      </w:r>
      <w:bookmarkEnd w:id="4"/>
    </w:p>
    <w:p w14:paraId="60BC4DF9" w14:textId="38E4DE0D" w:rsidR="002C7415" w:rsidRDefault="002C7415" w:rsidP="002C7415">
      <w:r>
        <w:t>En raison des modifications apportées aux normes de sécurité, l'utilisation des produits suivants n'a pas été évaluée dans des endroits où des enfants peuvent être présents, compte tenu de l'introduction du doigt d'essai dans la norme EN 62368-1</w:t>
      </w:r>
    </w:p>
    <w:tbl>
      <w:tblPr>
        <w:tblStyle w:val="Grilledutableau"/>
        <w:tblW w:w="0" w:type="auto"/>
        <w:tblLook w:val="04A0" w:firstRow="1" w:lastRow="0" w:firstColumn="1" w:lastColumn="0" w:noHBand="0" w:noVBand="1"/>
      </w:tblPr>
      <w:tblGrid>
        <w:gridCol w:w="1807"/>
        <w:gridCol w:w="1751"/>
        <w:gridCol w:w="2087"/>
        <w:gridCol w:w="1977"/>
        <w:gridCol w:w="1728"/>
      </w:tblGrid>
      <w:tr w:rsidR="007A37BA" w14:paraId="7E8ADA2B" w14:textId="77777777" w:rsidTr="007A37BA">
        <w:tc>
          <w:tcPr>
            <w:tcW w:w="1807" w:type="dxa"/>
          </w:tcPr>
          <w:p w14:paraId="33083821" w14:textId="64F24229" w:rsidR="007E040C" w:rsidRDefault="007E040C" w:rsidP="007E040C">
            <w:r>
              <w:lastRenderedPageBreak/>
              <w:t>GC510PP</w:t>
            </w:r>
          </w:p>
        </w:tc>
        <w:tc>
          <w:tcPr>
            <w:tcW w:w="1751" w:type="dxa"/>
          </w:tcPr>
          <w:p w14:paraId="5D5E0854" w14:textId="2517F6E4" w:rsidR="007E040C" w:rsidRDefault="007E040C" w:rsidP="007E040C">
            <w:r>
              <w:t>GS348/T</w:t>
            </w:r>
          </w:p>
        </w:tc>
        <w:tc>
          <w:tcPr>
            <w:tcW w:w="2087" w:type="dxa"/>
          </w:tcPr>
          <w:p w14:paraId="7B725D26" w14:textId="117D8E71" w:rsidR="007E040C" w:rsidRDefault="00F52ECD" w:rsidP="007E040C">
            <w:r>
              <w:t>GS710TUP</w:t>
            </w:r>
          </w:p>
        </w:tc>
        <w:tc>
          <w:tcPr>
            <w:tcW w:w="1977" w:type="dxa"/>
          </w:tcPr>
          <w:p w14:paraId="6D6C6473" w14:textId="1D77DFF1" w:rsidR="007E040C" w:rsidRDefault="0006445B" w:rsidP="007E040C">
            <w:r>
              <w:t>GS748T</w:t>
            </w:r>
          </w:p>
        </w:tc>
        <w:tc>
          <w:tcPr>
            <w:tcW w:w="1728" w:type="dxa"/>
          </w:tcPr>
          <w:p w14:paraId="72569479" w14:textId="6D45F0F9" w:rsidR="007E040C" w:rsidRDefault="0006445B" w:rsidP="007E040C">
            <w:r>
              <w:t>GSM4328PB/S</w:t>
            </w:r>
          </w:p>
        </w:tc>
      </w:tr>
      <w:tr w:rsidR="007A37BA" w14:paraId="03C0D3D1" w14:textId="77777777" w:rsidTr="007A37BA">
        <w:tc>
          <w:tcPr>
            <w:tcW w:w="1807" w:type="dxa"/>
          </w:tcPr>
          <w:p w14:paraId="2FE09956" w14:textId="3CE10FF6" w:rsidR="007E040C" w:rsidRDefault="007E040C" w:rsidP="007E040C">
            <w:r>
              <w:t>GC728X/XP</w:t>
            </w:r>
          </w:p>
        </w:tc>
        <w:tc>
          <w:tcPr>
            <w:tcW w:w="1751" w:type="dxa"/>
          </w:tcPr>
          <w:p w14:paraId="56673981" w14:textId="74C2F37B" w:rsidR="007E040C" w:rsidRDefault="007E040C" w:rsidP="007E040C">
            <w:r>
              <w:t>GS408EPP</w:t>
            </w:r>
          </w:p>
        </w:tc>
        <w:tc>
          <w:tcPr>
            <w:tcW w:w="2087" w:type="dxa"/>
          </w:tcPr>
          <w:p w14:paraId="5115EBB8" w14:textId="5C806CF3" w:rsidR="007E040C" w:rsidRDefault="0006445B" w:rsidP="007E040C">
            <w:r>
              <w:t>GS716T/TP/TPP</w:t>
            </w:r>
          </w:p>
        </w:tc>
        <w:tc>
          <w:tcPr>
            <w:tcW w:w="1977" w:type="dxa"/>
          </w:tcPr>
          <w:p w14:paraId="5100D439" w14:textId="6D99A8C5" w:rsidR="007E040C" w:rsidRDefault="0006445B" w:rsidP="007E040C">
            <w:r>
              <w:t>GS750E</w:t>
            </w:r>
          </w:p>
        </w:tc>
        <w:tc>
          <w:tcPr>
            <w:tcW w:w="1728" w:type="dxa"/>
          </w:tcPr>
          <w:p w14:paraId="27DA7B81" w14:textId="216FE42B" w:rsidR="007E040C" w:rsidRDefault="0006445B" w:rsidP="007E040C">
            <w:r>
              <w:t>GSM4352PB/S</w:t>
            </w:r>
          </w:p>
        </w:tc>
      </w:tr>
      <w:tr w:rsidR="007A37BA" w14:paraId="659BDA6F" w14:textId="77777777" w:rsidTr="007A37BA">
        <w:tc>
          <w:tcPr>
            <w:tcW w:w="1807" w:type="dxa"/>
          </w:tcPr>
          <w:p w14:paraId="178AA523" w14:textId="212E2DE1" w:rsidR="007E040C" w:rsidRDefault="007E040C" w:rsidP="007E040C">
            <w:r>
              <w:t>GC752X/XP</w:t>
            </w:r>
          </w:p>
        </w:tc>
        <w:tc>
          <w:tcPr>
            <w:tcW w:w="1751" w:type="dxa"/>
          </w:tcPr>
          <w:p w14:paraId="3CEDE9A3" w14:textId="079674C3" w:rsidR="007E040C" w:rsidRDefault="007576CC" w:rsidP="007E040C">
            <w:r>
              <w:t>XSM4396S</w:t>
            </w:r>
          </w:p>
        </w:tc>
        <w:tc>
          <w:tcPr>
            <w:tcW w:w="2087" w:type="dxa"/>
          </w:tcPr>
          <w:p w14:paraId="7BD2E4E7" w14:textId="77777777" w:rsidR="0006445B" w:rsidRDefault="0006445B" w:rsidP="007E040C">
            <w:r>
              <w:t>MS510TX/TXM/</w:t>
            </w:r>
          </w:p>
          <w:p w14:paraId="0E28D55B" w14:textId="792AD8FA" w:rsidR="007E040C" w:rsidRDefault="0006445B" w:rsidP="007E040C">
            <w:r>
              <w:t>TXPP/TXUP</w:t>
            </w:r>
          </w:p>
        </w:tc>
        <w:tc>
          <w:tcPr>
            <w:tcW w:w="1977" w:type="dxa"/>
          </w:tcPr>
          <w:p w14:paraId="641D905F" w14:textId="77777777" w:rsidR="0006445B" w:rsidRDefault="0006445B" w:rsidP="007E040C">
            <w:r>
              <w:t>GS752TP/TPP/TPSE/</w:t>
            </w:r>
          </w:p>
          <w:p w14:paraId="4F8DADF1" w14:textId="27B19E95" w:rsidR="007E040C" w:rsidRDefault="0006445B" w:rsidP="007E040C">
            <w:r>
              <w:t>TSB/TX/TXP/TXS</w:t>
            </w:r>
          </w:p>
        </w:tc>
        <w:tc>
          <w:tcPr>
            <w:tcW w:w="1728" w:type="dxa"/>
          </w:tcPr>
          <w:p w14:paraId="0956E500" w14:textId="54280342" w:rsidR="007E040C" w:rsidRDefault="0006445B" w:rsidP="007E040C">
            <w:r>
              <w:t>GSM7328FS</w:t>
            </w:r>
          </w:p>
        </w:tc>
      </w:tr>
      <w:tr w:rsidR="007A37BA" w14:paraId="4037C355" w14:textId="77777777" w:rsidTr="007A37BA">
        <w:tc>
          <w:tcPr>
            <w:tcW w:w="1807" w:type="dxa"/>
          </w:tcPr>
          <w:p w14:paraId="2717BF53" w14:textId="03A2DE98" w:rsidR="007E040C" w:rsidRDefault="007E040C" w:rsidP="007E040C">
            <w:r>
              <w:t>GS324/P/PP/T/TP</w:t>
            </w:r>
          </w:p>
        </w:tc>
        <w:tc>
          <w:tcPr>
            <w:tcW w:w="1751" w:type="dxa"/>
          </w:tcPr>
          <w:p w14:paraId="55139550" w14:textId="4567F4E2" w:rsidR="007E040C" w:rsidRDefault="007E040C" w:rsidP="007E040C">
            <w:r>
              <w:t>GS510TLP/TPP</w:t>
            </w:r>
          </w:p>
        </w:tc>
        <w:tc>
          <w:tcPr>
            <w:tcW w:w="2087" w:type="dxa"/>
          </w:tcPr>
          <w:p w14:paraId="6B5406CF" w14:textId="6DF97B64" w:rsidR="007E040C" w:rsidRDefault="0006445B" w:rsidP="007E040C">
            <w:r>
              <w:t>GS728TP/TPP/TX/TXP</w:t>
            </w:r>
          </w:p>
        </w:tc>
        <w:tc>
          <w:tcPr>
            <w:tcW w:w="1977" w:type="dxa"/>
          </w:tcPr>
          <w:p w14:paraId="119630DB" w14:textId="414AFD19" w:rsidR="007E040C" w:rsidRDefault="0006445B" w:rsidP="007E040C">
            <w:r>
              <w:t>GSM4210P</w:t>
            </w:r>
          </w:p>
        </w:tc>
        <w:tc>
          <w:tcPr>
            <w:tcW w:w="1728" w:type="dxa"/>
          </w:tcPr>
          <w:p w14:paraId="49DD0C90" w14:textId="455B37D5" w:rsidR="007E040C" w:rsidRDefault="0006445B" w:rsidP="007E040C">
            <w:r>
              <w:t>JGS516/PE</w:t>
            </w:r>
          </w:p>
        </w:tc>
      </w:tr>
      <w:tr w:rsidR="007A37BA" w14:paraId="03348542" w14:textId="77777777" w:rsidTr="007A37BA">
        <w:tc>
          <w:tcPr>
            <w:tcW w:w="1807" w:type="dxa"/>
          </w:tcPr>
          <w:p w14:paraId="2EB3B932" w14:textId="55018272" w:rsidR="0006445B" w:rsidRDefault="0006445B" w:rsidP="007E040C">
            <w:r>
              <w:t>JGS524/E/PE</w:t>
            </w:r>
          </w:p>
        </w:tc>
        <w:tc>
          <w:tcPr>
            <w:tcW w:w="1751" w:type="dxa"/>
          </w:tcPr>
          <w:p w14:paraId="3FD478D9" w14:textId="3C8DB8A5" w:rsidR="0006445B" w:rsidRDefault="0006445B" w:rsidP="007E040C">
            <w:r>
              <w:t>XS505M</w:t>
            </w:r>
          </w:p>
        </w:tc>
        <w:tc>
          <w:tcPr>
            <w:tcW w:w="2087" w:type="dxa"/>
          </w:tcPr>
          <w:p w14:paraId="552CF3D3" w14:textId="267BE9BC" w:rsidR="0006445B" w:rsidRDefault="0006445B" w:rsidP="007E040C">
            <w:r>
              <w:t>GS724T/TP/TPP</w:t>
            </w:r>
          </w:p>
        </w:tc>
        <w:tc>
          <w:tcPr>
            <w:tcW w:w="1977" w:type="dxa"/>
          </w:tcPr>
          <w:p w14:paraId="3892BB12" w14:textId="0B053EDD" w:rsidR="0006445B" w:rsidRDefault="0006445B" w:rsidP="007E040C">
            <w:r>
              <w:t>XS508M</w:t>
            </w:r>
          </w:p>
        </w:tc>
        <w:tc>
          <w:tcPr>
            <w:tcW w:w="1728" w:type="dxa"/>
          </w:tcPr>
          <w:p w14:paraId="701F7E13" w14:textId="31DED455" w:rsidR="0006445B" w:rsidRDefault="0006445B" w:rsidP="007E040C">
            <w:r>
              <w:t>XS512EM</w:t>
            </w:r>
          </w:p>
        </w:tc>
      </w:tr>
      <w:tr w:rsidR="0006445B" w14:paraId="4DC127B4" w14:textId="77777777" w:rsidTr="007A37BA">
        <w:tc>
          <w:tcPr>
            <w:tcW w:w="1807" w:type="dxa"/>
          </w:tcPr>
          <w:p w14:paraId="72826637" w14:textId="3420E4A2" w:rsidR="0006445B" w:rsidRDefault="0006445B" w:rsidP="007E040C">
            <w:r>
              <w:t>XS708E/T</w:t>
            </w:r>
          </w:p>
        </w:tc>
        <w:tc>
          <w:tcPr>
            <w:tcW w:w="1751" w:type="dxa"/>
          </w:tcPr>
          <w:p w14:paraId="0F9846CB" w14:textId="0D78BC0A" w:rsidR="0006445B" w:rsidRDefault="0006445B" w:rsidP="007E040C">
            <w:r>
              <w:t>XS712T</w:t>
            </w:r>
          </w:p>
        </w:tc>
        <w:tc>
          <w:tcPr>
            <w:tcW w:w="2087" w:type="dxa"/>
          </w:tcPr>
          <w:p w14:paraId="5FE08221" w14:textId="290D3BCB" w:rsidR="0006445B" w:rsidRDefault="007A37BA" w:rsidP="007E040C">
            <w:r>
              <w:t>XS716E/T</w:t>
            </w:r>
          </w:p>
        </w:tc>
        <w:tc>
          <w:tcPr>
            <w:tcW w:w="1977" w:type="dxa"/>
          </w:tcPr>
          <w:p w14:paraId="42ED2885" w14:textId="7843FEEF" w:rsidR="0006445B" w:rsidRDefault="007A37BA" w:rsidP="007E040C">
            <w:r>
              <w:t>XS724EM</w:t>
            </w:r>
          </w:p>
        </w:tc>
        <w:tc>
          <w:tcPr>
            <w:tcW w:w="1728" w:type="dxa"/>
          </w:tcPr>
          <w:p w14:paraId="1F384BD0" w14:textId="5E3B1016" w:rsidR="0006445B" w:rsidRDefault="007A37BA" w:rsidP="007E040C">
            <w:r>
              <w:t>XS728T</w:t>
            </w:r>
          </w:p>
        </w:tc>
      </w:tr>
      <w:tr w:rsidR="007A37BA" w14:paraId="55EB22D7" w14:textId="77777777" w:rsidTr="007A37BA">
        <w:tc>
          <w:tcPr>
            <w:tcW w:w="1807" w:type="dxa"/>
          </w:tcPr>
          <w:p w14:paraId="1649BF38" w14:textId="72264AA9" w:rsidR="007A37BA" w:rsidRDefault="007A37BA" w:rsidP="007A37BA">
            <w:r>
              <w:t>XS748T</w:t>
            </w:r>
          </w:p>
        </w:tc>
        <w:tc>
          <w:tcPr>
            <w:tcW w:w="1751" w:type="dxa"/>
          </w:tcPr>
          <w:p w14:paraId="2639834A" w14:textId="32EDEF0F" w:rsidR="007A37BA" w:rsidRDefault="007A37BA" w:rsidP="007A37BA">
            <w:r>
              <w:t>GS418TPP</w:t>
            </w:r>
          </w:p>
        </w:tc>
        <w:tc>
          <w:tcPr>
            <w:tcW w:w="2087" w:type="dxa"/>
          </w:tcPr>
          <w:p w14:paraId="076E6D5A" w14:textId="2EA62C64" w:rsidR="007A37BA" w:rsidRDefault="007A37BA" w:rsidP="007A37BA">
            <w:r>
              <w:t>XSM4316PA/PB/S</w:t>
            </w:r>
          </w:p>
        </w:tc>
        <w:tc>
          <w:tcPr>
            <w:tcW w:w="1977" w:type="dxa"/>
          </w:tcPr>
          <w:p w14:paraId="3265C367" w14:textId="48F43ECA" w:rsidR="007A37BA" w:rsidRDefault="007A37BA" w:rsidP="007A37BA">
            <w:r>
              <w:t>XSM4324CS/FS/S</w:t>
            </w:r>
          </w:p>
        </w:tc>
        <w:tc>
          <w:tcPr>
            <w:tcW w:w="1728" w:type="dxa"/>
          </w:tcPr>
          <w:p w14:paraId="0506189E" w14:textId="6FAD5490" w:rsidR="007A37BA" w:rsidRDefault="007A37BA" w:rsidP="007A37BA">
            <w:r>
              <w:t>XSM4348CS/FS/S</w:t>
            </w:r>
          </w:p>
        </w:tc>
      </w:tr>
      <w:tr w:rsidR="007576CC" w14:paraId="4AA32074" w14:textId="77777777" w:rsidTr="007A37BA">
        <w:tc>
          <w:tcPr>
            <w:tcW w:w="1807" w:type="dxa"/>
          </w:tcPr>
          <w:p w14:paraId="429FA849" w14:textId="0CA44568" w:rsidR="007576CC" w:rsidRDefault="007576CC" w:rsidP="007576CC">
            <w:r>
              <w:t>XSM4556</w:t>
            </w:r>
          </w:p>
        </w:tc>
        <w:tc>
          <w:tcPr>
            <w:tcW w:w="1751" w:type="dxa"/>
          </w:tcPr>
          <w:p w14:paraId="0207CBD8" w14:textId="0352C0A9" w:rsidR="007576CC" w:rsidRDefault="007576CC" w:rsidP="007576CC">
            <w:r>
              <w:t>RNR-12B</w:t>
            </w:r>
          </w:p>
        </w:tc>
        <w:tc>
          <w:tcPr>
            <w:tcW w:w="2087" w:type="dxa"/>
          </w:tcPr>
          <w:p w14:paraId="0023D059" w14:textId="2FBD9C5D" w:rsidR="007576CC" w:rsidRDefault="007576CC" w:rsidP="007576CC">
            <w:r>
              <w:t>R9000</w:t>
            </w:r>
          </w:p>
        </w:tc>
        <w:tc>
          <w:tcPr>
            <w:tcW w:w="1977" w:type="dxa"/>
          </w:tcPr>
          <w:p w14:paraId="78FCA69F" w14:textId="425F0931" w:rsidR="007576CC" w:rsidRDefault="007576CC" w:rsidP="007576CC">
            <w:r>
              <w:t>RAX120</w:t>
            </w:r>
          </w:p>
        </w:tc>
        <w:tc>
          <w:tcPr>
            <w:tcW w:w="1728" w:type="dxa"/>
          </w:tcPr>
          <w:p w14:paraId="0F910CC2" w14:textId="721CC223" w:rsidR="007576CC" w:rsidRDefault="007576CC" w:rsidP="007576CC">
            <w:r>
              <w:t>RAX200</w:t>
            </w:r>
          </w:p>
        </w:tc>
      </w:tr>
      <w:tr w:rsidR="007576CC" w14:paraId="4C113FD2" w14:textId="77777777" w:rsidTr="007A37BA">
        <w:tc>
          <w:tcPr>
            <w:tcW w:w="1807" w:type="dxa"/>
          </w:tcPr>
          <w:p w14:paraId="4974A46C" w14:textId="0D6CC7F4" w:rsidR="007576CC" w:rsidRDefault="007576CC" w:rsidP="007576CC">
            <w:r>
              <w:t>RND-2E</w:t>
            </w:r>
          </w:p>
        </w:tc>
        <w:tc>
          <w:tcPr>
            <w:tcW w:w="1751" w:type="dxa"/>
          </w:tcPr>
          <w:p w14:paraId="1AD48DF1" w14:textId="6B18E087" w:rsidR="007576CC" w:rsidRDefault="007576CC" w:rsidP="007576CC">
            <w:r>
              <w:t>RND-4E</w:t>
            </w:r>
          </w:p>
        </w:tc>
        <w:tc>
          <w:tcPr>
            <w:tcW w:w="2087" w:type="dxa"/>
          </w:tcPr>
          <w:p w14:paraId="67560DB2" w14:textId="2557B841" w:rsidR="007576CC" w:rsidRDefault="007576CC" w:rsidP="007576CC">
            <w:r>
              <w:t>RNR-4B</w:t>
            </w:r>
          </w:p>
        </w:tc>
        <w:tc>
          <w:tcPr>
            <w:tcW w:w="1977" w:type="dxa"/>
          </w:tcPr>
          <w:p w14:paraId="6B5859E0" w14:textId="2A1A53DD" w:rsidR="007576CC" w:rsidRDefault="007576CC" w:rsidP="007576CC">
            <w:r>
              <w:t>RND-2F</w:t>
            </w:r>
          </w:p>
        </w:tc>
        <w:tc>
          <w:tcPr>
            <w:tcW w:w="1728" w:type="dxa"/>
          </w:tcPr>
          <w:p w14:paraId="377CDC03" w14:textId="64E5E4BF" w:rsidR="007576CC" w:rsidRDefault="007576CC" w:rsidP="007576CC">
            <w:r>
              <w:t>RND-4G</w:t>
            </w:r>
          </w:p>
        </w:tc>
      </w:tr>
      <w:tr w:rsidR="007576CC" w14:paraId="15D0850B" w14:textId="77777777" w:rsidTr="007A37BA">
        <w:tc>
          <w:tcPr>
            <w:tcW w:w="1807" w:type="dxa"/>
          </w:tcPr>
          <w:p w14:paraId="7CCC1C74" w14:textId="75EF78A3" w:rsidR="007576CC" w:rsidRDefault="007576CC" w:rsidP="007576CC">
            <w:r>
              <w:t>RND-6E</w:t>
            </w:r>
          </w:p>
        </w:tc>
        <w:tc>
          <w:tcPr>
            <w:tcW w:w="1751" w:type="dxa"/>
          </w:tcPr>
          <w:p w14:paraId="3D6C7E29" w14:textId="681C4FB3" w:rsidR="007576CC" w:rsidRDefault="007576CC" w:rsidP="007576CC">
            <w:r>
              <w:t>RND-6F</w:t>
            </w:r>
          </w:p>
        </w:tc>
        <w:tc>
          <w:tcPr>
            <w:tcW w:w="2087" w:type="dxa"/>
          </w:tcPr>
          <w:p w14:paraId="0630B3A7" w14:textId="3BB38DC3" w:rsidR="007576CC" w:rsidRDefault="007576CC" w:rsidP="007576CC">
            <w:r>
              <w:t>RND-8A</w:t>
            </w:r>
          </w:p>
        </w:tc>
        <w:tc>
          <w:tcPr>
            <w:tcW w:w="1977" w:type="dxa"/>
          </w:tcPr>
          <w:p w14:paraId="1568CF75" w14:textId="06B231B3" w:rsidR="007576CC" w:rsidRDefault="007576CC" w:rsidP="007576CC">
            <w:r>
              <w:t>RND-8B</w:t>
            </w:r>
          </w:p>
        </w:tc>
        <w:tc>
          <w:tcPr>
            <w:tcW w:w="1728" w:type="dxa"/>
          </w:tcPr>
          <w:p w14:paraId="70EB8169" w14:textId="28B7B69F" w:rsidR="007576CC" w:rsidRDefault="007576CC" w:rsidP="007576CC">
            <w:r>
              <w:t>RNR-4C</w:t>
            </w:r>
          </w:p>
        </w:tc>
      </w:tr>
      <w:tr w:rsidR="007576CC" w14:paraId="1CA8887D" w14:textId="77777777" w:rsidTr="007A37BA">
        <w:tc>
          <w:tcPr>
            <w:tcW w:w="1807" w:type="dxa"/>
          </w:tcPr>
          <w:p w14:paraId="7B8CC00C" w14:textId="528710C6" w:rsidR="007576CC" w:rsidRDefault="006F2801" w:rsidP="007576CC">
            <w:r>
              <w:t>RNR-60A</w:t>
            </w:r>
          </w:p>
        </w:tc>
        <w:tc>
          <w:tcPr>
            <w:tcW w:w="1751" w:type="dxa"/>
          </w:tcPr>
          <w:p w14:paraId="61B09062" w14:textId="17C097AA" w:rsidR="007576CC" w:rsidRDefault="007576CC" w:rsidP="007576CC"/>
        </w:tc>
        <w:tc>
          <w:tcPr>
            <w:tcW w:w="2087" w:type="dxa"/>
          </w:tcPr>
          <w:p w14:paraId="4D9FDB8A" w14:textId="77777777" w:rsidR="007576CC" w:rsidRDefault="007576CC" w:rsidP="007576CC"/>
        </w:tc>
        <w:tc>
          <w:tcPr>
            <w:tcW w:w="1977" w:type="dxa"/>
          </w:tcPr>
          <w:p w14:paraId="08B6121B" w14:textId="77777777" w:rsidR="007576CC" w:rsidRDefault="007576CC" w:rsidP="007576CC"/>
        </w:tc>
        <w:tc>
          <w:tcPr>
            <w:tcW w:w="1728" w:type="dxa"/>
          </w:tcPr>
          <w:p w14:paraId="4BE14889" w14:textId="77777777" w:rsidR="007576CC" w:rsidRDefault="007576CC" w:rsidP="007576CC"/>
        </w:tc>
      </w:tr>
    </w:tbl>
    <w:p w14:paraId="6A296FDD" w14:textId="77777777" w:rsidR="002C7415" w:rsidRPr="000C20D9" w:rsidRDefault="002C7415" w:rsidP="000C20D9">
      <w:pPr>
        <w:pStyle w:val="Titre2"/>
      </w:pPr>
      <w:bookmarkStart w:id="5" w:name="_Toc118886564"/>
      <w:r>
        <w:t>Avis concernant l'accès restreint</w:t>
      </w:r>
      <w:bookmarkEnd w:id="5"/>
    </w:p>
    <w:p w14:paraId="6A84E702" w14:textId="6CC645CB" w:rsidR="00DC500E" w:rsidRDefault="00DC500E" w:rsidP="00DC500E">
      <w:r>
        <w:t>L'équipement suivant doit être installé exclusivement dans un emplacement à accès restreint et par des techniciens de maintenance qualifiés :</w:t>
      </w:r>
    </w:p>
    <w:p w14:paraId="11D327FF" w14:textId="77777777" w:rsidR="002C7415" w:rsidRDefault="002C7415" w:rsidP="002C7415">
      <w:pPr>
        <w:pStyle w:val="Paragraphedeliste"/>
        <w:numPr>
          <w:ilvl w:val="0"/>
          <w:numId w:val="23"/>
        </w:numPr>
      </w:pPr>
      <w:r>
        <w:t>RR2312</w:t>
      </w:r>
    </w:p>
    <w:p w14:paraId="6CB219D5" w14:textId="77777777" w:rsidR="002C7415" w:rsidRDefault="002C7415" w:rsidP="002C7415">
      <w:pPr>
        <w:pStyle w:val="Paragraphedeliste"/>
        <w:numPr>
          <w:ilvl w:val="0"/>
          <w:numId w:val="23"/>
        </w:numPr>
      </w:pPr>
      <w:r>
        <w:t>RR3312</w:t>
      </w:r>
    </w:p>
    <w:p w14:paraId="0795E310" w14:textId="77777777" w:rsidR="002C7415" w:rsidRDefault="002C7415" w:rsidP="002C7415">
      <w:pPr>
        <w:pStyle w:val="Paragraphedeliste"/>
        <w:numPr>
          <w:ilvl w:val="0"/>
          <w:numId w:val="23"/>
        </w:numPr>
      </w:pPr>
      <w:r>
        <w:t>RR4312</w:t>
      </w:r>
    </w:p>
    <w:p w14:paraId="70265AEB" w14:textId="77777777" w:rsidR="002C7415" w:rsidRPr="000C20D9" w:rsidRDefault="002C7415" w:rsidP="000C20D9">
      <w:pPr>
        <w:pStyle w:val="Titre2"/>
      </w:pPr>
      <w:bookmarkStart w:id="6" w:name="_Toc118886565"/>
      <w:r>
        <w:t>Avis concernant la télévision par câble coaxial et la connexion Internet (sur certains modèles)</w:t>
      </w:r>
      <w:bookmarkEnd w:id="6"/>
    </w:p>
    <w:p w14:paraId="0A7AD0C7" w14:textId="77777777" w:rsidR="002C7415" w:rsidRPr="002C233A" w:rsidRDefault="002C7415" w:rsidP="002C7415">
      <w:pPr>
        <w:shd w:val="clear" w:color="auto" w:fill="FFFFFF"/>
        <w:spacing w:after="0" w:line="240" w:lineRule="auto"/>
        <w:rPr>
          <w:rFonts w:eastAsia="Times New Roman" w:cs="Arial"/>
          <w:sz w:val="23"/>
          <w:szCs w:val="23"/>
        </w:rPr>
      </w:pPr>
      <w:r>
        <w:rPr>
          <w:sz w:val="23"/>
        </w:rPr>
        <w:t xml:space="preserve">Les informations de cette rubrique s'appliquent aux produits NETGEAR équipés d'un tuner TV. </w:t>
      </w:r>
    </w:p>
    <w:p w14:paraId="24A808E2" w14:textId="77777777" w:rsidR="002C7415" w:rsidRPr="002C233A" w:rsidRDefault="002C7415" w:rsidP="002C7415">
      <w:pPr>
        <w:shd w:val="clear" w:color="auto" w:fill="FFFFFF"/>
        <w:spacing w:after="0" w:line="240" w:lineRule="auto"/>
        <w:rPr>
          <w:rFonts w:eastAsia="Times New Roman" w:cs="Arial"/>
          <w:sz w:val="23"/>
          <w:szCs w:val="23"/>
        </w:rPr>
      </w:pPr>
      <w:r>
        <w:rPr>
          <w:sz w:val="23"/>
        </w:rPr>
        <w:t xml:space="preserve">Remarque à l'attention de l'installateur du système CATV : Ce rappel vise à attirer l'attention de l'installateur du système CATV sur l'article 820-93 du Code national de l'électricité, qui prévoit </w:t>
      </w:r>
    </w:p>
    <w:p w14:paraId="39EDBADC" w14:textId="5D698E7B" w:rsidR="002C7415" w:rsidRDefault="002C7415" w:rsidP="007000CC">
      <w:pPr>
        <w:spacing w:after="0"/>
      </w:pPr>
      <w:proofErr w:type="gramStart"/>
      <w:r>
        <w:rPr>
          <w:sz w:val="23"/>
        </w:rPr>
        <w:t>des</w:t>
      </w:r>
      <w:proofErr w:type="gramEnd"/>
      <w:r>
        <w:rPr>
          <w:sz w:val="23"/>
        </w:rPr>
        <w:t xml:space="preserve"> directives de mise à la terre adéquate et précise en particulier que le blindage du câble coaxial doit être connecté au système de mise à la terre du bâtiment aussi près que possible du point d'entrée du câble.</w:t>
      </w:r>
    </w:p>
    <w:p w14:paraId="23F05E7D" w14:textId="5357F363" w:rsidR="004E534D" w:rsidRPr="004E534D" w:rsidRDefault="004E534D" w:rsidP="00481C42">
      <w:pPr>
        <w:pStyle w:val="Titre1"/>
      </w:pPr>
      <w:bookmarkStart w:id="7" w:name="_Toc118886566"/>
      <w:r>
        <w:t>Informations relatives à la conformité légale</w:t>
      </w:r>
      <w:bookmarkEnd w:id="7"/>
    </w:p>
    <w:p w14:paraId="5765B674" w14:textId="77777777" w:rsidR="004E534D" w:rsidRPr="004E534D" w:rsidRDefault="004E534D" w:rsidP="004E534D">
      <w:pPr>
        <w:rPr>
          <w:rFonts w:cs="Arial"/>
        </w:rPr>
      </w:pPr>
      <w:r>
        <w:t>Ce document comprend les exigences relatives à l'utilisation des produits NETGEAR en conformité avec les lois nationales portant sur l'utilisation du spectre des fréquences radio et le fonctionnement des appareils radioélectriques. Le non-respect par l'utilisateur des exigences applicables peut entraîner une utilisation illégale et l'engagement de poursuites judiciaires par les autorités nationales compétentes.</w:t>
      </w:r>
    </w:p>
    <w:p w14:paraId="74156BB3" w14:textId="77777777" w:rsidR="004E534D" w:rsidRDefault="008D3F8E" w:rsidP="004E534D">
      <w:pPr>
        <w:rPr>
          <w:rFonts w:cs="Arial"/>
        </w:rPr>
      </w:pPr>
      <w:r>
        <w:t>Le firmware des appareils NETGEAR sans fil limite leur fonctionnement aux seuls canaux autorisés dans une région ou un pays particulier. En conséquence, certaines options répertoriées dans le présent document peuvent être inactives dans votre version du produit.</w:t>
      </w:r>
    </w:p>
    <w:p w14:paraId="74D1953B" w14:textId="77777777" w:rsidR="00AC23E2" w:rsidRDefault="00AC23E2" w:rsidP="004E534D">
      <w:pPr>
        <w:rPr>
          <w:rFonts w:cs="Arial"/>
        </w:rPr>
      </w:pPr>
      <w:r>
        <w:t>Ce document s'applique aux appareils de classe A et de classe B :</w:t>
      </w:r>
    </w:p>
    <w:p w14:paraId="2756E528" w14:textId="77777777" w:rsidR="00AC23E2" w:rsidRPr="00AC23E2" w:rsidRDefault="00375F22" w:rsidP="00AC23E2">
      <w:pPr>
        <w:pStyle w:val="Paragraphedeliste"/>
        <w:numPr>
          <w:ilvl w:val="0"/>
          <w:numId w:val="14"/>
        </w:numPr>
        <w:rPr>
          <w:rFonts w:cs="Arial"/>
        </w:rPr>
      </w:pPr>
      <w:r>
        <w:t>Les appareils de classe A sont destinés à être utilisés dans un environnement commercial ou industriel.  Ils ne sont pas destinés à être utilisés dans un cadre résidentiel ou à être mis à la disposition du grand public.</w:t>
      </w:r>
    </w:p>
    <w:p w14:paraId="4BA1F896" w14:textId="77777777" w:rsidR="001E4EB5" w:rsidRPr="00BE55C8" w:rsidRDefault="00375F22" w:rsidP="009B16CB">
      <w:pPr>
        <w:pStyle w:val="Paragraphedeliste"/>
        <w:numPr>
          <w:ilvl w:val="0"/>
          <w:numId w:val="14"/>
        </w:numPr>
        <w:rPr>
          <w:rFonts w:cstheme="majorBidi"/>
        </w:rPr>
      </w:pPr>
      <w:r>
        <w:t>Les appareils de classe B sont conçus pour être utilisés dans un cadre résidentiel et peuvent également être utilisés dans des applications commerciales et industrielles.  Les téléphones, les ordinateurs personnels et les passerelles de données résidentielles sont des exemples d'appareils de classe B.</w:t>
      </w:r>
    </w:p>
    <w:p w14:paraId="1FCA7028" w14:textId="77777777" w:rsidR="00BE55C8" w:rsidRDefault="00BE55C8" w:rsidP="00BE55C8">
      <w:pPr>
        <w:pStyle w:val="Paragraphedeliste"/>
        <w:numPr>
          <w:ilvl w:val="0"/>
          <w:numId w:val="14"/>
        </w:numPr>
        <w:spacing w:after="0" w:line="240" w:lineRule="auto"/>
        <w:contextualSpacing w:val="0"/>
      </w:pPr>
      <w:r>
        <w:t>Les fusibles ne doivent être installés que par des techniciens de maintenance.</w:t>
      </w:r>
    </w:p>
    <w:p w14:paraId="343D63F5" w14:textId="77777777" w:rsidR="00BE55C8" w:rsidRDefault="00BE55C8" w:rsidP="00BE55C8">
      <w:pPr>
        <w:pStyle w:val="Paragraphedeliste"/>
        <w:numPr>
          <w:ilvl w:val="0"/>
          <w:numId w:val="14"/>
        </w:numPr>
        <w:spacing w:after="0" w:line="240" w:lineRule="auto"/>
        <w:contextualSpacing w:val="0"/>
      </w:pPr>
      <w:r>
        <w:t>NETGEAR recommande l'utilisation de cordons téléphoniques de calibre 26 AWG ou supérieur.</w:t>
      </w:r>
    </w:p>
    <w:p w14:paraId="30D2F333" w14:textId="15030AD4" w:rsidR="000A4B34" w:rsidRDefault="000A4B34" w:rsidP="007000CC">
      <w:pPr>
        <w:spacing w:after="0"/>
        <w:ind w:left="360"/>
      </w:pPr>
    </w:p>
    <w:p w14:paraId="1CC588A6" w14:textId="3BA5F85A" w:rsidR="00A670DE" w:rsidRDefault="00A670DE" w:rsidP="00A670DE">
      <w:pPr>
        <w:pStyle w:val="Titre2"/>
      </w:pPr>
      <w:bookmarkStart w:id="8" w:name="_Toc118886567"/>
      <w:r>
        <w:t>Equipement certifié pour une utilisation en extérieur</w:t>
      </w:r>
      <w:bookmarkEnd w:id="8"/>
    </w:p>
    <w:p w14:paraId="1DBDC0E3" w14:textId="4B1C0261" w:rsidR="00995943" w:rsidRDefault="00995943" w:rsidP="00A670DE">
      <w:pPr>
        <w:rPr>
          <w:rFonts w:cs="Arial"/>
        </w:rPr>
      </w:pPr>
      <w:r>
        <w:t>Les produits NETGEAR sont destinés à une utilisation en intérieur, à l'exception des éléments suivants :</w:t>
      </w:r>
    </w:p>
    <w:p w14:paraId="6A498825" w14:textId="31081296" w:rsidR="00A670DE" w:rsidRDefault="00A670DE" w:rsidP="00A670DE">
      <w:pPr>
        <w:rPr>
          <w:rFonts w:cs="Arial"/>
        </w:rPr>
      </w:pPr>
      <w:r>
        <w:t>Les produits suivants sont certifiés pour une utilisation en extérieur :</w:t>
      </w:r>
    </w:p>
    <w:p w14:paraId="21F8D2AD" w14:textId="7DCB25AC" w:rsidR="00A670DE" w:rsidRDefault="00A670DE" w:rsidP="00A670DE">
      <w:pPr>
        <w:pStyle w:val="Titre4"/>
      </w:pPr>
      <w:r>
        <w:t>Tableau 1 : Produits certifiés pour une utilisation en extérieur</w:t>
      </w:r>
    </w:p>
    <w:tbl>
      <w:tblPr>
        <w:tblStyle w:val="Grilledutableau"/>
        <w:tblW w:w="0" w:type="auto"/>
        <w:tblLook w:val="04A0" w:firstRow="1" w:lastRow="0" w:firstColumn="1" w:lastColumn="0" w:noHBand="0" w:noVBand="1"/>
      </w:tblPr>
      <w:tblGrid>
        <w:gridCol w:w="1690"/>
        <w:gridCol w:w="1185"/>
        <w:gridCol w:w="1260"/>
        <w:gridCol w:w="1080"/>
        <w:gridCol w:w="1260"/>
        <w:gridCol w:w="1260"/>
      </w:tblGrid>
      <w:tr w:rsidR="00260503" w14:paraId="3325B1ED" w14:textId="396B803C" w:rsidTr="00260503">
        <w:tc>
          <w:tcPr>
            <w:tcW w:w="1690" w:type="dxa"/>
            <w:tcBorders>
              <w:bottom w:val="nil"/>
            </w:tcBorders>
          </w:tcPr>
          <w:p w14:paraId="0D932872" w14:textId="153A6124" w:rsidR="00260503" w:rsidRPr="00E63B27" w:rsidRDefault="00260503" w:rsidP="00260503">
            <w:pPr>
              <w:rPr>
                <w:rFonts w:cs="Arial"/>
                <w:u w:val="single"/>
              </w:rPr>
            </w:pPr>
            <w:r>
              <w:rPr>
                <w:u w:val="single"/>
              </w:rPr>
              <w:t>Fixe :</w:t>
            </w:r>
          </w:p>
        </w:tc>
        <w:tc>
          <w:tcPr>
            <w:tcW w:w="1185" w:type="dxa"/>
          </w:tcPr>
          <w:p w14:paraId="61B70B84" w14:textId="290DB2DA" w:rsidR="00260503" w:rsidRDefault="00260503" w:rsidP="00260503">
            <w:pPr>
              <w:rPr>
                <w:rFonts w:cs="Arial"/>
              </w:rPr>
            </w:pPr>
            <w:r>
              <w:t>WND930</w:t>
            </w:r>
          </w:p>
        </w:tc>
        <w:tc>
          <w:tcPr>
            <w:tcW w:w="1260" w:type="dxa"/>
          </w:tcPr>
          <w:p w14:paraId="4641AA88" w14:textId="77777777" w:rsidR="00260503" w:rsidRPr="0060535B" w:rsidRDefault="00260503" w:rsidP="00260503">
            <w:pPr>
              <w:rPr>
                <w:rFonts w:cs="Arial"/>
                <w:highlight w:val="yellow"/>
              </w:rPr>
            </w:pPr>
            <w:r>
              <w:t>WBC502</w:t>
            </w:r>
          </w:p>
        </w:tc>
        <w:tc>
          <w:tcPr>
            <w:tcW w:w="1080" w:type="dxa"/>
          </w:tcPr>
          <w:p w14:paraId="60380C9B" w14:textId="35F588A4" w:rsidR="00260503" w:rsidRPr="0060535B" w:rsidRDefault="00260503" w:rsidP="00260503">
            <w:pPr>
              <w:rPr>
                <w:rFonts w:cs="Arial"/>
                <w:highlight w:val="yellow"/>
              </w:rPr>
            </w:pPr>
            <w:r>
              <w:t>RBS50Y</w:t>
            </w:r>
          </w:p>
        </w:tc>
        <w:tc>
          <w:tcPr>
            <w:tcW w:w="1260" w:type="dxa"/>
          </w:tcPr>
          <w:p w14:paraId="6148710C" w14:textId="2787CE13" w:rsidR="00260503" w:rsidRDefault="00260503" w:rsidP="00260503">
            <w:pPr>
              <w:rPr>
                <w:rFonts w:cs="Arial"/>
              </w:rPr>
            </w:pPr>
            <w:r>
              <w:t>WAX610Y</w:t>
            </w:r>
          </w:p>
        </w:tc>
        <w:tc>
          <w:tcPr>
            <w:tcW w:w="1260" w:type="dxa"/>
          </w:tcPr>
          <w:p w14:paraId="6C23408E" w14:textId="77777777" w:rsidR="00260503" w:rsidRDefault="00260503" w:rsidP="00260503">
            <w:pPr>
              <w:rPr>
                <w:rFonts w:cs="Arial"/>
              </w:rPr>
            </w:pPr>
          </w:p>
        </w:tc>
      </w:tr>
      <w:tr w:rsidR="00260503" w14:paraId="57BBDDCF" w14:textId="1F7081B9" w:rsidTr="00260503">
        <w:tc>
          <w:tcPr>
            <w:tcW w:w="1690" w:type="dxa"/>
            <w:tcBorders>
              <w:top w:val="nil"/>
            </w:tcBorders>
          </w:tcPr>
          <w:p w14:paraId="04A0B991" w14:textId="77777777" w:rsidR="00260503" w:rsidRDefault="00260503" w:rsidP="00260503">
            <w:pPr>
              <w:rPr>
                <w:rFonts w:cs="Arial"/>
              </w:rPr>
            </w:pPr>
          </w:p>
        </w:tc>
        <w:tc>
          <w:tcPr>
            <w:tcW w:w="1185" w:type="dxa"/>
          </w:tcPr>
          <w:p w14:paraId="48279F66" w14:textId="77B63F89" w:rsidR="00260503" w:rsidRDefault="00260503" w:rsidP="00260503">
            <w:pPr>
              <w:rPr>
                <w:rFonts w:cs="Arial"/>
              </w:rPr>
            </w:pPr>
          </w:p>
        </w:tc>
        <w:tc>
          <w:tcPr>
            <w:tcW w:w="1260" w:type="dxa"/>
          </w:tcPr>
          <w:p w14:paraId="331ADEC7" w14:textId="23867153" w:rsidR="00260503" w:rsidRDefault="00260503" w:rsidP="00260503">
            <w:pPr>
              <w:rPr>
                <w:rFonts w:cs="Arial"/>
              </w:rPr>
            </w:pPr>
          </w:p>
        </w:tc>
        <w:tc>
          <w:tcPr>
            <w:tcW w:w="1080" w:type="dxa"/>
          </w:tcPr>
          <w:p w14:paraId="28E14027" w14:textId="77777777" w:rsidR="00260503" w:rsidRDefault="00260503" w:rsidP="00260503">
            <w:pPr>
              <w:rPr>
                <w:rFonts w:cs="Arial"/>
              </w:rPr>
            </w:pPr>
          </w:p>
        </w:tc>
        <w:tc>
          <w:tcPr>
            <w:tcW w:w="1260" w:type="dxa"/>
          </w:tcPr>
          <w:p w14:paraId="6466D30F" w14:textId="77777777" w:rsidR="00260503" w:rsidRDefault="00260503" w:rsidP="00260503">
            <w:pPr>
              <w:rPr>
                <w:rFonts w:cs="Arial"/>
              </w:rPr>
            </w:pPr>
          </w:p>
        </w:tc>
        <w:tc>
          <w:tcPr>
            <w:tcW w:w="1260" w:type="dxa"/>
          </w:tcPr>
          <w:p w14:paraId="3A2D4CAE" w14:textId="77777777" w:rsidR="00260503" w:rsidRDefault="00260503" w:rsidP="00260503">
            <w:pPr>
              <w:rPr>
                <w:rFonts w:cs="Arial"/>
              </w:rPr>
            </w:pPr>
          </w:p>
        </w:tc>
      </w:tr>
      <w:tr w:rsidR="00260503" w14:paraId="2BE46B21" w14:textId="76E38B12" w:rsidTr="00E63B27">
        <w:trPr>
          <w:trHeight w:val="89"/>
        </w:trPr>
        <w:tc>
          <w:tcPr>
            <w:tcW w:w="1690" w:type="dxa"/>
            <w:tcBorders>
              <w:bottom w:val="single" w:sz="4" w:space="0" w:color="auto"/>
            </w:tcBorders>
          </w:tcPr>
          <w:p w14:paraId="63C04B92" w14:textId="77777777" w:rsidR="00260503" w:rsidRDefault="00260503" w:rsidP="00260503">
            <w:pPr>
              <w:rPr>
                <w:rFonts w:cs="Arial"/>
              </w:rPr>
            </w:pPr>
          </w:p>
        </w:tc>
        <w:tc>
          <w:tcPr>
            <w:tcW w:w="1185" w:type="dxa"/>
          </w:tcPr>
          <w:p w14:paraId="70C61DD3" w14:textId="24FB9CEF" w:rsidR="00260503" w:rsidRDefault="00260503" w:rsidP="00260503">
            <w:pPr>
              <w:rPr>
                <w:rFonts w:cs="Arial"/>
              </w:rPr>
            </w:pPr>
          </w:p>
        </w:tc>
        <w:tc>
          <w:tcPr>
            <w:tcW w:w="1260" w:type="dxa"/>
          </w:tcPr>
          <w:p w14:paraId="7B732A40" w14:textId="77777777" w:rsidR="00260503" w:rsidRDefault="00260503" w:rsidP="00260503">
            <w:pPr>
              <w:rPr>
                <w:rFonts w:cs="Arial"/>
              </w:rPr>
            </w:pPr>
          </w:p>
        </w:tc>
        <w:tc>
          <w:tcPr>
            <w:tcW w:w="1080" w:type="dxa"/>
          </w:tcPr>
          <w:p w14:paraId="0C28CA2C" w14:textId="77777777" w:rsidR="00260503" w:rsidRDefault="00260503" w:rsidP="00260503">
            <w:pPr>
              <w:rPr>
                <w:rFonts w:cs="Arial"/>
              </w:rPr>
            </w:pPr>
          </w:p>
        </w:tc>
        <w:tc>
          <w:tcPr>
            <w:tcW w:w="1260" w:type="dxa"/>
          </w:tcPr>
          <w:p w14:paraId="13E0A346" w14:textId="77777777" w:rsidR="00260503" w:rsidRDefault="00260503" w:rsidP="00260503">
            <w:pPr>
              <w:rPr>
                <w:rFonts w:cs="Arial"/>
              </w:rPr>
            </w:pPr>
          </w:p>
        </w:tc>
        <w:tc>
          <w:tcPr>
            <w:tcW w:w="1260" w:type="dxa"/>
          </w:tcPr>
          <w:p w14:paraId="125B25E8" w14:textId="77777777" w:rsidR="00260503" w:rsidRDefault="00260503" w:rsidP="00260503">
            <w:pPr>
              <w:rPr>
                <w:rFonts w:cs="Arial"/>
              </w:rPr>
            </w:pPr>
          </w:p>
        </w:tc>
      </w:tr>
      <w:tr w:rsidR="00260503" w14:paraId="48ED5DD5" w14:textId="4DC9EC34" w:rsidTr="00260503">
        <w:tc>
          <w:tcPr>
            <w:tcW w:w="1690" w:type="dxa"/>
            <w:tcBorders>
              <w:bottom w:val="nil"/>
            </w:tcBorders>
          </w:tcPr>
          <w:p w14:paraId="61F4E288" w14:textId="7BAD6A88" w:rsidR="00260503" w:rsidRPr="00E63B27" w:rsidRDefault="00260503" w:rsidP="00260503">
            <w:pPr>
              <w:rPr>
                <w:rFonts w:cs="Arial"/>
                <w:u w:val="single"/>
              </w:rPr>
            </w:pPr>
            <w:r>
              <w:rPr>
                <w:u w:val="single"/>
              </w:rPr>
              <w:t>Portable :</w:t>
            </w:r>
          </w:p>
        </w:tc>
        <w:tc>
          <w:tcPr>
            <w:tcW w:w="1185" w:type="dxa"/>
          </w:tcPr>
          <w:p w14:paraId="66A8D0C7" w14:textId="63201C91" w:rsidR="00260503" w:rsidRDefault="00260503" w:rsidP="00260503">
            <w:pPr>
              <w:rPr>
                <w:rFonts w:cs="Arial"/>
              </w:rPr>
            </w:pPr>
            <w:r>
              <w:t>MR1100</w:t>
            </w:r>
          </w:p>
        </w:tc>
        <w:tc>
          <w:tcPr>
            <w:tcW w:w="1260" w:type="dxa"/>
          </w:tcPr>
          <w:p w14:paraId="755E4425" w14:textId="0282426E" w:rsidR="00260503" w:rsidRDefault="00260503" w:rsidP="00260503">
            <w:pPr>
              <w:rPr>
                <w:rFonts w:cs="Arial"/>
              </w:rPr>
            </w:pPr>
            <w:r>
              <w:t>MR2100</w:t>
            </w:r>
          </w:p>
        </w:tc>
        <w:tc>
          <w:tcPr>
            <w:tcW w:w="1080" w:type="dxa"/>
          </w:tcPr>
          <w:p w14:paraId="3C694830" w14:textId="3BA67D45" w:rsidR="00260503" w:rsidRDefault="00260503" w:rsidP="00260503">
            <w:pPr>
              <w:rPr>
                <w:rFonts w:cs="Arial"/>
              </w:rPr>
            </w:pPr>
            <w:r>
              <w:t>MR5100</w:t>
            </w:r>
          </w:p>
        </w:tc>
        <w:tc>
          <w:tcPr>
            <w:tcW w:w="1260" w:type="dxa"/>
          </w:tcPr>
          <w:p w14:paraId="2E031FF2" w14:textId="698B71A8" w:rsidR="00260503" w:rsidRDefault="00260503" w:rsidP="00260503">
            <w:pPr>
              <w:rPr>
                <w:rFonts w:cs="Arial"/>
              </w:rPr>
            </w:pPr>
            <w:r>
              <w:t>MR5200</w:t>
            </w:r>
          </w:p>
        </w:tc>
        <w:tc>
          <w:tcPr>
            <w:tcW w:w="1260" w:type="dxa"/>
          </w:tcPr>
          <w:p w14:paraId="56776633" w14:textId="77777777" w:rsidR="00260503" w:rsidRDefault="00260503" w:rsidP="00260503">
            <w:pPr>
              <w:rPr>
                <w:rFonts w:cs="Arial"/>
              </w:rPr>
            </w:pPr>
          </w:p>
        </w:tc>
      </w:tr>
      <w:tr w:rsidR="00260503" w14:paraId="71D84E0B" w14:textId="3D988E2A" w:rsidTr="00260503">
        <w:tc>
          <w:tcPr>
            <w:tcW w:w="1690" w:type="dxa"/>
            <w:tcBorders>
              <w:top w:val="nil"/>
              <w:bottom w:val="nil"/>
            </w:tcBorders>
          </w:tcPr>
          <w:p w14:paraId="387CF2E0" w14:textId="77777777" w:rsidR="00260503" w:rsidRPr="008172B1" w:rsidRDefault="00260503" w:rsidP="00260503">
            <w:pPr>
              <w:rPr>
                <w:rFonts w:cs="Arial"/>
              </w:rPr>
            </w:pPr>
          </w:p>
        </w:tc>
        <w:tc>
          <w:tcPr>
            <w:tcW w:w="1185" w:type="dxa"/>
          </w:tcPr>
          <w:p w14:paraId="0CFED318" w14:textId="0AA35EEA" w:rsidR="00260503" w:rsidRDefault="00260503" w:rsidP="00260503">
            <w:pPr>
              <w:rPr>
                <w:rFonts w:cs="Arial"/>
              </w:rPr>
            </w:pPr>
            <w:r>
              <w:t>MR61XX</w:t>
            </w:r>
          </w:p>
        </w:tc>
        <w:tc>
          <w:tcPr>
            <w:tcW w:w="1260" w:type="dxa"/>
          </w:tcPr>
          <w:p w14:paraId="26F4FFEF" w14:textId="7BD338F4" w:rsidR="00260503" w:rsidRDefault="00260503" w:rsidP="00260503">
            <w:pPr>
              <w:rPr>
                <w:rFonts w:cs="Arial"/>
              </w:rPr>
            </w:pPr>
            <w:r>
              <w:t>MR64XX</w:t>
            </w:r>
          </w:p>
        </w:tc>
        <w:tc>
          <w:tcPr>
            <w:tcW w:w="1080" w:type="dxa"/>
          </w:tcPr>
          <w:p w14:paraId="200B40DA" w14:textId="40D19BCB" w:rsidR="00260503" w:rsidRDefault="00260503" w:rsidP="00260503">
            <w:pPr>
              <w:rPr>
                <w:rFonts w:cs="Arial"/>
              </w:rPr>
            </w:pPr>
            <w:r>
              <w:t>MR65XX</w:t>
            </w:r>
          </w:p>
        </w:tc>
        <w:tc>
          <w:tcPr>
            <w:tcW w:w="1260" w:type="dxa"/>
          </w:tcPr>
          <w:p w14:paraId="6AC3BA8B" w14:textId="370748EA" w:rsidR="00260503" w:rsidRDefault="00260503" w:rsidP="00260503">
            <w:pPr>
              <w:rPr>
                <w:rFonts w:cs="Arial"/>
              </w:rPr>
            </w:pPr>
          </w:p>
        </w:tc>
        <w:tc>
          <w:tcPr>
            <w:tcW w:w="1260" w:type="dxa"/>
          </w:tcPr>
          <w:p w14:paraId="2092C0B8" w14:textId="77777777" w:rsidR="00260503" w:rsidRDefault="00260503" w:rsidP="00260503">
            <w:pPr>
              <w:rPr>
                <w:rFonts w:cs="Arial"/>
              </w:rPr>
            </w:pPr>
          </w:p>
        </w:tc>
      </w:tr>
      <w:tr w:rsidR="00260503" w14:paraId="5B0347CF" w14:textId="38F8160E" w:rsidTr="00260503">
        <w:tc>
          <w:tcPr>
            <w:tcW w:w="1690" w:type="dxa"/>
            <w:tcBorders>
              <w:top w:val="nil"/>
            </w:tcBorders>
          </w:tcPr>
          <w:p w14:paraId="065887FE" w14:textId="77777777" w:rsidR="00260503" w:rsidRDefault="00260503" w:rsidP="00260503">
            <w:pPr>
              <w:rPr>
                <w:rFonts w:cs="Arial"/>
              </w:rPr>
            </w:pPr>
          </w:p>
        </w:tc>
        <w:tc>
          <w:tcPr>
            <w:tcW w:w="1185" w:type="dxa"/>
          </w:tcPr>
          <w:p w14:paraId="24CB52F8" w14:textId="2C7E5A3C" w:rsidR="00260503" w:rsidRDefault="00260503" w:rsidP="00260503">
            <w:pPr>
              <w:rPr>
                <w:rFonts w:cs="Arial"/>
              </w:rPr>
            </w:pPr>
            <w:r>
              <w:t>A6100</w:t>
            </w:r>
          </w:p>
        </w:tc>
        <w:tc>
          <w:tcPr>
            <w:tcW w:w="1260" w:type="dxa"/>
          </w:tcPr>
          <w:p w14:paraId="273AC192" w14:textId="0395CF09" w:rsidR="00260503" w:rsidRDefault="00260503" w:rsidP="00260503">
            <w:pPr>
              <w:rPr>
                <w:rFonts w:cs="Arial"/>
              </w:rPr>
            </w:pPr>
            <w:r>
              <w:t>A6150</w:t>
            </w:r>
          </w:p>
        </w:tc>
        <w:tc>
          <w:tcPr>
            <w:tcW w:w="1080" w:type="dxa"/>
          </w:tcPr>
          <w:p w14:paraId="1420D0D6" w14:textId="25344AE9" w:rsidR="00260503" w:rsidRDefault="00260503" w:rsidP="00260503">
            <w:pPr>
              <w:rPr>
                <w:rFonts w:cs="Arial"/>
              </w:rPr>
            </w:pPr>
            <w:r>
              <w:t>A6210</w:t>
            </w:r>
          </w:p>
        </w:tc>
        <w:tc>
          <w:tcPr>
            <w:tcW w:w="1260" w:type="dxa"/>
          </w:tcPr>
          <w:p w14:paraId="49F87091" w14:textId="622AA0CA" w:rsidR="00260503" w:rsidRDefault="00260503" w:rsidP="00260503">
            <w:pPr>
              <w:rPr>
                <w:rFonts w:cs="Arial"/>
              </w:rPr>
            </w:pPr>
            <w:r>
              <w:t>A7000</w:t>
            </w:r>
          </w:p>
        </w:tc>
        <w:tc>
          <w:tcPr>
            <w:tcW w:w="1260" w:type="dxa"/>
          </w:tcPr>
          <w:p w14:paraId="2072EE4E" w14:textId="7740B07D" w:rsidR="00260503" w:rsidRDefault="00DF5D73" w:rsidP="00260503">
            <w:pPr>
              <w:rPr>
                <w:rFonts w:cs="Arial"/>
              </w:rPr>
            </w:pPr>
            <w:r>
              <w:t>A8000</w:t>
            </w:r>
          </w:p>
        </w:tc>
      </w:tr>
    </w:tbl>
    <w:p w14:paraId="5D393599" w14:textId="77777777" w:rsidR="00A670DE" w:rsidRDefault="00A670DE" w:rsidP="00A670DE">
      <w:pPr>
        <w:rPr>
          <w:rFonts w:cs="Arial"/>
        </w:rPr>
      </w:pPr>
    </w:p>
    <w:p w14:paraId="30C31AB8" w14:textId="25942375" w:rsidR="00A670DE" w:rsidRDefault="00A670DE" w:rsidP="006F2801">
      <w:r>
        <w:t xml:space="preserve">Mise en garde relative à </w:t>
      </w:r>
      <w:r>
        <w:rPr>
          <w:b/>
        </w:rPr>
        <w:t>l'installation</w:t>
      </w:r>
      <w:r>
        <w:t xml:space="preserve"> de cet équipement à l'extérieur : N'oubliez pas que les installations extérieures nécessitent une attention particulière et ne seront manipulées que par du personnel d'installation formé et qualifié.  Le grand public n'est pas autorisé à installer des produits NETGEAR sans fil à l'extérieur lorsqu'il est nécessaire d'installer des antennes externes, une alimentation et une mise à la terre pour les utiliser.  Une attention particulière doit être accordée aux fréquences opérationnelles autorisées.  Contactez NETGEAR afin de savoir comment contacter un installateur pour les opérations en extérieur si ce produit fait l'objet de considérations particulières pour les installations en extérieur.  Pour obtenir des informations détaillées concernant les installations en France, l'utilisateur doit contacter l'autorité nationale du spectre en France (http://www.arcep.fr/).</w:t>
      </w:r>
    </w:p>
    <w:p w14:paraId="0D8A05E1" w14:textId="38604C89" w:rsidR="00430601" w:rsidRPr="000E6B64" w:rsidRDefault="00430601" w:rsidP="00D14AE9">
      <w:pPr>
        <w:spacing w:after="80" w:line="240" w:lineRule="auto"/>
      </w:pPr>
      <w:bookmarkStart w:id="9" w:name="_Hlk90038977"/>
      <w:r>
        <w:t>L'appareil est réservé à une utilisation en intérieur uniquement lorsqu'il fonctionne dans les plages de fréquences de certains pays :</w:t>
      </w:r>
    </w:p>
    <w:p w14:paraId="0310517F" w14:textId="77777777" w:rsidR="00430601" w:rsidRPr="000E6B64" w:rsidRDefault="00430601" w:rsidP="00430601">
      <w:pPr>
        <w:pStyle w:val="Paragraphedeliste"/>
        <w:spacing w:after="0" w:line="240" w:lineRule="auto"/>
        <w:contextualSpacing w:val="0"/>
      </w:pPr>
      <w:r>
        <w:t>5150 à 5350 MHz</w:t>
      </w:r>
    </w:p>
    <w:p w14:paraId="241336ED" w14:textId="2466F7EC" w:rsidR="00430601" w:rsidRDefault="00430601" w:rsidP="00430601">
      <w:pPr>
        <w:pStyle w:val="Paragraphedeliste"/>
        <w:spacing w:after="80" w:line="240" w:lineRule="auto"/>
        <w:contextualSpacing w:val="0"/>
      </w:pPr>
      <w:r>
        <w:t>5925 à 7125 MHz</w:t>
      </w:r>
    </w:p>
    <w:p w14:paraId="4C64A96E" w14:textId="3CEB85A4" w:rsidR="00430601" w:rsidRDefault="00430601" w:rsidP="006F2801">
      <w:r>
        <w:t>Les réglementations de la FCC et de l'ISED limitent le fonctionnement de cet appareil à une utilisation en intérieur uniquement pour le mode Point d'accès pour les fréquences entre 5 850 et 7 125 MHz.</w:t>
      </w:r>
      <w:bookmarkEnd w:id="9"/>
    </w:p>
    <w:p w14:paraId="27C8BB2E" w14:textId="77777777" w:rsidR="000A4B34" w:rsidRDefault="000A4B34" w:rsidP="007000CC">
      <w:pPr>
        <w:pStyle w:val="Titre2"/>
      </w:pPr>
      <w:bookmarkStart w:id="10" w:name="_Toc118886568"/>
      <w:r>
        <w:t>Equipement avec antennes externes</w:t>
      </w:r>
      <w:bookmarkEnd w:id="10"/>
    </w:p>
    <w:p w14:paraId="5AC18A68" w14:textId="5D6BC179" w:rsidR="000A4B34" w:rsidRDefault="000A4B34" w:rsidP="000A4B34">
      <w:r>
        <w:t>Les équipements dotés d'antennes externes doivent utiliser les antennes et câbles indiqués, ou d'autres appareils de sorte que le gain net (antenne + câble) soit inférieur à celui spécifié ci-dessous ou à celui des antennes recommandées :</w:t>
      </w:r>
    </w:p>
    <w:p w14:paraId="4DE7A88C" w14:textId="77777777" w:rsidR="000A4B34" w:rsidRDefault="000A4B34" w:rsidP="0060535B">
      <w:pPr>
        <w:pStyle w:val="Titre4"/>
      </w:pPr>
      <w:r>
        <w:t>Tableau 2. Gain de l'antenne externe</w:t>
      </w:r>
    </w:p>
    <w:tbl>
      <w:tblPr>
        <w:tblStyle w:val="Grilledutableau"/>
        <w:tblW w:w="9895" w:type="dxa"/>
        <w:tblLook w:val="04A0" w:firstRow="1" w:lastRow="0" w:firstColumn="1" w:lastColumn="0" w:noHBand="0" w:noVBand="1"/>
      </w:tblPr>
      <w:tblGrid>
        <w:gridCol w:w="2065"/>
        <w:gridCol w:w="3690"/>
        <w:gridCol w:w="1077"/>
        <w:gridCol w:w="3063"/>
      </w:tblGrid>
      <w:tr w:rsidR="00CF0E11" w:rsidRPr="00DB1424" w14:paraId="37059F38" w14:textId="77777777" w:rsidTr="00260503">
        <w:tc>
          <w:tcPr>
            <w:tcW w:w="2065" w:type="dxa"/>
          </w:tcPr>
          <w:p w14:paraId="127F10B4" w14:textId="77777777" w:rsidR="00CF0E11" w:rsidRPr="00DB1424" w:rsidRDefault="00CF0E11" w:rsidP="00CF0E11">
            <w:pPr>
              <w:rPr>
                <w:b/>
              </w:rPr>
            </w:pPr>
            <w:bookmarkStart w:id="11" w:name="_Hlk106972936"/>
            <w:r>
              <w:rPr>
                <w:b/>
              </w:rPr>
              <w:t>Produit</w:t>
            </w:r>
          </w:p>
        </w:tc>
        <w:tc>
          <w:tcPr>
            <w:tcW w:w="3690" w:type="dxa"/>
          </w:tcPr>
          <w:p w14:paraId="2FB089E8" w14:textId="77777777" w:rsidR="00CF0E11" w:rsidRPr="00DB1424" w:rsidRDefault="00CF0E11" w:rsidP="00CF0E11">
            <w:pPr>
              <w:rPr>
                <w:b/>
              </w:rPr>
            </w:pPr>
            <w:r>
              <w:rPr>
                <w:b/>
              </w:rPr>
              <w:t>Fréquence</w:t>
            </w:r>
          </w:p>
        </w:tc>
        <w:tc>
          <w:tcPr>
            <w:tcW w:w="1077" w:type="dxa"/>
          </w:tcPr>
          <w:p w14:paraId="22A74BD2" w14:textId="380011D9" w:rsidR="00CF0E11" w:rsidRPr="00DB1424" w:rsidRDefault="006D1744" w:rsidP="00CF0E11">
            <w:pPr>
              <w:rPr>
                <w:b/>
              </w:rPr>
            </w:pPr>
            <w:r>
              <w:rPr>
                <w:b/>
              </w:rPr>
              <w:t>Gain net maximal de l'antenne externe (</w:t>
            </w:r>
            <w:proofErr w:type="spellStart"/>
            <w:r>
              <w:rPr>
                <w:b/>
              </w:rPr>
              <w:t>dBi</w:t>
            </w:r>
            <w:proofErr w:type="spellEnd"/>
            <w:r>
              <w:rPr>
                <w:b/>
              </w:rPr>
              <w:t>)</w:t>
            </w:r>
          </w:p>
        </w:tc>
        <w:tc>
          <w:tcPr>
            <w:tcW w:w="3063" w:type="dxa"/>
          </w:tcPr>
          <w:p w14:paraId="07147628" w14:textId="3B9A763D" w:rsidR="00CF0E11" w:rsidRPr="00DB1424" w:rsidRDefault="00CF0E11" w:rsidP="00CF0E11">
            <w:pPr>
              <w:rPr>
                <w:b/>
              </w:rPr>
            </w:pPr>
            <w:r>
              <w:rPr>
                <w:b/>
              </w:rPr>
              <w:t>Antenne(s) recommandée(s) ou par défaut</w:t>
            </w:r>
          </w:p>
        </w:tc>
      </w:tr>
      <w:bookmarkEnd w:id="11"/>
      <w:tr w:rsidR="00CF0E11" w14:paraId="1DECA623" w14:textId="77777777" w:rsidTr="00260503">
        <w:tc>
          <w:tcPr>
            <w:tcW w:w="2065" w:type="dxa"/>
          </w:tcPr>
          <w:p w14:paraId="682A2009" w14:textId="3A0AD87F" w:rsidR="000A4B34" w:rsidRDefault="000A4B34" w:rsidP="008D4B1D">
            <w:r>
              <w:t>EX6200</w:t>
            </w:r>
          </w:p>
        </w:tc>
        <w:tc>
          <w:tcPr>
            <w:tcW w:w="3690" w:type="dxa"/>
          </w:tcPr>
          <w:p w14:paraId="5C51595D" w14:textId="4FB09232" w:rsidR="000A4B34" w:rsidRDefault="008A3B83" w:rsidP="008D4B1D">
            <w:r>
              <w:t>2400-2500 MHz</w:t>
            </w:r>
          </w:p>
          <w:p w14:paraId="331BE2FF" w14:textId="1EB5EE5C" w:rsidR="008A3B83" w:rsidRDefault="008A3B83" w:rsidP="008D4B1D">
            <w:r>
              <w:t>5100-5850 MHz</w:t>
            </w:r>
          </w:p>
        </w:tc>
        <w:tc>
          <w:tcPr>
            <w:tcW w:w="1077" w:type="dxa"/>
          </w:tcPr>
          <w:p w14:paraId="4FE00F6D" w14:textId="0C015180" w:rsidR="008A3B83" w:rsidRDefault="008A3B83" w:rsidP="008D4B1D"/>
        </w:tc>
        <w:tc>
          <w:tcPr>
            <w:tcW w:w="3063" w:type="dxa"/>
          </w:tcPr>
          <w:p w14:paraId="61BCAAAD" w14:textId="188AEC02" w:rsidR="000A4B34" w:rsidRDefault="008A3B83" w:rsidP="008D4B1D">
            <w:proofErr w:type="spellStart"/>
            <w:r>
              <w:t>Masterwave</w:t>
            </w:r>
            <w:proofErr w:type="spellEnd"/>
            <w:r>
              <w:t xml:space="preserve"> </w:t>
            </w:r>
            <w:hyperlink r:id="rId14" w:history="1">
              <w:r>
                <w:rPr>
                  <w:rStyle w:val="Lienhypertexte"/>
                  <w:color w:val="auto"/>
                  <w:sz w:val="17"/>
                  <w:u w:val="none"/>
                </w:rPr>
                <w:t>98619PRSX005</w:t>
              </w:r>
            </w:hyperlink>
          </w:p>
        </w:tc>
      </w:tr>
      <w:tr w:rsidR="00CF0E11" w14:paraId="0254762D" w14:textId="77777777" w:rsidTr="00260503">
        <w:tc>
          <w:tcPr>
            <w:tcW w:w="2065" w:type="dxa"/>
          </w:tcPr>
          <w:p w14:paraId="1AAE46C9" w14:textId="7A9FB905" w:rsidR="00AA7FAE" w:rsidRDefault="00AA7FAE" w:rsidP="00AA7FAE">
            <w:r>
              <w:t>RS400</w:t>
            </w:r>
          </w:p>
        </w:tc>
        <w:tc>
          <w:tcPr>
            <w:tcW w:w="3690" w:type="dxa"/>
          </w:tcPr>
          <w:p w14:paraId="53F892B6" w14:textId="77777777" w:rsidR="00AA7FAE" w:rsidRDefault="00AA7FAE" w:rsidP="00AA7FAE">
            <w:r>
              <w:t>2400-2500 MHz</w:t>
            </w:r>
          </w:p>
          <w:p w14:paraId="2ADE5E18" w14:textId="02212D42" w:rsidR="00AA7FAE" w:rsidRDefault="00AA7FAE" w:rsidP="00AA7FAE">
            <w:r>
              <w:t>5100-5850 MHz</w:t>
            </w:r>
          </w:p>
        </w:tc>
        <w:tc>
          <w:tcPr>
            <w:tcW w:w="1077" w:type="dxa"/>
          </w:tcPr>
          <w:p w14:paraId="2FCC86BA" w14:textId="29A063F5" w:rsidR="00AA7FAE" w:rsidRDefault="00AA7FAE" w:rsidP="00AA7FAE"/>
        </w:tc>
        <w:tc>
          <w:tcPr>
            <w:tcW w:w="3063" w:type="dxa"/>
          </w:tcPr>
          <w:p w14:paraId="54595666" w14:textId="19567375" w:rsidR="00AA7FAE" w:rsidRDefault="00AA7FAE" w:rsidP="00AA7FAE">
            <w:proofErr w:type="spellStart"/>
            <w:r>
              <w:t>Masterwave</w:t>
            </w:r>
            <w:proofErr w:type="spellEnd"/>
            <w:r>
              <w:t xml:space="preserve"> 98364PRSX004</w:t>
            </w:r>
          </w:p>
        </w:tc>
      </w:tr>
      <w:tr w:rsidR="00CF0E11" w14:paraId="0D2B0AE0" w14:textId="77777777" w:rsidTr="00260503">
        <w:tc>
          <w:tcPr>
            <w:tcW w:w="2065" w:type="dxa"/>
          </w:tcPr>
          <w:p w14:paraId="7D465E22" w14:textId="33E86E39" w:rsidR="009A054E" w:rsidRDefault="009A054E" w:rsidP="009A054E">
            <w:r>
              <w:t>R6800</w:t>
            </w:r>
          </w:p>
        </w:tc>
        <w:tc>
          <w:tcPr>
            <w:tcW w:w="3690" w:type="dxa"/>
          </w:tcPr>
          <w:p w14:paraId="2F806D67" w14:textId="77777777" w:rsidR="009A054E" w:rsidRDefault="009A054E" w:rsidP="009A054E">
            <w:r>
              <w:t>2400-2500 MHz</w:t>
            </w:r>
          </w:p>
          <w:p w14:paraId="0F962AA1" w14:textId="6CF1DB10" w:rsidR="009A054E" w:rsidRDefault="009A054E" w:rsidP="009A054E">
            <w:r>
              <w:t>5100-5850 MHz</w:t>
            </w:r>
          </w:p>
        </w:tc>
        <w:tc>
          <w:tcPr>
            <w:tcW w:w="1077" w:type="dxa"/>
          </w:tcPr>
          <w:p w14:paraId="0EEE18AA" w14:textId="09277A49" w:rsidR="009A054E" w:rsidRDefault="009A054E" w:rsidP="009A054E"/>
        </w:tc>
        <w:tc>
          <w:tcPr>
            <w:tcW w:w="3063" w:type="dxa"/>
          </w:tcPr>
          <w:p w14:paraId="5F34F1BF" w14:textId="03F92659" w:rsidR="009A054E" w:rsidRDefault="009A054E" w:rsidP="009A054E">
            <w:proofErr w:type="spellStart"/>
            <w:r>
              <w:t>Masterwave</w:t>
            </w:r>
            <w:proofErr w:type="spellEnd"/>
            <w:r>
              <w:t xml:space="preserve"> 98364PRSX004</w:t>
            </w:r>
          </w:p>
        </w:tc>
      </w:tr>
      <w:tr w:rsidR="00CF0E11" w14:paraId="61DCF2B1" w14:textId="77777777" w:rsidTr="00260503">
        <w:tc>
          <w:tcPr>
            <w:tcW w:w="2065" w:type="dxa"/>
          </w:tcPr>
          <w:p w14:paraId="495DE587" w14:textId="3AC5C1AC" w:rsidR="00BB66B4" w:rsidRDefault="00BB66B4" w:rsidP="00BB66B4">
            <w:r>
              <w:t>R6900P, R7000P</w:t>
            </w:r>
          </w:p>
        </w:tc>
        <w:tc>
          <w:tcPr>
            <w:tcW w:w="3690" w:type="dxa"/>
          </w:tcPr>
          <w:p w14:paraId="3BEE52BA" w14:textId="77777777" w:rsidR="00BB66B4" w:rsidRDefault="00BB66B4" w:rsidP="00BB66B4">
            <w:r>
              <w:t>2400-2500 MHz</w:t>
            </w:r>
          </w:p>
          <w:p w14:paraId="323B37B9" w14:textId="40E86CEE" w:rsidR="00BB66B4" w:rsidRDefault="00BB66B4" w:rsidP="00BB66B4">
            <w:r>
              <w:t>5100-5850 MHz</w:t>
            </w:r>
          </w:p>
        </w:tc>
        <w:tc>
          <w:tcPr>
            <w:tcW w:w="1077" w:type="dxa"/>
          </w:tcPr>
          <w:p w14:paraId="24D57938" w14:textId="4A8AF28C" w:rsidR="00BB66B4" w:rsidRDefault="00BB66B4" w:rsidP="00BB66B4"/>
        </w:tc>
        <w:tc>
          <w:tcPr>
            <w:tcW w:w="3063" w:type="dxa"/>
          </w:tcPr>
          <w:p w14:paraId="2C9817FC" w14:textId="2426BCDA" w:rsidR="00BB66B4" w:rsidRDefault="00BB66B4" w:rsidP="00BB66B4">
            <w:proofErr w:type="spellStart"/>
            <w:r>
              <w:t>Masterwave</w:t>
            </w:r>
            <w:proofErr w:type="spellEnd"/>
            <w:r>
              <w:t xml:space="preserve"> 98364PRSX004</w:t>
            </w:r>
          </w:p>
        </w:tc>
      </w:tr>
      <w:tr w:rsidR="00CF0E11" w14:paraId="210F4A4D" w14:textId="77777777" w:rsidTr="00260503">
        <w:tc>
          <w:tcPr>
            <w:tcW w:w="2065" w:type="dxa"/>
          </w:tcPr>
          <w:p w14:paraId="4F645E14" w14:textId="624D758F" w:rsidR="00BB66B4" w:rsidRDefault="00BB66B4" w:rsidP="00BB66B4">
            <w:r>
              <w:t>R6900, R7450</w:t>
            </w:r>
          </w:p>
        </w:tc>
        <w:tc>
          <w:tcPr>
            <w:tcW w:w="3690" w:type="dxa"/>
          </w:tcPr>
          <w:p w14:paraId="04429390" w14:textId="77777777" w:rsidR="00BB66B4" w:rsidRDefault="00BB66B4" w:rsidP="00BB66B4">
            <w:r>
              <w:t>2400-2500 MHz</w:t>
            </w:r>
          </w:p>
          <w:p w14:paraId="587A0925" w14:textId="0923A3B4" w:rsidR="00BB66B4" w:rsidRDefault="00BB66B4" w:rsidP="00BB66B4">
            <w:r>
              <w:t>5100-5850 MHz</w:t>
            </w:r>
          </w:p>
        </w:tc>
        <w:tc>
          <w:tcPr>
            <w:tcW w:w="1077" w:type="dxa"/>
          </w:tcPr>
          <w:p w14:paraId="5CBDAF26" w14:textId="4F87CF42" w:rsidR="00BB66B4" w:rsidRDefault="00BB66B4" w:rsidP="00BB66B4"/>
        </w:tc>
        <w:tc>
          <w:tcPr>
            <w:tcW w:w="3063" w:type="dxa"/>
          </w:tcPr>
          <w:p w14:paraId="73F5356B" w14:textId="0B82950A" w:rsidR="00BB66B4" w:rsidRDefault="00BB66B4" w:rsidP="00BB66B4">
            <w:proofErr w:type="spellStart"/>
            <w:r>
              <w:t>Masterwave</w:t>
            </w:r>
            <w:proofErr w:type="spellEnd"/>
            <w:r>
              <w:t xml:space="preserve"> 98364PRSX009</w:t>
            </w:r>
          </w:p>
        </w:tc>
      </w:tr>
      <w:tr w:rsidR="00CF0E11" w14:paraId="7E39978B" w14:textId="77777777" w:rsidTr="00260503">
        <w:tc>
          <w:tcPr>
            <w:tcW w:w="2065" w:type="dxa"/>
          </w:tcPr>
          <w:p w14:paraId="718CB771" w14:textId="3137C2ED" w:rsidR="00D76DE3" w:rsidRDefault="00D76DE3" w:rsidP="00D76DE3">
            <w:r>
              <w:t xml:space="preserve">AC2600, </w:t>
            </w:r>
          </w:p>
        </w:tc>
        <w:tc>
          <w:tcPr>
            <w:tcW w:w="3690" w:type="dxa"/>
          </w:tcPr>
          <w:p w14:paraId="0290509A" w14:textId="77777777" w:rsidR="00D76DE3" w:rsidRDefault="00D76DE3" w:rsidP="00D76DE3">
            <w:r>
              <w:t>2400-2500 MHz</w:t>
            </w:r>
          </w:p>
          <w:p w14:paraId="3E665AF8" w14:textId="7570E38E" w:rsidR="00D76DE3" w:rsidRDefault="00D76DE3" w:rsidP="00D76DE3">
            <w:r>
              <w:t>5100-5850 MHz</w:t>
            </w:r>
          </w:p>
        </w:tc>
        <w:tc>
          <w:tcPr>
            <w:tcW w:w="1077" w:type="dxa"/>
          </w:tcPr>
          <w:p w14:paraId="77BCABBD" w14:textId="2826EE1F" w:rsidR="00D76DE3" w:rsidRDefault="00D76DE3" w:rsidP="00D76DE3"/>
        </w:tc>
        <w:tc>
          <w:tcPr>
            <w:tcW w:w="3063" w:type="dxa"/>
          </w:tcPr>
          <w:p w14:paraId="1C157516" w14:textId="6AB21B9A" w:rsidR="00D76DE3" w:rsidRDefault="00D76DE3" w:rsidP="00D76DE3">
            <w:proofErr w:type="spellStart"/>
            <w:r>
              <w:t>Masterwave</w:t>
            </w:r>
            <w:proofErr w:type="spellEnd"/>
            <w:r>
              <w:t xml:space="preserve"> 98364PRSX009</w:t>
            </w:r>
          </w:p>
        </w:tc>
      </w:tr>
      <w:tr w:rsidR="00CF0E11" w14:paraId="61939BFC" w14:textId="77777777" w:rsidTr="00260503">
        <w:tc>
          <w:tcPr>
            <w:tcW w:w="2065" w:type="dxa"/>
          </w:tcPr>
          <w:p w14:paraId="0277A570" w14:textId="15D3694F" w:rsidR="00D76DE3" w:rsidRDefault="00D76DE3" w:rsidP="00D76DE3">
            <w:r>
              <w:lastRenderedPageBreak/>
              <w:t>R7200, R7350, R7400</w:t>
            </w:r>
          </w:p>
        </w:tc>
        <w:tc>
          <w:tcPr>
            <w:tcW w:w="3690" w:type="dxa"/>
          </w:tcPr>
          <w:p w14:paraId="7E5C7F3E" w14:textId="77777777" w:rsidR="00D76DE3" w:rsidRDefault="00D76DE3" w:rsidP="00D76DE3">
            <w:r>
              <w:t>2400-2500 MHz</w:t>
            </w:r>
          </w:p>
          <w:p w14:paraId="43126991" w14:textId="3D8A71A0" w:rsidR="00D76DE3" w:rsidRDefault="00D76DE3" w:rsidP="00D76DE3">
            <w:r>
              <w:t>5100-5850 MHz</w:t>
            </w:r>
          </w:p>
        </w:tc>
        <w:tc>
          <w:tcPr>
            <w:tcW w:w="1077" w:type="dxa"/>
          </w:tcPr>
          <w:p w14:paraId="3468BC24" w14:textId="7889D840" w:rsidR="00D76DE3" w:rsidRDefault="00D76DE3" w:rsidP="00D76DE3"/>
        </w:tc>
        <w:tc>
          <w:tcPr>
            <w:tcW w:w="3063" w:type="dxa"/>
          </w:tcPr>
          <w:p w14:paraId="3106811A" w14:textId="78D1A42B" w:rsidR="00D76DE3" w:rsidRDefault="00D76DE3" w:rsidP="00D76DE3">
            <w:proofErr w:type="spellStart"/>
            <w:r>
              <w:t>Masterwave</w:t>
            </w:r>
            <w:proofErr w:type="spellEnd"/>
            <w:r>
              <w:t xml:space="preserve"> 98364PRSX009</w:t>
            </w:r>
          </w:p>
        </w:tc>
      </w:tr>
      <w:tr w:rsidR="00CF0E11" w14:paraId="238B29A9" w14:textId="77777777" w:rsidTr="00260503">
        <w:tc>
          <w:tcPr>
            <w:tcW w:w="2065" w:type="dxa"/>
          </w:tcPr>
          <w:p w14:paraId="74574976" w14:textId="4B8BAFE5" w:rsidR="00D76DE3" w:rsidRDefault="00D76DE3" w:rsidP="00D76DE3">
            <w:r>
              <w:t>D7000</w:t>
            </w:r>
          </w:p>
        </w:tc>
        <w:tc>
          <w:tcPr>
            <w:tcW w:w="3690" w:type="dxa"/>
          </w:tcPr>
          <w:p w14:paraId="791B15B2" w14:textId="77777777" w:rsidR="00D76DE3" w:rsidRDefault="00D76DE3" w:rsidP="00D76DE3">
            <w:r>
              <w:t>2400-2500 MHz</w:t>
            </w:r>
          </w:p>
          <w:p w14:paraId="53AA39EA" w14:textId="1F1C51EA" w:rsidR="00D76DE3" w:rsidRDefault="00D76DE3" w:rsidP="00D76DE3">
            <w:r>
              <w:t>5100-5850 MHz</w:t>
            </w:r>
          </w:p>
        </w:tc>
        <w:tc>
          <w:tcPr>
            <w:tcW w:w="1077" w:type="dxa"/>
          </w:tcPr>
          <w:p w14:paraId="447C9E33" w14:textId="5B3A09E8" w:rsidR="00D76DE3" w:rsidRDefault="00D76DE3" w:rsidP="00D76DE3"/>
        </w:tc>
        <w:tc>
          <w:tcPr>
            <w:tcW w:w="3063" w:type="dxa"/>
          </w:tcPr>
          <w:p w14:paraId="7BCDDC59" w14:textId="532EA4F8" w:rsidR="00D76DE3" w:rsidRDefault="00D76DE3" w:rsidP="00D76DE3">
            <w:proofErr w:type="spellStart"/>
            <w:r>
              <w:t>Masterwave</w:t>
            </w:r>
            <w:proofErr w:type="spellEnd"/>
            <w:r>
              <w:t xml:space="preserve"> </w:t>
            </w:r>
            <w:r>
              <w:rPr>
                <w:color w:val="333333"/>
                <w:sz w:val="17"/>
              </w:rPr>
              <w:t>98365PRSX000</w:t>
            </w:r>
          </w:p>
        </w:tc>
      </w:tr>
      <w:tr w:rsidR="00CF0E11" w14:paraId="2E453C45" w14:textId="77777777" w:rsidTr="00260503">
        <w:tc>
          <w:tcPr>
            <w:tcW w:w="2065" w:type="dxa"/>
          </w:tcPr>
          <w:p w14:paraId="2CC9FE74" w14:textId="3D11C28A" w:rsidR="00620E05" w:rsidRDefault="00620E05" w:rsidP="00620E05">
            <w:r>
              <w:t>EX7000, DC112A</w:t>
            </w:r>
          </w:p>
        </w:tc>
        <w:tc>
          <w:tcPr>
            <w:tcW w:w="3690" w:type="dxa"/>
          </w:tcPr>
          <w:p w14:paraId="34F58689" w14:textId="77777777" w:rsidR="00620E05" w:rsidRDefault="00620E05" w:rsidP="00620E05">
            <w:r>
              <w:t>2400-2500 MHz</w:t>
            </w:r>
          </w:p>
          <w:p w14:paraId="5C337B9C" w14:textId="4A36FFA6" w:rsidR="00620E05" w:rsidRDefault="00620E05" w:rsidP="00620E05">
            <w:r>
              <w:t>5100-5850 MHz</w:t>
            </w:r>
          </w:p>
        </w:tc>
        <w:tc>
          <w:tcPr>
            <w:tcW w:w="1077" w:type="dxa"/>
          </w:tcPr>
          <w:p w14:paraId="3E19F6D9" w14:textId="7C94EF01" w:rsidR="00620E05" w:rsidRDefault="006F2801" w:rsidP="00620E05">
            <w:r>
              <w:t>2 dB</w:t>
            </w:r>
          </w:p>
        </w:tc>
        <w:tc>
          <w:tcPr>
            <w:tcW w:w="3063" w:type="dxa"/>
          </w:tcPr>
          <w:p w14:paraId="051FC13F" w14:textId="0E2D9653" w:rsidR="00620E05" w:rsidRDefault="00620E05" w:rsidP="00620E05">
            <w:proofErr w:type="spellStart"/>
            <w:r>
              <w:rPr>
                <w:color w:val="333333"/>
                <w:sz w:val="17"/>
              </w:rPr>
              <w:t>Masterwave</w:t>
            </w:r>
            <w:proofErr w:type="spellEnd"/>
            <w:r>
              <w:rPr>
                <w:color w:val="333333"/>
                <w:sz w:val="17"/>
              </w:rPr>
              <w:t xml:space="preserve"> 98619PRSX006</w:t>
            </w:r>
          </w:p>
        </w:tc>
      </w:tr>
      <w:tr w:rsidR="00CF0E11" w14:paraId="681B26C2" w14:textId="77777777" w:rsidTr="00260503">
        <w:tc>
          <w:tcPr>
            <w:tcW w:w="2065" w:type="dxa"/>
          </w:tcPr>
          <w:p w14:paraId="5E85FE76" w14:textId="348D4703" w:rsidR="00AD5F1E" w:rsidRDefault="00AD5F1E" w:rsidP="00AD5F1E">
            <w:r>
              <w:t>D7800, R7800</w:t>
            </w:r>
          </w:p>
        </w:tc>
        <w:tc>
          <w:tcPr>
            <w:tcW w:w="3690" w:type="dxa"/>
          </w:tcPr>
          <w:p w14:paraId="435A5BC3" w14:textId="77777777" w:rsidR="00AD5F1E" w:rsidRDefault="00AD5F1E" w:rsidP="00AD5F1E">
            <w:r>
              <w:t>2400-2500 MHz</w:t>
            </w:r>
          </w:p>
          <w:p w14:paraId="557FEFD3" w14:textId="7C7F13BD" w:rsidR="00AD5F1E" w:rsidRDefault="00AD5F1E" w:rsidP="00AD5F1E">
            <w:r>
              <w:t>5100-5850 MHz</w:t>
            </w:r>
          </w:p>
        </w:tc>
        <w:tc>
          <w:tcPr>
            <w:tcW w:w="1077" w:type="dxa"/>
          </w:tcPr>
          <w:p w14:paraId="28204E44" w14:textId="3F0796EA" w:rsidR="00AD5F1E" w:rsidRDefault="00AD5F1E" w:rsidP="00AD5F1E"/>
        </w:tc>
        <w:tc>
          <w:tcPr>
            <w:tcW w:w="3063" w:type="dxa"/>
          </w:tcPr>
          <w:p w14:paraId="2591B78F" w14:textId="77777777" w:rsidR="00AD5F1E" w:rsidRDefault="001D77A4" w:rsidP="00AD5F1E">
            <w:pPr>
              <w:rPr>
                <w:rFonts w:cs="Arial"/>
                <w:color w:val="333333"/>
                <w:sz w:val="17"/>
                <w:szCs w:val="17"/>
              </w:rPr>
            </w:pPr>
            <w:proofErr w:type="spellStart"/>
            <w:r>
              <w:t>Masterwave</w:t>
            </w:r>
            <w:proofErr w:type="spellEnd"/>
            <w:r>
              <w:t xml:space="preserve"> </w:t>
            </w:r>
            <w:r>
              <w:rPr>
                <w:color w:val="333333"/>
                <w:sz w:val="17"/>
              </w:rPr>
              <w:t>98365PRSX003</w:t>
            </w:r>
          </w:p>
          <w:p w14:paraId="7A674DA8" w14:textId="768170C3" w:rsidR="001D77A4" w:rsidRDefault="001D77A4" w:rsidP="00AD5F1E">
            <w:r>
              <w:rPr>
                <w:color w:val="333333"/>
                <w:sz w:val="17"/>
              </w:rPr>
              <w:t>98365PRSX004</w:t>
            </w:r>
          </w:p>
        </w:tc>
      </w:tr>
      <w:tr w:rsidR="00CF0E11" w14:paraId="4BF4C16A" w14:textId="77777777" w:rsidTr="00260503">
        <w:tc>
          <w:tcPr>
            <w:tcW w:w="2065" w:type="dxa"/>
          </w:tcPr>
          <w:p w14:paraId="74AABCB6" w14:textId="34A99AD9" w:rsidR="007F284C" w:rsidRDefault="007F284C" w:rsidP="007F284C">
            <w:r>
              <w:t>C6220</w:t>
            </w:r>
          </w:p>
        </w:tc>
        <w:tc>
          <w:tcPr>
            <w:tcW w:w="3690" w:type="dxa"/>
          </w:tcPr>
          <w:p w14:paraId="1282C75A" w14:textId="77777777" w:rsidR="007F284C" w:rsidRDefault="007F284C" w:rsidP="007F284C">
            <w:r>
              <w:t>2400-2500 MHz</w:t>
            </w:r>
          </w:p>
          <w:p w14:paraId="551682F5" w14:textId="3E2689EF" w:rsidR="007F284C" w:rsidRDefault="007F284C" w:rsidP="007F284C">
            <w:r>
              <w:t>5100-5850 MHz</w:t>
            </w:r>
          </w:p>
        </w:tc>
        <w:tc>
          <w:tcPr>
            <w:tcW w:w="1077" w:type="dxa"/>
          </w:tcPr>
          <w:p w14:paraId="5BAAE01F" w14:textId="213563C1" w:rsidR="007F284C" w:rsidRDefault="007F284C" w:rsidP="007F284C"/>
        </w:tc>
        <w:tc>
          <w:tcPr>
            <w:tcW w:w="3063" w:type="dxa"/>
          </w:tcPr>
          <w:p w14:paraId="0E934D51" w14:textId="77777777" w:rsidR="007F284C" w:rsidRDefault="007F284C" w:rsidP="007F284C">
            <w:pPr>
              <w:rPr>
                <w:rFonts w:cs="Arial"/>
                <w:color w:val="333333"/>
                <w:sz w:val="17"/>
                <w:szCs w:val="17"/>
              </w:rPr>
            </w:pPr>
            <w:proofErr w:type="spellStart"/>
            <w:r>
              <w:t>Masterwave</w:t>
            </w:r>
            <w:proofErr w:type="spellEnd"/>
            <w:r>
              <w:t xml:space="preserve"> </w:t>
            </w:r>
            <w:r>
              <w:rPr>
                <w:color w:val="333333"/>
                <w:sz w:val="17"/>
              </w:rPr>
              <w:t>98365PRSX003</w:t>
            </w:r>
          </w:p>
          <w:p w14:paraId="4564ED69" w14:textId="4409C94F" w:rsidR="007F284C" w:rsidRDefault="007F284C" w:rsidP="007F284C">
            <w:r>
              <w:rPr>
                <w:color w:val="333333"/>
                <w:sz w:val="17"/>
              </w:rPr>
              <w:t>98365PRSX004</w:t>
            </w:r>
          </w:p>
        </w:tc>
      </w:tr>
      <w:tr w:rsidR="00CF0E11" w14:paraId="5CEF4F49" w14:textId="77777777" w:rsidTr="00260503">
        <w:tc>
          <w:tcPr>
            <w:tcW w:w="2065" w:type="dxa"/>
          </w:tcPr>
          <w:p w14:paraId="07ACEB69" w14:textId="33EC11AE" w:rsidR="00D76DE3" w:rsidRDefault="00D76DE3" w:rsidP="00D76DE3">
            <w:r>
              <w:t>XR450, XR500</w:t>
            </w:r>
          </w:p>
        </w:tc>
        <w:tc>
          <w:tcPr>
            <w:tcW w:w="3690" w:type="dxa"/>
          </w:tcPr>
          <w:p w14:paraId="24DE65DD" w14:textId="77777777" w:rsidR="00180FB9" w:rsidRDefault="00180FB9" w:rsidP="00180FB9">
            <w:r>
              <w:t>2400-2500 MHz</w:t>
            </w:r>
          </w:p>
          <w:p w14:paraId="0FCFBDD7" w14:textId="02F68277" w:rsidR="00D76DE3" w:rsidRDefault="00180FB9" w:rsidP="00180FB9">
            <w:r>
              <w:t>5100-5850 MHz</w:t>
            </w:r>
          </w:p>
        </w:tc>
        <w:tc>
          <w:tcPr>
            <w:tcW w:w="1077" w:type="dxa"/>
          </w:tcPr>
          <w:p w14:paraId="2FB29867" w14:textId="1840A74D" w:rsidR="00F409B7" w:rsidRDefault="00F409B7" w:rsidP="00F409B7"/>
        </w:tc>
        <w:tc>
          <w:tcPr>
            <w:tcW w:w="3063" w:type="dxa"/>
          </w:tcPr>
          <w:p w14:paraId="4DBDCED2" w14:textId="77777777" w:rsidR="00D76DE3" w:rsidRDefault="00F409B7" w:rsidP="00D76DE3">
            <w:pPr>
              <w:rPr>
                <w:rFonts w:cs="Arial"/>
                <w:color w:val="333333"/>
                <w:sz w:val="17"/>
                <w:szCs w:val="17"/>
              </w:rPr>
            </w:pPr>
            <w:proofErr w:type="spellStart"/>
            <w:r>
              <w:t>Masterwave</w:t>
            </w:r>
            <w:proofErr w:type="spellEnd"/>
            <w:r>
              <w:t xml:space="preserve"> </w:t>
            </w:r>
            <w:r>
              <w:rPr>
                <w:color w:val="333333"/>
                <w:sz w:val="17"/>
              </w:rPr>
              <w:t>98366PRSX000</w:t>
            </w:r>
          </w:p>
          <w:p w14:paraId="21313658" w14:textId="77777777" w:rsidR="00F409B7" w:rsidRDefault="00F409B7" w:rsidP="00D76DE3">
            <w:pPr>
              <w:rPr>
                <w:rFonts w:cs="Arial"/>
                <w:color w:val="333333"/>
                <w:sz w:val="17"/>
                <w:szCs w:val="17"/>
              </w:rPr>
            </w:pPr>
            <w:r>
              <w:rPr>
                <w:color w:val="333333"/>
                <w:sz w:val="17"/>
              </w:rPr>
              <w:t>98366PRSX001</w:t>
            </w:r>
          </w:p>
          <w:p w14:paraId="718D8334" w14:textId="3F2F34FC" w:rsidR="00F409B7" w:rsidRDefault="00F409B7" w:rsidP="00D76DE3">
            <w:r>
              <w:rPr>
                <w:color w:val="333333"/>
                <w:sz w:val="17"/>
              </w:rPr>
              <w:t>98366PRSX002</w:t>
            </w:r>
          </w:p>
        </w:tc>
      </w:tr>
      <w:tr w:rsidR="00CF0E11" w14:paraId="7B0FCBB4" w14:textId="77777777" w:rsidTr="00260503">
        <w:tc>
          <w:tcPr>
            <w:tcW w:w="2065" w:type="dxa"/>
          </w:tcPr>
          <w:p w14:paraId="63C184D9" w14:textId="69B00642" w:rsidR="00180FB9" w:rsidRPr="008350C8" w:rsidRDefault="00C77FC0" w:rsidP="00180FB9">
            <w:bookmarkStart w:id="12" w:name="_Hlk37158303"/>
            <w:r>
              <w:t>RAX42, RAX43, RAX45, RAX48</w:t>
            </w:r>
          </w:p>
        </w:tc>
        <w:tc>
          <w:tcPr>
            <w:tcW w:w="3690" w:type="dxa"/>
          </w:tcPr>
          <w:p w14:paraId="55BD8E1D" w14:textId="77777777" w:rsidR="00180FB9" w:rsidRPr="008350C8" w:rsidRDefault="00180FB9" w:rsidP="00180FB9">
            <w:r>
              <w:t>2400-2500 MHz</w:t>
            </w:r>
          </w:p>
          <w:p w14:paraId="1212772A" w14:textId="6401CB98" w:rsidR="00180FB9" w:rsidRPr="008350C8" w:rsidRDefault="00180FB9" w:rsidP="00180FB9">
            <w:r>
              <w:t>5100-5850 MHz</w:t>
            </w:r>
          </w:p>
        </w:tc>
        <w:tc>
          <w:tcPr>
            <w:tcW w:w="1077" w:type="dxa"/>
          </w:tcPr>
          <w:p w14:paraId="6972432C" w14:textId="035EF3B1" w:rsidR="00180FB9" w:rsidRPr="008350C8" w:rsidRDefault="00180FB9" w:rsidP="00180FB9"/>
        </w:tc>
        <w:tc>
          <w:tcPr>
            <w:tcW w:w="3063" w:type="dxa"/>
          </w:tcPr>
          <w:p w14:paraId="0E750BF9" w14:textId="098038E4" w:rsidR="00180FB9" w:rsidRPr="008350C8" w:rsidRDefault="00180FB9" w:rsidP="00180FB9">
            <w:pPr>
              <w:rPr>
                <w:rFonts w:cs="Arial"/>
                <w:color w:val="333333"/>
                <w:sz w:val="17"/>
                <w:szCs w:val="17"/>
              </w:rPr>
            </w:pPr>
            <w:proofErr w:type="spellStart"/>
            <w:r>
              <w:t>Masterwave</w:t>
            </w:r>
            <w:proofErr w:type="spellEnd"/>
            <w:r>
              <w:t xml:space="preserve"> </w:t>
            </w:r>
            <w:r>
              <w:rPr>
                <w:color w:val="333333"/>
                <w:sz w:val="17"/>
              </w:rPr>
              <w:t>98369PRSX000,</w:t>
            </w:r>
          </w:p>
          <w:p w14:paraId="5F87E2AC" w14:textId="035FDF9B" w:rsidR="00180FB9" w:rsidRPr="008350C8" w:rsidRDefault="00180FB9" w:rsidP="00180FB9">
            <w:r>
              <w:rPr>
                <w:color w:val="333333"/>
                <w:sz w:val="17"/>
              </w:rPr>
              <w:t>98369URSX000, 98369PRSX001</w:t>
            </w:r>
          </w:p>
        </w:tc>
      </w:tr>
      <w:tr w:rsidR="00A03195" w14:paraId="71777BC4" w14:textId="77777777" w:rsidTr="00260503">
        <w:tc>
          <w:tcPr>
            <w:tcW w:w="2065" w:type="dxa"/>
          </w:tcPr>
          <w:p w14:paraId="71BCF967" w14:textId="1ADC6B8A" w:rsidR="00A03195" w:rsidRDefault="00A03195" w:rsidP="00A03195">
            <w:bookmarkStart w:id="13" w:name="_Hlk37144583"/>
            <w:bookmarkEnd w:id="12"/>
            <w:r>
              <w:t>RAX50, RAX50S</w:t>
            </w:r>
          </w:p>
        </w:tc>
        <w:tc>
          <w:tcPr>
            <w:tcW w:w="3690" w:type="dxa"/>
          </w:tcPr>
          <w:p w14:paraId="681CF493" w14:textId="77777777" w:rsidR="00A03195" w:rsidRPr="008350C8" w:rsidRDefault="00A03195" w:rsidP="00A03195">
            <w:r>
              <w:t>2400-2500 MHz</w:t>
            </w:r>
          </w:p>
          <w:p w14:paraId="79B8E751" w14:textId="39DF992C" w:rsidR="00A03195" w:rsidRDefault="00A03195" w:rsidP="00A03195">
            <w:r>
              <w:t>5100-5850 MHz</w:t>
            </w:r>
          </w:p>
        </w:tc>
        <w:tc>
          <w:tcPr>
            <w:tcW w:w="1077" w:type="dxa"/>
          </w:tcPr>
          <w:p w14:paraId="458EF4DA" w14:textId="77777777" w:rsidR="00A03195" w:rsidRDefault="00A03195" w:rsidP="00A03195"/>
        </w:tc>
        <w:tc>
          <w:tcPr>
            <w:tcW w:w="3063" w:type="dxa"/>
          </w:tcPr>
          <w:p w14:paraId="52040ACB" w14:textId="77777777" w:rsidR="00A03195" w:rsidRPr="008350C8" w:rsidRDefault="00A03195" w:rsidP="00A03195">
            <w:pPr>
              <w:rPr>
                <w:rFonts w:cs="Arial"/>
                <w:color w:val="333333"/>
                <w:sz w:val="17"/>
                <w:szCs w:val="17"/>
              </w:rPr>
            </w:pPr>
            <w:proofErr w:type="spellStart"/>
            <w:r>
              <w:t>Masterwave</w:t>
            </w:r>
            <w:proofErr w:type="spellEnd"/>
            <w:r>
              <w:t xml:space="preserve"> </w:t>
            </w:r>
            <w:r>
              <w:rPr>
                <w:color w:val="333333"/>
                <w:sz w:val="17"/>
              </w:rPr>
              <w:t>98369PRSX000,</w:t>
            </w:r>
          </w:p>
          <w:p w14:paraId="185434BA" w14:textId="001EF779" w:rsidR="00A03195" w:rsidRDefault="00A03195" w:rsidP="00A03195">
            <w:r>
              <w:rPr>
                <w:color w:val="333333"/>
                <w:sz w:val="17"/>
              </w:rPr>
              <w:t>98369URSX000, 98369PRSX001</w:t>
            </w:r>
          </w:p>
        </w:tc>
      </w:tr>
      <w:tr w:rsidR="00A03195" w14:paraId="6F00C26C" w14:textId="77777777" w:rsidTr="00260503">
        <w:tc>
          <w:tcPr>
            <w:tcW w:w="2065" w:type="dxa"/>
          </w:tcPr>
          <w:p w14:paraId="0FD3F0E3" w14:textId="77777777" w:rsidR="00A03195" w:rsidRDefault="00A03195" w:rsidP="00A03195"/>
        </w:tc>
        <w:tc>
          <w:tcPr>
            <w:tcW w:w="3690" w:type="dxa"/>
            <w:tcBorders>
              <w:bottom w:val="single" w:sz="4" w:space="0" w:color="auto"/>
            </w:tcBorders>
          </w:tcPr>
          <w:p w14:paraId="50CCF07B" w14:textId="77777777" w:rsidR="00A03195" w:rsidRDefault="00A03195" w:rsidP="00A03195"/>
        </w:tc>
        <w:tc>
          <w:tcPr>
            <w:tcW w:w="1077" w:type="dxa"/>
            <w:tcBorders>
              <w:bottom w:val="single" w:sz="4" w:space="0" w:color="auto"/>
            </w:tcBorders>
          </w:tcPr>
          <w:p w14:paraId="61328B7A" w14:textId="77777777" w:rsidR="00A03195" w:rsidRDefault="00A03195" w:rsidP="00A03195"/>
        </w:tc>
        <w:tc>
          <w:tcPr>
            <w:tcW w:w="3063" w:type="dxa"/>
          </w:tcPr>
          <w:p w14:paraId="6B1DBDA1" w14:textId="77777777" w:rsidR="00A03195" w:rsidRDefault="00A03195" w:rsidP="00A03195"/>
        </w:tc>
      </w:tr>
      <w:bookmarkEnd w:id="13"/>
      <w:tr w:rsidR="00F550FF" w14:paraId="61D0DDBA" w14:textId="77777777" w:rsidTr="00260503">
        <w:tc>
          <w:tcPr>
            <w:tcW w:w="2065" w:type="dxa"/>
          </w:tcPr>
          <w:p w14:paraId="4C92035B" w14:textId="34B2B18C" w:rsidR="00F550FF" w:rsidRDefault="00F550FF" w:rsidP="00F550FF">
            <w:r>
              <w:t>MR1100, MR2100</w:t>
            </w:r>
          </w:p>
        </w:tc>
        <w:tc>
          <w:tcPr>
            <w:tcW w:w="3690" w:type="dxa"/>
            <w:tcBorders>
              <w:bottom w:val="nil"/>
            </w:tcBorders>
          </w:tcPr>
          <w:p w14:paraId="7E45B5C0" w14:textId="4DABE2AF" w:rsidR="00F550FF" w:rsidRDefault="00F550FF" w:rsidP="00F550FF">
            <w:r>
              <w:t>2,4 et 5 GHz</w:t>
            </w:r>
          </w:p>
          <w:p w14:paraId="1897A522" w14:textId="535A848E" w:rsidR="00F550FF" w:rsidRDefault="00F550FF" w:rsidP="00F550FF">
            <w:r>
              <w:t>Bandes WCDMA et LTE</w:t>
            </w:r>
          </w:p>
        </w:tc>
        <w:tc>
          <w:tcPr>
            <w:tcW w:w="1077" w:type="dxa"/>
            <w:tcBorders>
              <w:bottom w:val="nil"/>
            </w:tcBorders>
          </w:tcPr>
          <w:p w14:paraId="0CA6D27C" w14:textId="1A50671E" w:rsidR="00F550FF" w:rsidRDefault="00F550FF" w:rsidP="00F550FF">
            <w:proofErr w:type="gramStart"/>
            <w:r>
              <w:t>interne</w:t>
            </w:r>
            <w:proofErr w:type="gramEnd"/>
          </w:p>
        </w:tc>
        <w:tc>
          <w:tcPr>
            <w:tcW w:w="3063" w:type="dxa"/>
          </w:tcPr>
          <w:p w14:paraId="7487F82D" w14:textId="199625D1" w:rsidR="00F550FF" w:rsidRDefault="00F550FF" w:rsidP="00F550FF">
            <w:r>
              <w:t>Interne</w:t>
            </w:r>
          </w:p>
          <w:p w14:paraId="76E59D4F" w14:textId="5BC43F9D" w:rsidR="00F550FF" w:rsidRDefault="00F550FF" w:rsidP="00F550FF">
            <w:r>
              <w:t>Interne ou Netgear 6000451</w:t>
            </w:r>
          </w:p>
        </w:tc>
      </w:tr>
      <w:tr w:rsidR="00F550FF" w14:paraId="1B8387CE" w14:textId="77777777" w:rsidTr="00260503">
        <w:tc>
          <w:tcPr>
            <w:tcW w:w="2065" w:type="dxa"/>
          </w:tcPr>
          <w:p w14:paraId="6FFB371A" w14:textId="3377DC85" w:rsidR="00F550FF" w:rsidRDefault="00F550FF" w:rsidP="00F550FF">
            <w:r>
              <w:t>XR1000</w:t>
            </w:r>
          </w:p>
        </w:tc>
        <w:tc>
          <w:tcPr>
            <w:tcW w:w="3690" w:type="dxa"/>
          </w:tcPr>
          <w:p w14:paraId="247BFE48" w14:textId="77777777" w:rsidR="00F550FF" w:rsidRPr="008350C8" w:rsidRDefault="00F550FF" w:rsidP="00F550FF">
            <w:r>
              <w:t>2400-2500 MHz</w:t>
            </w:r>
          </w:p>
          <w:p w14:paraId="137DC501" w14:textId="43D6DCCF" w:rsidR="00F550FF" w:rsidRDefault="00F550FF" w:rsidP="00F550FF">
            <w:r>
              <w:t>5100-5850 MHz</w:t>
            </w:r>
          </w:p>
        </w:tc>
        <w:tc>
          <w:tcPr>
            <w:tcW w:w="1077" w:type="dxa"/>
          </w:tcPr>
          <w:p w14:paraId="5AFB61D9" w14:textId="77777777" w:rsidR="00F550FF" w:rsidRDefault="00F550FF" w:rsidP="00F550FF"/>
        </w:tc>
        <w:tc>
          <w:tcPr>
            <w:tcW w:w="3063" w:type="dxa"/>
          </w:tcPr>
          <w:p w14:paraId="78E59B4B" w14:textId="3367D605" w:rsidR="00F550FF" w:rsidRDefault="00F550FF" w:rsidP="00F550FF">
            <w:r>
              <w:t>Netgear 400-10088-01, 400-10090-01, 400-10094-01</w:t>
            </w:r>
          </w:p>
        </w:tc>
      </w:tr>
      <w:tr w:rsidR="00F550FF" w14:paraId="185012CB" w14:textId="77777777" w:rsidTr="00260503">
        <w:tc>
          <w:tcPr>
            <w:tcW w:w="2065" w:type="dxa"/>
          </w:tcPr>
          <w:p w14:paraId="1FFDB18B" w14:textId="65869F44" w:rsidR="00F550FF" w:rsidRDefault="00F550FF" w:rsidP="00F550FF">
            <w:r>
              <w:t>MR5100/MR5200</w:t>
            </w:r>
          </w:p>
        </w:tc>
        <w:tc>
          <w:tcPr>
            <w:tcW w:w="3690" w:type="dxa"/>
          </w:tcPr>
          <w:p w14:paraId="20886D8B" w14:textId="7EDC5B0B" w:rsidR="00F550FF" w:rsidRDefault="00F550FF" w:rsidP="00F550FF">
            <w:r>
              <w:t>2,4 et 5 GHz</w:t>
            </w:r>
          </w:p>
          <w:p w14:paraId="46AB1800" w14:textId="57586108" w:rsidR="00F550FF" w:rsidRDefault="00F550FF" w:rsidP="00F550FF">
            <w:r>
              <w:t>Bandes WCDMA, LTE et 5G :</w:t>
            </w:r>
          </w:p>
          <w:p w14:paraId="7F3E1DA8" w14:textId="3B8D14A1" w:rsidR="00F550FF" w:rsidRPr="00D40296" w:rsidRDefault="00F550FF" w:rsidP="00F550FF">
            <w:pPr>
              <w:rPr>
                <w:lang w:val="en-IE"/>
              </w:rPr>
            </w:pPr>
            <w:r w:rsidRPr="00D40296">
              <w:rPr>
                <w:lang w:val="en-IE"/>
              </w:rPr>
              <w:t>B2, B4, B25, B66</w:t>
            </w:r>
          </w:p>
          <w:p w14:paraId="616E4C01" w14:textId="3FB00F82" w:rsidR="00F550FF" w:rsidRPr="00D40296" w:rsidRDefault="00F550FF" w:rsidP="00F550FF">
            <w:pPr>
              <w:rPr>
                <w:lang w:val="en-IE"/>
              </w:rPr>
            </w:pPr>
            <w:r w:rsidRPr="00D40296">
              <w:rPr>
                <w:lang w:val="en-IE"/>
              </w:rPr>
              <w:t>B5, B12, B13, B17, B71</w:t>
            </w:r>
          </w:p>
          <w:p w14:paraId="6290F4D1" w14:textId="5A799F20" w:rsidR="00F550FF" w:rsidRPr="00D40296" w:rsidRDefault="00F550FF" w:rsidP="00F550FF">
            <w:pPr>
              <w:rPr>
                <w:lang w:val="en-IE"/>
              </w:rPr>
            </w:pPr>
            <w:r w:rsidRPr="00D40296">
              <w:rPr>
                <w:lang w:val="en-IE"/>
              </w:rPr>
              <w:t>B7, B30, B38, B41</w:t>
            </w:r>
          </w:p>
        </w:tc>
        <w:tc>
          <w:tcPr>
            <w:tcW w:w="1077" w:type="dxa"/>
          </w:tcPr>
          <w:p w14:paraId="2FD16934" w14:textId="5500417B" w:rsidR="00F550FF" w:rsidRDefault="00F550FF" w:rsidP="00F550FF">
            <w:r>
              <w:t>Interne.</w:t>
            </w:r>
          </w:p>
          <w:p w14:paraId="503B82E0" w14:textId="77777777" w:rsidR="00F550FF" w:rsidRDefault="00F550FF" w:rsidP="00F550FF"/>
          <w:p w14:paraId="2C1E238F" w14:textId="77777777" w:rsidR="00F550FF" w:rsidRDefault="00F550FF" w:rsidP="00F550FF">
            <w:r>
              <w:t>-0,48, 0,25</w:t>
            </w:r>
          </w:p>
          <w:p w14:paraId="57C35AA2" w14:textId="77777777" w:rsidR="00F550FF" w:rsidRDefault="00F550FF" w:rsidP="00F550FF">
            <w:r>
              <w:t>0,54, 0,48</w:t>
            </w:r>
          </w:p>
          <w:p w14:paraId="6E0CCF2A" w14:textId="06DA8444" w:rsidR="00F550FF" w:rsidRDefault="00F550FF" w:rsidP="00F550FF">
            <w:r>
              <w:t>0,24, 0,28</w:t>
            </w:r>
          </w:p>
        </w:tc>
        <w:tc>
          <w:tcPr>
            <w:tcW w:w="3063" w:type="dxa"/>
          </w:tcPr>
          <w:p w14:paraId="524D8B7D" w14:textId="77777777" w:rsidR="00F550FF" w:rsidRDefault="00F550FF" w:rsidP="00F550FF"/>
          <w:p w14:paraId="7C7464E8" w14:textId="03B46FB1" w:rsidR="00F550FF" w:rsidRDefault="00F550FF" w:rsidP="00F550FF">
            <w:r>
              <w:t>Interne</w:t>
            </w:r>
          </w:p>
        </w:tc>
      </w:tr>
      <w:tr w:rsidR="00F550FF" w14:paraId="5A0AC148" w14:textId="77777777" w:rsidTr="00260503">
        <w:tc>
          <w:tcPr>
            <w:tcW w:w="2065" w:type="dxa"/>
          </w:tcPr>
          <w:p w14:paraId="52EDA89F" w14:textId="456C39C4" w:rsidR="00F550FF" w:rsidRDefault="00F550FF" w:rsidP="00F550FF">
            <w:r>
              <w:t>LAX20</w:t>
            </w:r>
          </w:p>
        </w:tc>
        <w:tc>
          <w:tcPr>
            <w:tcW w:w="3690" w:type="dxa"/>
          </w:tcPr>
          <w:p w14:paraId="058B696D" w14:textId="77777777" w:rsidR="00F550FF" w:rsidRDefault="00F550FF" w:rsidP="00F550FF">
            <w:r>
              <w:t>2400-2500 MHz</w:t>
            </w:r>
          </w:p>
          <w:p w14:paraId="484DC322" w14:textId="77777777" w:rsidR="00F550FF" w:rsidRDefault="00F550FF" w:rsidP="00F550FF">
            <w:r>
              <w:t>5100-5850 MHz</w:t>
            </w:r>
          </w:p>
          <w:p w14:paraId="026AC26B" w14:textId="3D936805" w:rsidR="00F550FF" w:rsidRDefault="00F550FF" w:rsidP="00F550FF">
            <w:r>
              <w:t>Bandes WCDMA et LTE</w:t>
            </w:r>
          </w:p>
        </w:tc>
        <w:tc>
          <w:tcPr>
            <w:tcW w:w="1077" w:type="dxa"/>
          </w:tcPr>
          <w:p w14:paraId="54B13080" w14:textId="77777777" w:rsidR="00F550FF" w:rsidRDefault="00F550FF" w:rsidP="00F550FF"/>
        </w:tc>
        <w:tc>
          <w:tcPr>
            <w:tcW w:w="3063" w:type="dxa"/>
          </w:tcPr>
          <w:p w14:paraId="6CF25812" w14:textId="77777777" w:rsidR="00F550FF" w:rsidRDefault="00F550FF" w:rsidP="00F550FF">
            <w:r>
              <w:t>Netgear 400-10092-01</w:t>
            </w:r>
          </w:p>
          <w:p w14:paraId="31DC4D9B" w14:textId="77777777" w:rsidR="00F550FF" w:rsidRDefault="00F550FF" w:rsidP="00F550FF">
            <w:r>
              <w:t>Netgear 400-10092-01</w:t>
            </w:r>
          </w:p>
          <w:p w14:paraId="2C9E9018" w14:textId="295DFB24" w:rsidR="00F550FF" w:rsidRDefault="00F550FF" w:rsidP="00F550FF">
            <w:r>
              <w:t>Interne</w:t>
            </w:r>
          </w:p>
        </w:tc>
      </w:tr>
      <w:tr w:rsidR="00F550FF" w14:paraId="5D9AA5FB" w14:textId="77777777" w:rsidTr="00260503">
        <w:tc>
          <w:tcPr>
            <w:tcW w:w="2065" w:type="dxa"/>
          </w:tcPr>
          <w:p w14:paraId="69A5DBD1" w14:textId="2370EC96" w:rsidR="00F550FF" w:rsidRDefault="00F550FF" w:rsidP="00F550FF">
            <w:r>
              <w:t>LM1200</w:t>
            </w:r>
          </w:p>
        </w:tc>
        <w:tc>
          <w:tcPr>
            <w:tcW w:w="3690" w:type="dxa"/>
          </w:tcPr>
          <w:p w14:paraId="1CAE7747" w14:textId="77777777" w:rsidR="00F550FF" w:rsidRDefault="00F550FF" w:rsidP="00F550FF">
            <w:r>
              <w:t>600 MHz</w:t>
            </w:r>
          </w:p>
          <w:p w14:paraId="288BAC77" w14:textId="77777777" w:rsidR="00F550FF" w:rsidRDefault="00F550FF" w:rsidP="00F550FF">
            <w:r>
              <w:t>700 MHz</w:t>
            </w:r>
          </w:p>
          <w:p w14:paraId="08751F5D" w14:textId="77777777" w:rsidR="00F550FF" w:rsidRDefault="00F550FF" w:rsidP="00F550FF">
            <w:r>
              <w:t>800 MHz</w:t>
            </w:r>
          </w:p>
          <w:p w14:paraId="07ED480D" w14:textId="77777777" w:rsidR="00F550FF" w:rsidRDefault="00F550FF" w:rsidP="00F550FF">
            <w:r>
              <w:t>1700 MHz</w:t>
            </w:r>
          </w:p>
          <w:p w14:paraId="1AEEDA03" w14:textId="625FD847" w:rsidR="00F550FF" w:rsidRDefault="00F550FF" w:rsidP="00F550FF">
            <w:r>
              <w:t>1800 MHz</w:t>
            </w:r>
          </w:p>
        </w:tc>
        <w:tc>
          <w:tcPr>
            <w:tcW w:w="1077" w:type="dxa"/>
          </w:tcPr>
          <w:p w14:paraId="6B29F60A" w14:textId="77777777" w:rsidR="00F550FF" w:rsidRDefault="00F550FF" w:rsidP="00F550FF">
            <w:r>
              <w:t>8,55</w:t>
            </w:r>
          </w:p>
          <w:p w14:paraId="065E3C7A" w14:textId="77777777" w:rsidR="00F550FF" w:rsidRDefault="00F550FF" w:rsidP="00F550FF">
            <w:r>
              <w:t>8,73</w:t>
            </w:r>
          </w:p>
          <w:p w14:paraId="162D4B54" w14:textId="77777777" w:rsidR="00F550FF" w:rsidRDefault="00F550FF" w:rsidP="00F550FF">
            <w:r>
              <w:t>9,42</w:t>
            </w:r>
          </w:p>
          <w:p w14:paraId="5BDD6AB7" w14:textId="77777777" w:rsidR="00F550FF" w:rsidRDefault="00F550FF" w:rsidP="00F550FF">
            <w:r>
              <w:t>5</w:t>
            </w:r>
          </w:p>
          <w:p w14:paraId="582E6CF2" w14:textId="5853CFF6" w:rsidR="00F550FF" w:rsidRDefault="00F550FF" w:rsidP="00F550FF">
            <w:r>
              <w:t>8</w:t>
            </w:r>
          </w:p>
        </w:tc>
        <w:tc>
          <w:tcPr>
            <w:tcW w:w="3063" w:type="dxa"/>
          </w:tcPr>
          <w:p w14:paraId="0816612D" w14:textId="77777777" w:rsidR="00F550FF" w:rsidRDefault="00F550FF" w:rsidP="00F550FF"/>
        </w:tc>
      </w:tr>
      <w:tr w:rsidR="00F550FF" w14:paraId="68230531" w14:textId="77777777" w:rsidTr="00260503">
        <w:tc>
          <w:tcPr>
            <w:tcW w:w="2065" w:type="dxa"/>
          </w:tcPr>
          <w:p w14:paraId="6907F81F" w14:textId="6DCE3C61" w:rsidR="00F550FF" w:rsidRDefault="00F550FF" w:rsidP="00F550FF">
            <w:r>
              <w:t>NBR750</w:t>
            </w:r>
          </w:p>
        </w:tc>
        <w:tc>
          <w:tcPr>
            <w:tcW w:w="3690" w:type="dxa"/>
          </w:tcPr>
          <w:p w14:paraId="6FE32294" w14:textId="77777777" w:rsidR="00F550FF" w:rsidRDefault="00F550FF" w:rsidP="00F550FF">
            <w:r>
              <w:t>2,4 et 5 GHz</w:t>
            </w:r>
          </w:p>
          <w:p w14:paraId="6CED2B56" w14:textId="4D4CA644" w:rsidR="00F550FF" w:rsidRDefault="00F550FF" w:rsidP="00F550FF">
            <w:r>
              <w:t>Bandes WCDMA, LTE et 5G :</w:t>
            </w:r>
          </w:p>
          <w:p w14:paraId="1673B4CF" w14:textId="43888582" w:rsidR="00F550FF" w:rsidRDefault="00F550FF" w:rsidP="00F550FF">
            <w:r>
              <w:t>663-849</w:t>
            </w:r>
          </w:p>
          <w:p w14:paraId="298F741A" w14:textId="55653280" w:rsidR="00F550FF" w:rsidRDefault="00F550FF" w:rsidP="00F550FF">
            <w:r>
              <w:t>1710-1915</w:t>
            </w:r>
          </w:p>
          <w:p w14:paraId="71C6AB1B" w14:textId="7BC541AB" w:rsidR="00F550FF" w:rsidRDefault="00F550FF" w:rsidP="00F550FF">
            <w:r>
              <w:t>2305-3700</w:t>
            </w:r>
          </w:p>
        </w:tc>
        <w:tc>
          <w:tcPr>
            <w:tcW w:w="1077" w:type="dxa"/>
          </w:tcPr>
          <w:p w14:paraId="01118EA7" w14:textId="34A754E7" w:rsidR="00F550FF" w:rsidRDefault="00F550FF" w:rsidP="00F550FF">
            <w:r>
              <w:t>Interne</w:t>
            </w:r>
          </w:p>
          <w:p w14:paraId="509126A6" w14:textId="77777777" w:rsidR="00F550FF" w:rsidRDefault="00F550FF" w:rsidP="00F550FF"/>
          <w:p w14:paraId="63E48ED5" w14:textId="77777777" w:rsidR="00F550FF" w:rsidRDefault="00F550FF" w:rsidP="00F550FF">
            <w:r>
              <w:t>-2,8</w:t>
            </w:r>
          </w:p>
          <w:p w14:paraId="2E1E1BD4" w14:textId="70E387FB" w:rsidR="00F550FF" w:rsidRDefault="00F550FF" w:rsidP="00F550FF">
            <w:r>
              <w:t>-4,0</w:t>
            </w:r>
          </w:p>
          <w:p w14:paraId="6D9F0F96" w14:textId="38B00166" w:rsidR="00F550FF" w:rsidRDefault="00F550FF" w:rsidP="00F550FF">
            <w:r>
              <w:t>-4,53</w:t>
            </w:r>
          </w:p>
        </w:tc>
        <w:tc>
          <w:tcPr>
            <w:tcW w:w="3063" w:type="dxa"/>
          </w:tcPr>
          <w:p w14:paraId="4955D0F4" w14:textId="77777777" w:rsidR="00F550FF" w:rsidRDefault="00F550FF" w:rsidP="00F550FF"/>
          <w:p w14:paraId="0A25D32C" w14:textId="7C3E0351" w:rsidR="00F550FF" w:rsidRDefault="00F550FF" w:rsidP="00F550FF">
            <w:r>
              <w:t>Interne</w:t>
            </w:r>
          </w:p>
        </w:tc>
      </w:tr>
      <w:tr w:rsidR="00F550FF" w14:paraId="4985B816" w14:textId="77777777" w:rsidTr="00260503">
        <w:tc>
          <w:tcPr>
            <w:tcW w:w="2065" w:type="dxa"/>
          </w:tcPr>
          <w:p w14:paraId="2C3F6DC9" w14:textId="1FA595D6" w:rsidR="00F550FF" w:rsidRDefault="00F550FF" w:rsidP="00F550FF">
            <w:r>
              <w:t>LBR20</w:t>
            </w:r>
          </w:p>
        </w:tc>
        <w:tc>
          <w:tcPr>
            <w:tcW w:w="3690" w:type="dxa"/>
          </w:tcPr>
          <w:p w14:paraId="39EAF38D" w14:textId="77777777" w:rsidR="00F550FF" w:rsidRDefault="00F550FF" w:rsidP="00F550FF">
            <w:r>
              <w:t>2,4 et 5 GHz</w:t>
            </w:r>
          </w:p>
          <w:p w14:paraId="1863814D" w14:textId="058E2C69" w:rsidR="00F550FF" w:rsidRDefault="00F550FF" w:rsidP="00F550FF">
            <w:r>
              <w:t>Bandes WCDMA et LTE</w:t>
            </w:r>
          </w:p>
        </w:tc>
        <w:tc>
          <w:tcPr>
            <w:tcW w:w="1077" w:type="dxa"/>
          </w:tcPr>
          <w:p w14:paraId="3C64332D" w14:textId="3A4A76DC" w:rsidR="00F550FF" w:rsidRDefault="00F550FF" w:rsidP="00F550FF">
            <w:proofErr w:type="gramStart"/>
            <w:r>
              <w:t>interne</w:t>
            </w:r>
            <w:proofErr w:type="gramEnd"/>
          </w:p>
        </w:tc>
        <w:tc>
          <w:tcPr>
            <w:tcW w:w="3063" w:type="dxa"/>
          </w:tcPr>
          <w:p w14:paraId="55BEB109" w14:textId="77777777" w:rsidR="00F550FF" w:rsidRDefault="00F550FF" w:rsidP="00F550FF">
            <w:r>
              <w:t>Interne</w:t>
            </w:r>
          </w:p>
          <w:p w14:paraId="6B0C14C5" w14:textId="0F9A7B51" w:rsidR="00F550FF" w:rsidRDefault="00F550FF" w:rsidP="00F550FF">
            <w:r>
              <w:t>Interne ou Netgear 6000451</w:t>
            </w:r>
          </w:p>
        </w:tc>
      </w:tr>
      <w:tr w:rsidR="00260503" w14:paraId="66586DFF" w14:textId="77777777" w:rsidTr="00260503">
        <w:tc>
          <w:tcPr>
            <w:tcW w:w="2065" w:type="dxa"/>
          </w:tcPr>
          <w:p w14:paraId="355D9A58" w14:textId="4E61DDC9" w:rsidR="00260503" w:rsidRPr="00E63B27" w:rsidRDefault="00260503" w:rsidP="00260503">
            <w:pPr>
              <w:rPr>
                <w:color w:val="FF0000"/>
              </w:rPr>
            </w:pPr>
            <w:bookmarkStart w:id="14" w:name="_Hlk106972905"/>
            <w:r>
              <w:rPr>
                <w:color w:val="FF0000"/>
              </w:rPr>
              <w:t>MR61XX/ MR64XX/ MR65XX</w:t>
            </w:r>
          </w:p>
        </w:tc>
        <w:tc>
          <w:tcPr>
            <w:tcW w:w="3690" w:type="dxa"/>
          </w:tcPr>
          <w:p w14:paraId="4F478A8F" w14:textId="161516A4" w:rsidR="00260503" w:rsidRDefault="00260503" w:rsidP="00260503">
            <w:r>
              <w:t>2,4</w:t>
            </w:r>
            <w:r w:rsidR="00824F64">
              <w:t> GHz</w:t>
            </w:r>
            <w:r>
              <w:t>, 5 GHz, 6 GHz</w:t>
            </w:r>
          </w:p>
          <w:p w14:paraId="069B7BC6" w14:textId="3B970B1C" w:rsidR="00260503" w:rsidRDefault="00260503" w:rsidP="00260503">
            <w:r>
              <w:t>Bandes WCDMA, LTE et 5G :</w:t>
            </w:r>
          </w:p>
          <w:p w14:paraId="625A9F6D" w14:textId="7D7D8EAF" w:rsidR="0034553B" w:rsidRDefault="0034553B" w:rsidP="00260503">
            <w:r>
              <w:t>B30 (2 305 à 2 312,5 MHz)</w:t>
            </w:r>
          </w:p>
          <w:p w14:paraId="4F7A6DC7" w14:textId="3080144B" w:rsidR="0034553B" w:rsidRDefault="0034553B" w:rsidP="00260503">
            <w:r>
              <w:t>B48 (3 552,5 à 3 697,5 MHz)</w:t>
            </w:r>
          </w:p>
          <w:p w14:paraId="7F755109" w14:textId="056A1190" w:rsidR="0034553B" w:rsidRDefault="0034553B" w:rsidP="00260503">
            <w:r>
              <w:t>Toutes les autres bandes LTE et 5G</w:t>
            </w:r>
          </w:p>
          <w:p w14:paraId="62F6EFBE" w14:textId="6089CDA5" w:rsidR="00620D32" w:rsidRDefault="00620D32" w:rsidP="00260503"/>
        </w:tc>
        <w:tc>
          <w:tcPr>
            <w:tcW w:w="1077" w:type="dxa"/>
          </w:tcPr>
          <w:p w14:paraId="51CFDB2C" w14:textId="77777777" w:rsidR="00260503" w:rsidRDefault="00260503" w:rsidP="00260503">
            <w:r>
              <w:t>Interne.</w:t>
            </w:r>
          </w:p>
          <w:p w14:paraId="2E17F68F" w14:textId="2B05662F" w:rsidR="00260503" w:rsidRDefault="00AC1FC9" w:rsidP="00260503">
            <w:r>
              <w:t>Ant1, Ant2</w:t>
            </w:r>
          </w:p>
          <w:p w14:paraId="48CCB446" w14:textId="3CBAA69D" w:rsidR="0034553B" w:rsidRDefault="00AC1FC9" w:rsidP="00260503">
            <w:r>
              <w:t xml:space="preserve">   -   , 1,05</w:t>
            </w:r>
          </w:p>
          <w:p w14:paraId="7EBA3C01" w14:textId="6010F207" w:rsidR="0034553B" w:rsidRDefault="009C2166" w:rsidP="00260503">
            <w:r>
              <w:t>0,17, 0,47</w:t>
            </w:r>
          </w:p>
          <w:p w14:paraId="1FE001FF" w14:textId="19195216" w:rsidR="002B58BB" w:rsidRDefault="00AC1FC9" w:rsidP="00260503">
            <w:r>
              <w:t xml:space="preserve">   </w:t>
            </w:r>
            <w:proofErr w:type="gramStart"/>
            <w:r>
              <w:t>4  ,</w:t>
            </w:r>
            <w:proofErr w:type="gramEnd"/>
            <w:r>
              <w:t xml:space="preserve">  4</w:t>
            </w:r>
          </w:p>
          <w:p w14:paraId="36583AB2" w14:textId="0A474958" w:rsidR="00F21D50" w:rsidRDefault="00F21D50"/>
        </w:tc>
        <w:tc>
          <w:tcPr>
            <w:tcW w:w="3063" w:type="dxa"/>
          </w:tcPr>
          <w:p w14:paraId="2A0E9E7C" w14:textId="77777777" w:rsidR="00260503" w:rsidRDefault="00260503" w:rsidP="00260503"/>
          <w:p w14:paraId="71D07D00" w14:textId="0DE2BE09" w:rsidR="00260503" w:rsidRDefault="00260503" w:rsidP="00260503">
            <w:r>
              <w:t>Interne</w:t>
            </w:r>
          </w:p>
        </w:tc>
      </w:tr>
      <w:tr w:rsidR="00260503" w14:paraId="354C974B" w14:textId="77777777" w:rsidTr="00260503">
        <w:tc>
          <w:tcPr>
            <w:tcW w:w="2065" w:type="dxa"/>
          </w:tcPr>
          <w:p w14:paraId="60011B86" w14:textId="57105735" w:rsidR="00260503" w:rsidRPr="00E63B27" w:rsidRDefault="00260503" w:rsidP="00F550FF">
            <w:pPr>
              <w:rPr>
                <w:color w:val="FF0000"/>
              </w:rPr>
            </w:pPr>
          </w:p>
        </w:tc>
        <w:tc>
          <w:tcPr>
            <w:tcW w:w="3690" w:type="dxa"/>
          </w:tcPr>
          <w:p w14:paraId="2589DB1E" w14:textId="66ADDCA5" w:rsidR="00315237" w:rsidRDefault="00315237" w:rsidP="00F550FF"/>
        </w:tc>
        <w:tc>
          <w:tcPr>
            <w:tcW w:w="1077" w:type="dxa"/>
          </w:tcPr>
          <w:p w14:paraId="34A7D5E8" w14:textId="0D2EDCF6" w:rsidR="00315237" w:rsidRDefault="00315237" w:rsidP="00F550FF"/>
        </w:tc>
        <w:tc>
          <w:tcPr>
            <w:tcW w:w="3063" w:type="dxa"/>
          </w:tcPr>
          <w:p w14:paraId="25C5EE1D" w14:textId="77777777" w:rsidR="00260503" w:rsidRDefault="00260503" w:rsidP="00F550FF"/>
        </w:tc>
      </w:tr>
    </w:tbl>
    <w:p w14:paraId="32307509" w14:textId="2D34DF45" w:rsidR="004E534D" w:rsidRPr="004E534D" w:rsidRDefault="00086ECA" w:rsidP="00481C42">
      <w:pPr>
        <w:pStyle w:val="Titre1"/>
      </w:pPr>
      <w:bookmarkStart w:id="15" w:name="_Toc118886569"/>
      <w:bookmarkEnd w:id="14"/>
      <w:r>
        <w:t>Exigences réglementaires pour une utilisation en Europe (GB, UK et UE)</w:t>
      </w:r>
      <w:bookmarkEnd w:id="15"/>
    </w:p>
    <w:p w14:paraId="0806BB9B" w14:textId="5326F58B" w:rsidR="00AC23E2" w:rsidRDefault="00AC23E2" w:rsidP="004E534D">
      <w:pPr>
        <w:spacing w:line="240" w:lineRule="auto"/>
        <w:rPr>
          <w:rFonts w:cs="Arial"/>
        </w:rPr>
      </w:pPr>
      <w:r>
        <w:t>Cette rubrique s'applique aux produits portant la marque CE et/ou UKCA :</w:t>
      </w:r>
    </w:p>
    <w:p w14:paraId="0557DAEA" w14:textId="2DB31AB2" w:rsidR="00AC23E2" w:rsidRDefault="00AC23E2" w:rsidP="004E534D">
      <w:pPr>
        <w:spacing w:line="240" w:lineRule="auto"/>
        <w:rPr>
          <w:rFonts w:cs="Arial"/>
        </w:rPr>
      </w:pPr>
      <w:r>
        <w:rPr>
          <w:noProof/>
        </w:rPr>
        <w:drawing>
          <wp:inline distT="0" distB="0" distL="0" distR="0" wp14:anchorId="64BECF13" wp14:editId="581FB314">
            <wp:extent cx="323850" cy="222595"/>
            <wp:effectExtent l="0" t="0" r="0" b="6350"/>
            <wp:docPr id="2" name="Picture 2" descr="V:\Engineering\TechnicalPublications\4TechPubs\Templates\Manuals FM-10\Manuals_FM10_5April13\FrameSrc\Images\ImgSrc\CE_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ngineering\TechnicalPublications\4TechPubs\Templates\Manuals FM-10\Manuals_FM10_5April13\FrameSrc\Images\ImgSrc\CE_Mar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0461" cy="227139"/>
                    </a:xfrm>
                    <a:prstGeom prst="rect">
                      <a:avLst/>
                    </a:prstGeom>
                    <a:noFill/>
                    <a:ln>
                      <a:noFill/>
                    </a:ln>
                  </pic:spPr>
                </pic:pic>
              </a:graphicData>
            </a:graphic>
          </wp:inline>
        </w:drawing>
      </w:r>
      <w:r>
        <w:t xml:space="preserve">          </w:t>
      </w:r>
      <w:r>
        <w:rPr>
          <w:noProof/>
        </w:rPr>
        <w:drawing>
          <wp:inline distT="0" distB="0" distL="0" distR="0" wp14:anchorId="4B13EE9D" wp14:editId="6938FDAA">
            <wp:extent cx="238125" cy="2378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CA black fill.g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0805" cy="250564"/>
                    </a:xfrm>
                    <a:prstGeom prst="rect">
                      <a:avLst/>
                    </a:prstGeom>
                  </pic:spPr>
                </pic:pic>
              </a:graphicData>
            </a:graphic>
          </wp:inline>
        </w:drawing>
      </w:r>
      <w:r>
        <w:t xml:space="preserve">         </w:t>
      </w:r>
    </w:p>
    <w:p w14:paraId="1675FFED" w14:textId="77777777" w:rsidR="004E534D" w:rsidRPr="004E534D" w:rsidRDefault="004E534D" w:rsidP="004E534D">
      <w:pPr>
        <w:spacing w:line="240" w:lineRule="auto"/>
        <w:rPr>
          <w:rFonts w:cs="Arial"/>
        </w:rPr>
      </w:pPr>
      <w:r>
        <w:t>Les produits portant la marque CE sont conformes aux directives européennes suivantes :</w:t>
      </w:r>
    </w:p>
    <w:p w14:paraId="47E7F46C" w14:textId="77777777" w:rsidR="00086ECA" w:rsidRDefault="00086ECA" w:rsidP="00086ECA">
      <w:pPr>
        <w:pStyle w:val="Paragraphedeliste"/>
        <w:numPr>
          <w:ilvl w:val="0"/>
          <w:numId w:val="11"/>
        </w:numPr>
        <w:spacing w:line="240" w:lineRule="auto"/>
        <w:rPr>
          <w:rFonts w:cs="Arial"/>
        </w:rPr>
      </w:pPr>
      <w:r>
        <w:lastRenderedPageBreak/>
        <w:t>Directive sur l'écoconception (2009/125/CE)</w:t>
      </w:r>
    </w:p>
    <w:p w14:paraId="2898BE75" w14:textId="77777777" w:rsidR="00086ECA" w:rsidRDefault="00086ECA" w:rsidP="00086ECA">
      <w:pPr>
        <w:pStyle w:val="Paragraphedeliste"/>
        <w:numPr>
          <w:ilvl w:val="0"/>
          <w:numId w:val="11"/>
        </w:numPr>
        <w:spacing w:after="60" w:line="240" w:lineRule="auto"/>
        <w:rPr>
          <w:rFonts w:cs="Arial"/>
        </w:rPr>
      </w:pPr>
      <w:r>
        <w:t>Directive RoHS 2011/65/UE</w:t>
      </w:r>
    </w:p>
    <w:p w14:paraId="06CF6593" w14:textId="77777777" w:rsidR="00086ECA" w:rsidRPr="00086ECA" w:rsidRDefault="00086ECA" w:rsidP="00086ECA">
      <w:pPr>
        <w:spacing w:after="0" w:line="240" w:lineRule="auto"/>
        <w:ind w:left="360"/>
        <w:rPr>
          <w:rFonts w:cs="Arial"/>
        </w:rPr>
      </w:pPr>
      <w:r>
        <w:t>Pour les équipements non radioélectriques :</w:t>
      </w:r>
    </w:p>
    <w:p w14:paraId="5D786E6D" w14:textId="77777777" w:rsidR="004E534D" w:rsidRPr="004E534D" w:rsidRDefault="00594E54" w:rsidP="004E534D">
      <w:pPr>
        <w:pStyle w:val="Paragraphedeliste"/>
        <w:numPr>
          <w:ilvl w:val="0"/>
          <w:numId w:val="11"/>
        </w:numPr>
        <w:spacing w:line="240" w:lineRule="auto"/>
        <w:rPr>
          <w:rFonts w:cs="Arial"/>
        </w:rPr>
      </w:pPr>
      <w:r>
        <w:t>Directive CEM 2014/30/UE</w:t>
      </w:r>
    </w:p>
    <w:p w14:paraId="70312403" w14:textId="77777777" w:rsidR="004E534D" w:rsidRDefault="004E534D" w:rsidP="00086ECA">
      <w:pPr>
        <w:pStyle w:val="Paragraphedeliste"/>
        <w:numPr>
          <w:ilvl w:val="0"/>
          <w:numId w:val="11"/>
        </w:numPr>
        <w:spacing w:after="60" w:line="240" w:lineRule="auto"/>
        <w:rPr>
          <w:rFonts w:cs="Arial"/>
        </w:rPr>
      </w:pPr>
      <w:r>
        <w:t>Directive basse tension 2014/35/UE</w:t>
      </w:r>
    </w:p>
    <w:p w14:paraId="283F6DD1" w14:textId="77777777" w:rsidR="00086ECA" w:rsidRPr="00086ECA" w:rsidRDefault="00086ECA" w:rsidP="00086ECA">
      <w:pPr>
        <w:spacing w:after="0" w:line="240" w:lineRule="auto"/>
        <w:ind w:left="360"/>
        <w:rPr>
          <w:rFonts w:cs="Arial"/>
        </w:rPr>
      </w:pPr>
      <w:r>
        <w:t>Pour les équipements radioélectriques :</w:t>
      </w:r>
    </w:p>
    <w:p w14:paraId="2464C5F7" w14:textId="77777777" w:rsidR="00631365" w:rsidRDefault="00631365" w:rsidP="004E534D">
      <w:pPr>
        <w:pStyle w:val="Paragraphedeliste"/>
        <w:numPr>
          <w:ilvl w:val="0"/>
          <w:numId w:val="11"/>
        </w:numPr>
        <w:spacing w:line="240" w:lineRule="auto"/>
        <w:rPr>
          <w:rFonts w:cs="Arial"/>
        </w:rPr>
      </w:pPr>
      <w:r>
        <w:t>Directive sur les équipements radioélectriques 2014/53/UE (RED)</w:t>
      </w:r>
    </w:p>
    <w:p w14:paraId="490B62CE" w14:textId="49A93FB2" w:rsidR="004E534D" w:rsidRDefault="004E534D" w:rsidP="004E534D">
      <w:pPr>
        <w:rPr>
          <w:rFonts w:cs="Arial"/>
        </w:rPr>
      </w:pPr>
      <w:r>
        <w:t xml:space="preserve">Le respect de ces directives implique la conformité aux normes européennes harmonisées qui sont notées dans la déclaration de conformité UE. La déclaration de conformité UE est disponible à l'adresse suivante : </w:t>
      </w:r>
      <w:hyperlink r:id="rId17" w:history="1">
        <w:r>
          <w:rPr>
            <w:rStyle w:val="Lienhypertexte"/>
          </w:rPr>
          <w:t>http://support.netgear.com/app/answers/detail/a_id/11621/</w:t>
        </w:r>
      </w:hyperlink>
      <w:r>
        <w:t>.</w:t>
      </w:r>
    </w:p>
    <w:p w14:paraId="0C2C461C" w14:textId="23454CDD" w:rsidR="000A4825" w:rsidRDefault="000A4825" w:rsidP="000A4825">
      <w:pPr>
        <w:spacing w:line="240" w:lineRule="auto"/>
        <w:rPr>
          <w:rFonts w:cs="Arial"/>
        </w:rPr>
      </w:pPr>
      <w:r>
        <w:t>Les produits portant la marque UKCA sont conformes aux textes réglementaires du Royaume-Uni et aux normes désignées appropriées, comme indiqué dans la déclaration de conformité UKCA. La déclaration de conformité UKCA est disponible à l'adresse suivante :</w:t>
      </w:r>
    </w:p>
    <w:p w14:paraId="34A28F2E" w14:textId="210488B1" w:rsidR="000A4825" w:rsidRPr="004E534D" w:rsidRDefault="00F55C63" w:rsidP="000A4825">
      <w:pPr>
        <w:spacing w:line="240" w:lineRule="auto"/>
        <w:rPr>
          <w:rFonts w:cs="Arial"/>
        </w:rPr>
      </w:pPr>
      <w:hyperlink r:id="rId18" w:history="1">
        <w:r w:rsidR="00E63B27">
          <w:rPr>
            <w:color w:val="0563C1"/>
            <w:u w:val="single"/>
          </w:rPr>
          <w:t>https://kb.netgear.com/000062897/UKCA-Declarations-of-Conformity</w:t>
        </w:r>
      </w:hyperlink>
    </w:p>
    <w:p w14:paraId="54DA5D04" w14:textId="77777777" w:rsidR="000C0C1B" w:rsidRDefault="000C0C1B" w:rsidP="0060535B">
      <w:pPr>
        <w:pStyle w:val="Titre2"/>
      </w:pPr>
      <w:bookmarkStart w:id="16" w:name="_Toc118886570"/>
      <w:r>
        <w:t>Conformité à la directive 2014/53/UE sur les équipements radioélectriques</w:t>
      </w:r>
      <w:bookmarkEnd w:id="16"/>
    </w:p>
    <w:p w14:paraId="2651449F" w14:textId="247618D8" w:rsidR="00944A3B" w:rsidRDefault="00B76660" w:rsidP="004E534D">
      <w:pPr>
        <w:rPr>
          <w:rFonts w:cs="Arial"/>
        </w:rPr>
      </w:pPr>
      <w:r>
        <w:t xml:space="preserve">Les produits NETGEAR portant le marquage CE sont conformes aux exigences de l'article 10, paragraphe 2, de la directive sur les équipements radioélectriques, car ils peuvent fonctionner dans au moins un Etat membre, comme examiné. </w:t>
      </w:r>
    </w:p>
    <w:p w14:paraId="16C23CF7" w14:textId="1EB1C1AB" w:rsidR="00B76660" w:rsidRDefault="00944A3B" w:rsidP="004E534D">
      <w:pPr>
        <w:rPr>
          <w:rFonts w:cs="Arial"/>
        </w:rPr>
      </w:pPr>
      <w:r>
        <w:t>Conformément à l'article 10, paragraphe 10, de cette directive, les produits NETGEAR sur l'emballage desquels figure le pictogramme suivant sont soumis aux restrictions décrites ci-dessous dans les pays indiqués :</w:t>
      </w:r>
    </w:p>
    <w:p w14:paraId="34A981DC" w14:textId="77B738A4" w:rsidR="00944A3B" w:rsidRDefault="001F2CF2" w:rsidP="008E0AE0">
      <w:pPr>
        <w:rPr>
          <w:rFonts w:cs="Arial"/>
        </w:rPr>
      </w:pPr>
      <w:r>
        <w:rPr>
          <w:noProof/>
        </w:rPr>
        <w:drawing>
          <wp:inline distT="0" distB="0" distL="0" distR="0" wp14:anchorId="4112DDF7" wp14:editId="4A21484B">
            <wp:extent cx="1778091" cy="755689"/>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gram.PNG"/>
                    <pic:cNvPicPr/>
                  </pic:nvPicPr>
                  <pic:blipFill>
                    <a:blip r:embed="rId19">
                      <a:extLst>
                        <a:ext uri="{28A0092B-C50C-407E-A947-70E740481C1C}">
                          <a14:useLocalDpi xmlns:a14="http://schemas.microsoft.com/office/drawing/2010/main" val="0"/>
                        </a:ext>
                      </a:extLst>
                    </a:blip>
                    <a:stretch>
                      <a:fillRect/>
                    </a:stretch>
                  </pic:blipFill>
                  <pic:spPr>
                    <a:xfrm>
                      <a:off x="0" y="0"/>
                      <a:ext cx="1778091" cy="755689"/>
                    </a:xfrm>
                    <a:prstGeom prst="rect">
                      <a:avLst/>
                    </a:prstGeom>
                  </pic:spPr>
                </pic:pic>
              </a:graphicData>
            </a:graphic>
          </wp:inline>
        </w:drawing>
      </w:r>
    </w:p>
    <w:p w14:paraId="15F5F37E" w14:textId="77777777" w:rsidR="00683FD5" w:rsidRPr="000E6B64" w:rsidRDefault="00683FD5" w:rsidP="000E6B64">
      <w:pPr>
        <w:pStyle w:val="Paragraphedeliste"/>
        <w:numPr>
          <w:ilvl w:val="0"/>
          <w:numId w:val="11"/>
        </w:numPr>
        <w:spacing w:after="80" w:line="240" w:lineRule="auto"/>
        <w:contextualSpacing w:val="0"/>
      </w:pPr>
      <w:r>
        <w:t>L'appareil est réservé à une utilisation en intérieur uniquement lorsqu'il fonctionne dans les plages de fréquences suivantes :</w:t>
      </w:r>
    </w:p>
    <w:p w14:paraId="178AF14F" w14:textId="77777777" w:rsidR="00683FD5" w:rsidRPr="000E6B64" w:rsidRDefault="00683FD5" w:rsidP="000E6B64">
      <w:pPr>
        <w:pStyle w:val="Paragraphedeliste"/>
        <w:spacing w:after="0" w:line="240" w:lineRule="auto"/>
        <w:contextualSpacing w:val="0"/>
      </w:pPr>
      <w:r>
        <w:t>5150 à 5350 MHz</w:t>
      </w:r>
    </w:p>
    <w:p w14:paraId="48581095" w14:textId="6C73678A" w:rsidR="00683FD5" w:rsidRDefault="00683FD5" w:rsidP="000E6B64">
      <w:pPr>
        <w:pStyle w:val="Paragraphedeliste"/>
        <w:spacing w:after="80" w:line="240" w:lineRule="auto"/>
        <w:contextualSpacing w:val="0"/>
      </w:pPr>
      <w:r>
        <w:t>5945 à 6425 MHz</w:t>
      </w:r>
    </w:p>
    <w:p w14:paraId="249ADA6A" w14:textId="77777777" w:rsidR="00BB2455" w:rsidRDefault="00BB2455" w:rsidP="00BB2455">
      <w:pPr>
        <w:pStyle w:val="Paragraphedeliste"/>
        <w:spacing w:after="80" w:line="240" w:lineRule="auto"/>
        <w:contextualSpacing w:val="0"/>
      </w:pPr>
      <w:r>
        <w:t>(Les modèles MR61XX, MR64XX et MR65XX ne sont pas limités à une utilisation en intérieur)</w:t>
      </w:r>
    </w:p>
    <w:p w14:paraId="2257FD3D" w14:textId="77777777" w:rsidR="00BB2455" w:rsidRDefault="00BB2455" w:rsidP="000E6B64">
      <w:pPr>
        <w:pStyle w:val="Paragraphedeliste"/>
        <w:spacing w:after="80" w:line="240" w:lineRule="auto"/>
        <w:contextualSpacing w:val="0"/>
      </w:pPr>
    </w:p>
    <w:p w14:paraId="64777D0B" w14:textId="21B367B8" w:rsidR="0052671E" w:rsidRDefault="0052671E">
      <w:pPr>
        <w:pStyle w:val="Paragraphedeliste"/>
        <w:numPr>
          <w:ilvl w:val="0"/>
          <w:numId w:val="11"/>
        </w:numPr>
        <w:spacing w:after="80" w:line="240" w:lineRule="auto"/>
        <w:contextualSpacing w:val="0"/>
      </w:pPr>
      <w:r>
        <w:t xml:space="preserve">Le fonctionnement dans une plage de fréquences de 5945-6425 MHz n'est pas autorisé dans les pays de l'UE et de l'AELE avant décembre 2021, sauf pour les pays suivants : CY, CZ, DE, FR, SI, NO et UK(NI). </w:t>
      </w:r>
    </w:p>
    <w:p w14:paraId="0B719C94" w14:textId="0FE969BE" w:rsidR="00643CD4" w:rsidRDefault="00EB1502">
      <w:pPr>
        <w:pStyle w:val="Paragraphedeliste"/>
        <w:numPr>
          <w:ilvl w:val="0"/>
          <w:numId w:val="11"/>
        </w:numPr>
        <w:spacing w:after="80" w:line="240" w:lineRule="auto"/>
        <w:contextualSpacing w:val="0"/>
      </w:pPr>
      <w:r>
        <w:t>Les appareils de 5945-6425 MHz sont autorisés en Belgique à partir d'octobre 2021 en vertu du régime d'autorisation, jusqu'à ce que l'arrêté royal soit mis à jour pour rendre cette bande de fréquences exempte ou non autorisée. Chaque emplacement où se trouvent les appareils est soumis à l'obtention d'une licence générale, voir l'IBPT pour plus de détails. Références supplémentaires :</w:t>
      </w:r>
    </w:p>
    <w:p w14:paraId="753CA84C" w14:textId="0B6EF796" w:rsidR="00EB1502" w:rsidRDefault="00F55C63" w:rsidP="00EB1502">
      <w:pPr>
        <w:pStyle w:val="Paragraphedeliste"/>
        <w:numPr>
          <w:ilvl w:val="1"/>
          <w:numId w:val="11"/>
        </w:numPr>
        <w:spacing w:after="80" w:line="240" w:lineRule="auto"/>
        <w:contextualSpacing w:val="0"/>
      </w:pPr>
      <w:hyperlink r:id="rId20" w:history="1">
        <w:r w:rsidR="00E63B27">
          <w:rPr>
            <w:rStyle w:val="Lienhypertexte"/>
          </w:rPr>
          <w:t>https://www.ibpt.be/consommateurs/utilisation-libre-de-radio</w:t>
        </w:r>
      </w:hyperlink>
    </w:p>
    <w:p w14:paraId="6739C049" w14:textId="5CE91D5F" w:rsidR="00EB1502" w:rsidRDefault="00F55C63" w:rsidP="000E6B64">
      <w:pPr>
        <w:pStyle w:val="Paragraphedeliste"/>
        <w:numPr>
          <w:ilvl w:val="1"/>
          <w:numId w:val="11"/>
        </w:numPr>
        <w:spacing w:after="80" w:line="240" w:lineRule="auto"/>
        <w:contextualSpacing w:val="0"/>
      </w:pPr>
      <w:hyperlink r:id="rId21" w:history="1">
        <w:r w:rsidR="00E63B27">
          <w:rPr>
            <w:rStyle w:val="Lienhypertexte"/>
          </w:rPr>
          <w:t>https://www.bipt.be/operators/general-holders-licences</w:t>
        </w:r>
      </w:hyperlink>
    </w:p>
    <w:p w14:paraId="4B04E5F0" w14:textId="77777777" w:rsidR="00683FD5" w:rsidRPr="004E534D" w:rsidRDefault="00683FD5" w:rsidP="007000CC">
      <w:pPr>
        <w:spacing w:after="0"/>
      </w:pPr>
    </w:p>
    <w:p w14:paraId="077F017B" w14:textId="77777777" w:rsidR="00A81D71" w:rsidRDefault="00A81D71" w:rsidP="007000CC">
      <w:pPr>
        <w:pStyle w:val="Titre3"/>
      </w:pPr>
      <w:bookmarkStart w:id="17" w:name="_Toc118886571"/>
      <w:r>
        <w:t>Directives relatives à l'exposition aux fréquences radio</w:t>
      </w:r>
      <w:bookmarkEnd w:id="17"/>
    </w:p>
    <w:p w14:paraId="2E688860" w14:textId="18E71016" w:rsidR="00A81D71" w:rsidRDefault="00A81D71" w:rsidP="0060535B">
      <w:pPr>
        <w:spacing w:before="80" w:after="80"/>
        <w:jc w:val="both"/>
        <w:rPr>
          <w:highlight w:val="yellow"/>
        </w:rPr>
      </w:pPr>
      <w:r>
        <w:t>Pour les appareils autres que des hotspots mobiles et des modems USB, afin de respecter les conditions d'exposition maximale admissible, respectez une distance de séparation d'au moins 20 cm entre l'appareil NETGEAR sans fil et le corps de l'utilisateur. Pour plus de détails, consultez la rubrique relative à l'exposition aux ondes radio à l'adresse suivante :</w:t>
      </w:r>
    </w:p>
    <w:p w14:paraId="18D51646" w14:textId="2B21804C" w:rsidR="008350C8" w:rsidRDefault="00F55C63" w:rsidP="008350C8">
      <w:hyperlink r:id="rId22" w:history="1">
        <w:r w:rsidR="00E63B27">
          <w:rPr>
            <w:rStyle w:val="Lienhypertexte"/>
          </w:rPr>
          <w:t>https://www.netgear.com/fr/about/regulatory/</w:t>
        </w:r>
      </w:hyperlink>
    </w:p>
    <w:p w14:paraId="11C541B8" w14:textId="5CDCE30B" w:rsidR="00711C6D" w:rsidRDefault="00711C6D" w:rsidP="00631365">
      <w:r>
        <w:t>Conformément aux Articles 10.8(a) et 10.8(b), de la directive RED, le tableau suivant fournit des informations sur les bandes de fréquences utilisées et de puissances de transmission par fréquence radio maximale des produits NETGEAR sans fil en vente dans l'UE :</w:t>
      </w:r>
    </w:p>
    <w:p w14:paraId="5776E1F8" w14:textId="77777777" w:rsidR="003B3E0A" w:rsidRPr="003B3E0A" w:rsidRDefault="003B3E0A" w:rsidP="0037608F">
      <w:pPr>
        <w:rPr>
          <w:i/>
        </w:rPr>
      </w:pPr>
      <w:r>
        <w:rPr>
          <w:i/>
        </w:rPr>
        <w:t>WiFi</w:t>
      </w:r>
    </w:p>
    <w:tbl>
      <w:tblPr>
        <w:tblW w:w="0" w:type="auto"/>
        <w:tblCellMar>
          <w:left w:w="0" w:type="dxa"/>
          <w:right w:w="0" w:type="dxa"/>
        </w:tblCellMar>
        <w:tblLook w:val="04A0" w:firstRow="1" w:lastRow="0" w:firstColumn="1" w:lastColumn="0" w:noHBand="0" w:noVBand="1"/>
      </w:tblPr>
      <w:tblGrid>
        <w:gridCol w:w="2496"/>
        <w:gridCol w:w="1671"/>
        <w:gridCol w:w="3299"/>
      </w:tblGrid>
      <w:tr w:rsidR="00711C6D" w:rsidRPr="00711C6D" w14:paraId="29CABE01" w14:textId="77777777" w:rsidTr="00711C6D">
        <w:tc>
          <w:tcPr>
            <w:tcW w:w="24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C7D4CB" w14:textId="77777777" w:rsidR="00711C6D" w:rsidRPr="00711C6D" w:rsidRDefault="00711C6D">
            <w:pPr>
              <w:rPr>
                <w:rFonts w:ascii="Calibri" w:hAnsi="Calibri"/>
                <w:b/>
                <w:sz w:val="22"/>
              </w:rPr>
            </w:pPr>
            <w:r>
              <w:rPr>
                <w:b/>
              </w:rPr>
              <w:t>Gamme de fréquences (MHz)</w:t>
            </w:r>
          </w:p>
        </w:tc>
        <w:tc>
          <w:tcPr>
            <w:tcW w:w="16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3B203A" w14:textId="77777777" w:rsidR="00711C6D" w:rsidRPr="00711C6D" w:rsidRDefault="00711C6D">
            <w:pPr>
              <w:rPr>
                <w:b/>
              </w:rPr>
            </w:pPr>
            <w:r>
              <w:rPr>
                <w:b/>
              </w:rPr>
              <w:t>Canaux utilisés</w:t>
            </w:r>
          </w:p>
        </w:tc>
        <w:tc>
          <w:tcPr>
            <w:tcW w:w="32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0188D" w14:textId="77777777" w:rsidR="00711C6D" w:rsidRPr="00711C6D" w:rsidRDefault="00711C6D">
            <w:pPr>
              <w:rPr>
                <w:b/>
              </w:rPr>
            </w:pPr>
            <w:r>
              <w:rPr>
                <w:b/>
              </w:rPr>
              <w:t>Puissance de transmission max. (dBm/mW)</w:t>
            </w:r>
          </w:p>
        </w:tc>
      </w:tr>
      <w:tr w:rsidR="00711C6D" w:rsidRPr="00F55C63" w14:paraId="78B5A328" w14:textId="77777777" w:rsidTr="00711C6D">
        <w:tc>
          <w:tcPr>
            <w:tcW w:w="24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7EB9A" w14:textId="77777777" w:rsidR="00711C6D" w:rsidRDefault="00711C6D" w:rsidP="00711C6D">
            <w:pPr>
              <w:spacing w:after="0"/>
            </w:pPr>
            <w:r>
              <w:t>2400-2483,5</w:t>
            </w:r>
          </w:p>
        </w:tc>
        <w:tc>
          <w:tcPr>
            <w:tcW w:w="1671" w:type="dxa"/>
            <w:tcBorders>
              <w:top w:val="nil"/>
              <w:left w:val="nil"/>
              <w:bottom w:val="single" w:sz="8" w:space="0" w:color="auto"/>
              <w:right w:val="single" w:sz="8" w:space="0" w:color="auto"/>
            </w:tcBorders>
            <w:tcMar>
              <w:top w:w="0" w:type="dxa"/>
              <w:left w:w="108" w:type="dxa"/>
              <w:bottom w:w="0" w:type="dxa"/>
              <w:right w:w="108" w:type="dxa"/>
            </w:tcMar>
            <w:hideMark/>
          </w:tcPr>
          <w:p w14:paraId="1946587A" w14:textId="77777777" w:rsidR="00711C6D" w:rsidRDefault="00711C6D" w:rsidP="00711C6D">
            <w:pPr>
              <w:spacing w:after="0"/>
            </w:pPr>
            <w:r>
              <w:t>1-13</w:t>
            </w:r>
          </w:p>
        </w:tc>
        <w:tc>
          <w:tcPr>
            <w:tcW w:w="3299" w:type="dxa"/>
            <w:tcBorders>
              <w:top w:val="nil"/>
              <w:left w:val="nil"/>
              <w:bottom w:val="single" w:sz="8" w:space="0" w:color="auto"/>
              <w:right w:val="single" w:sz="8" w:space="0" w:color="auto"/>
            </w:tcBorders>
            <w:tcMar>
              <w:top w:w="0" w:type="dxa"/>
              <w:left w:w="108" w:type="dxa"/>
              <w:bottom w:w="0" w:type="dxa"/>
              <w:right w:w="108" w:type="dxa"/>
            </w:tcMar>
            <w:hideMark/>
          </w:tcPr>
          <w:p w14:paraId="3ABCF884" w14:textId="77777777" w:rsidR="00711C6D" w:rsidRPr="00D40296" w:rsidRDefault="00711C6D" w:rsidP="00711C6D">
            <w:pPr>
              <w:spacing w:after="0"/>
              <w:rPr>
                <w:lang w:val="en-IE"/>
              </w:rPr>
            </w:pPr>
            <w:proofErr w:type="gramStart"/>
            <w:r w:rsidRPr="00D40296">
              <w:rPr>
                <w:lang w:val="en-IE"/>
              </w:rPr>
              <w:t>ODFM :</w:t>
            </w:r>
            <w:proofErr w:type="gramEnd"/>
            <w:r w:rsidRPr="00D40296">
              <w:rPr>
                <w:lang w:val="en-IE"/>
              </w:rPr>
              <w:t xml:space="preserve"> 19,9 dBm (97,7 </w:t>
            </w:r>
            <w:proofErr w:type="spellStart"/>
            <w:r w:rsidRPr="00D40296">
              <w:rPr>
                <w:lang w:val="en-IE"/>
              </w:rPr>
              <w:t>mW</w:t>
            </w:r>
            <w:proofErr w:type="spellEnd"/>
            <w:r w:rsidRPr="00D40296">
              <w:rPr>
                <w:lang w:val="en-IE"/>
              </w:rPr>
              <w:t>)</w:t>
            </w:r>
          </w:p>
          <w:p w14:paraId="7E96C2A1" w14:textId="77777777" w:rsidR="00711C6D" w:rsidRPr="00D40296" w:rsidRDefault="00711C6D" w:rsidP="00711C6D">
            <w:pPr>
              <w:spacing w:after="0"/>
              <w:rPr>
                <w:lang w:val="en-IE"/>
              </w:rPr>
            </w:pPr>
            <w:proofErr w:type="gramStart"/>
            <w:r w:rsidRPr="00D40296">
              <w:rPr>
                <w:lang w:val="en-IE"/>
              </w:rPr>
              <w:t>CCK :</w:t>
            </w:r>
            <w:proofErr w:type="gramEnd"/>
            <w:r w:rsidRPr="00D40296">
              <w:rPr>
                <w:lang w:val="en-IE"/>
              </w:rPr>
              <w:t xml:space="preserve"> 17,9 dBm (61,7 </w:t>
            </w:r>
            <w:proofErr w:type="spellStart"/>
            <w:r w:rsidRPr="00D40296">
              <w:rPr>
                <w:lang w:val="en-IE"/>
              </w:rPr>
              <w:t>mW</w:t>
            </w:r>
            <w:proofErr w:type="spellEnd"/>
            <w:r w:rsidRPr="00D40296">
              <w:rPr>
                <w:lang w:val="en-IE"/>
              </w:rPr>
              <w:t>)</w:t>
            </w:r>
          </w:p>
        </w:tc>
      </w:tr>
      <w:tr w:rsidR="00711C6D" w14:paraId="5FBD2AA8" w14:textId="77777777" w:rsidTr="00711C6D">
        <w:tc>
          <w:tcPr>
            <w:tcW w:w="24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411B5B" w14:textId="77777777" w:rsidR="00711C6D" w:rsidRDefault="00711C6D" w:rsidP="00711C6D">
            <w:pPr>
              <w:spacing w:after="0"/>
            </w:pPr>
            <w:r>
              <w:t>5150-5250</w:t>
            </w:r>
          </w:p>
        </w:tc>
        <w:tc>
          <w:tcPr>
            <w:tcW w:w="1671" w:type="dxa"/>
            <w:tcBorders>
              <w:top w:val="nil"/>
              <w:left w:val="nil"/>
              <w:bottom w:val="single" w:sz="8" w:space="0" w:color="auto"/>
              <w:right w:val="single" w:sz="8" w:space="0" w:color="auto"/>
            </w:tcBorders>
            <w:tcMar>
              <w:top w:w="0" w:type="dxa"/>
              <w:left w:w="108" w:type="dxa"/>
              <w:bottom w:w="0" w:type="dxa"/>
              <w:right w:w="108" w:type="dxa"/>
            </w:tcMar>
            <w:hideMark/>
          </w:tcPr>
          <w:p w14:paraId="3BC36C91" w14:textId="77777777" w:rsidR="00711C6D" w:rsidRDefault="00711C6D" w:rsidP="00711C6D">
            <w:pPr>
              <w:spacing w:after="0"/>
            </w:pPr>
            <w:r>
              <w:t>36-48</w:t>
            </w:r>
          </w:p>
        </w:tc>
        <w:tc>
          <w:tcPr>
            <w:tcW w:w="3299" w:type="dxa"/>
            <w:tcBorders>
              <w:top w:val="nil"/>
              <w:left w:val="nil"/>
              <w:bottom w:val="single" w:sz="8" w:space="0" w:color="auto"/>
              <w:right w:val="single" w:sz="8" w:space="0" w:color="auto"/>
            </w:tcBorders>
            <w:tcMar>
              <w:top w:w="0" w:type="dxa"/>
              <w:left w:w="108" w:type="dxa"/>
              <w:bottom w:w="0" w:type="dxa"/>
              <w:right w:w="108" w:type="dxa"/>
            </w:tcMar>
            <w:hideMark/>
          </w:tcPr>
          <w:p w14:paraId="5328CFEA" w14:textId="77777777" w:rsidR="00711C6D" w:rsidRDefault="00711C6D" w:rsidP="00711C6D">
            <w:pPr>
              <w:spacing w:after="0"/>
            </w:pPr>
            <w:r>
              <w:t>22,9 dBm (195 mW)</w:t>
            </w:r>
          </w:p>
        </w:tc>
      </w:tr>
      <w:tr w:rsidR="00711C6D" w14:paraId="2028A40D" w14:textId="77777777" w:rsidTr="00711C6D">
        <w:tc>
          <w:tcPr>
            <w:tcW w:w="24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1A6963" w14:textId="77777777" w:rsidR="00711C6D" w:rsidRDefault="00711C6D" w:rsidP="00711C6D">
            <w:pPr>
              <w:spacing w:after="0"/>
            </w:pPr>
            <w:r>
              <w:t>5250-5350</w:t>
            </w:r>
          </w:p>
        </w:tc>
        <w:tc>
          <w:tcPr>
            <w:tcW w:w="1671" w:type="dxa"/>
            <w:tcBorders>
              <w:top w:val="nil"/>
              <w:left w:val="nil"/>
              <w:bottom w:val="single" w:sz="8" w:space="0" w:color="auto"/>
              <w:right w:val="single" w:sz="8" w:space="0" w:color="auto"/>
            </w:tcBorders>
            <w:tcMar>
              <w:top w:w="0" w:type="dxa"/>
              <w:left w:w="108" w:type="dxa"/>
              <w:bottom w:w="0" w:type="dxa"/>
              <w:right w:w="108" w:type="dxa"/>
            </w:tcMar>
            <w:hideMark/>
          </w:tcPr>
          <w:p w14:paraId="4B49EC8E" w14:textId="77777777" w:rsidR="00711C6D" w:rsidRDefault="00711C6D" w:rsidP="00711C6D">
            <w:pPr>
              <w:spacing w:after="0"/>
            </w:pPr>
            <w:r>
              <w:t>52-64</w:t>
            </w:r>
          </w:p>
        </w:tc>
        <w:tc>
          <w:tcPr>
            <w:tcW w:w="3299" w:type="dxa"/>
            <w:tcBorders>
              <w:top w:val="nil"/>
              <w:left w:val="nil"/>
              <w:bottom w:val="single" w:sz="8" w:space="0" w:color="auto"/>
              <w:right w:val="single" w:sz="8" w:space="0" w:color="auto"/>
            </w:tcBorders>
            <w:tcMar>
              <w:top w:w="0" w:type="dxa"/>
              <w:left w:w="108" w:type="dxa"/>
              <w:bottom w:w="0" w:type="dxa"/>
              <w:right w:w="108" w:type="dxa"/>
            </w:tcMar>
            <w:hideMark/>
          </w:tcPr>
          <w:p w14:paraId="6E04EB82" w14:textId="77777777" w:rsidR="00711C6D" w:rsidRDefault="00711C6D" w:rsidP="00711C6D">
            <w:pPr>
              <w:spacing w:after="0"/>
            </w:pPr>
            <w:r>
              <w:t>22,9 dBm (195 mW) avec TPC</w:t>
            </w:r>
          </w:p>
          <w:p w14:paraId="4DCBD7F5" w14:textId="77777777" w:rsidR="00711C6D" w:rsidRDefault="00711C6D" w:rsidP="00711C6D">
            <w:pPr>
              <w:spacing w:after="0"/>
            </w:pPr>
            <w:r>
              <w:t>19,9 dBm (97,7 mW) sans TPC</w:t>
            </w:r>
          </w:p>
        </w:tc>
      </w:tr>
      <w:tr w:rsidR="00711C6D" w14:paraId="3C7A7DB4" w14:textId="77777777" w:rsidTr="000E6B64">
        <w:tc>
          <w:tcPr>
            <w:tcW w:w="24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A5C97" w14:textId="77777777" w:rsidR="00711C6D" w:rsidRDefault="00711C6D" w:rsidP="00711C6D">
            <w:pPr>
              <w:spacing w:after="0"/>
            </w:pPr>
            <w:r>
              <w:t>5470-5725</w:t>
            </w:r>
          </w:p>
        </w:tc>
        <w:tc>
          <w:tcPr>
            <w:tcW w:w="1671" w:type="dxa"/>
            <w:tcBorders>
              <w:top w:val="nil"/>
              <w:left w:val="nil"/>
              <w:bottom w:val="single" w:sz="8" w:space="0" w:color="auto"/>
              <w:right w:val="single" w:sz="8" w:space="0" w:color="auto"/>
            </w:tcBorders>
            <w:tcMar>
              <w:top w:w="0" w:type="dxa"/>
              <w:left w:w="108" w:type="dxa"/>
              <w:bottom w:w="0" w:type="dxa"/>
              <w:right w:w="108" w:type="dxa"/>
            </w:tcMar>
            <w:hideMark/>
          </w:tcPr>
          <w:p w14:paraId="3E2EECD7" w14:textId="77777777" w:rsidR="00711C6D" w:rsidRDefault="00711C6D" w:rsidP="00711C6D">
            <w:pPr>
              <w:spacing w:after="0"/>
            </w:pPr>
            <w:r>
              <w:t>100-140</w:t>
            </w:r>
          </w:p>
        </w:tc>
        <w:tc>
          <w:tcPr>
            <w:tcW w:w="3299" w:type="dxa"/>
            <w:tcBorders>
              <w:top w:val="nil"/>
              <w:left w:val="nil"/>
              <w:bottom w:val="single" w:sz="8" w:space="0" w:color="auto"/>
              <w:right w:val="single" w:sz="8" w:space="0" w:color="auto"/>
            </w:tcBorders>
            <w:tcMar>
              <w:top w:w="0" w:type="dxa"/>
              <w:left w:w="108" w:type="dxa"/>
              <w:bottom w:w="0" w:type="dxa"/>
              <w:right w:w="108" w:type="dxa"/>
            </w:tcMar>
            <w:hideMark/>
          </w:tcPr>
          <w:p w14:paraId="2940C1BC" w14:textId="77777777" w:rsidR="00711C6D" w:rsidRDefault="00711C6D" w:rsidP="00711C6D">
            <w:pPr>
              <w:spacing w:after="0"/>
            </w:pPr>
            <w:r>
              <w:t>29,9 dBm (977 mW) avec PTC</w:t>
            </w:r>
          </w:p>
          <w:p w14:paraId="345503AB" w14:textId="77777777" w:rsidR="00711C6D" w:rsidRDefault="00711C6D" w:rsidP="00711C6D">
            <w:pPr>
              <w:spacing w:after="0"/>
            </w:pPr>
            <w:r>
              <w:t>26,9 dBm (490 mW) sans TPC</w:t>
            </w:r>
          </w:p>
        </w:tc>
      </w:tr>
      <w:tr w:rsidR="00683FD5" w14:paraId="248016E0" w14:textId="77777777" w:rsidTr="000E6B64">
        <w:tc>
          <w:tcPr>
            <w:tcW w:w="24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138824" w14:textId="751E6F91" w:rsidR="00683FD5" w:rsidRDefault="00683FD5" w:rsidP="00683FD5">
            <w:pPr>
              <w:spacing w:after="0"/>
            </w:pPr>
            <w:r>
              <w:t>5945-6425</w:t>
            </w:r>
          </w:p>
        </w:tc>
        <w:tc>
          <w:tcPr>
            <w:tcW w:w="16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5AAD71" w14:textId="77777777" w:rsidR="00683FD5" w:rsidRDefault="00683FD5" w:rsidP="00683FD5">
            <w:pPr>
              <w:spacing w:after="0"/>
            </w:pPr>
          </w:p>
        </w:tc>
        <w:tc>
          <w:tcPr>
            <w:tcW w:w="32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BC6BCB" w14:textId="2BAB1632" w:rsidR="00683FD5" w:rsidRDefault="00683FD5" w:rsidP="00683FD5">
            <w:pPr>
              <w:spacing w:after="0"/>
            </w:pPr>
            <w:r>
              <w:t>22,9 dBm (195 mW)</w:t>
            </w:r>
          </w:p>
        </w:tc>
      </w:tr>
    </w:tbl>
    <w:p w14:paraId="42354047" w14:textId="77777777" w:rsidR="00844B44" w:rsidRDefault="00844B44" w:rsidP="00844B44">
      <w:pPr>
        <w:spacing w:after="0"/>
      </w:pPr>
    </w:p>
    <w:p w14:paraId="0FEFAE20" w14:textId="77777777" w:rsidR="003B3E0A" w:rsidRDefault="00711C6D" w:rsidP="0037608F">
      <w:r>
        <w:t>TPC : Transmit Power Control (contrôle de la puissance d'émission).</w:t>
      </w:r>
    </w:p>
    <w:p w14:paraId="78F7BC4A" w14:textId="77777777" w:rsidR="00711C6D" w:rsidRPr="003B3E0A" w:rsidRDefault="003B3E0A" w:rsidP="0037608F">
      <w:pPr>
        <w:rPr>
          <w:i/>
        </w:rPr>
      </w:pPr>
      <w:r>
        <w:rPr>
          <w:i/>
        </w:rPr>
        <w:t>Cellulaire</w:t>
      </w:r>
    </w:p>
    <w:tbl>
      <w:tblPr>
        <w:tblStyle w:val="Grilledutableau"/>
        <w:tblW w:w="0" w:type="auto"/>
        <w:tblLook w:val="04A0" w:firstRow="1" w:lastRow="0" w:firstColumn="1" w:lastColumn="0" w:noHBand="0" w:noVBand="1"/>
      </w:tblPr>
      <w:tblGrid>
        <w:gridCol w:w="2515"/>
        <w:gridCol w:w="1620"/>
        <w:gridCol w:w="5215"/>
      </w:tblGrid>
      <w:tr w:rsidR="003B3E0A" w:rsidRPr="003B3E0A" w14:paraId="058A3622" w14:textId="77777777" w:rsidTr="003B3E0A">
        <w:tc>
          <w:tcPr>
            <w:tcW w:w="2515" w:type="dxa"/>
          </w:tcPr>
          <w:p w14:paraId="52FF6BB3" w14:textId="77777777" w:rsidR="003B3E0A" w:rsidRPr="003B3E0A" w:rsidRDefault="003B3E0A" w:rsidP="0037608F">
            <w:pPr>
              <w:rPr>
                <w:b/>
              </w:rPr>
            </w:pPr>
            <w:bookmarkStart w:id="18" w:name="_Hlk106973063"/>
            <w:r>
              <w:rPr>
                <w:b/>
              </w:rPr>
              <w:t>Fréquence (MHz)</w:t>
            </w:r>
          </w:p>
        </w:tc>
        <w:tc>
          <w:tcPr>
            <w:tcW w:w="1620" w:type="dxa"/>
          </w:tcPr>
          <w:p w14:paraId="2BD3A5F1" w14:textId="77777777" w:rsidR="003B3E0A" w:rsidRPr="003B3E0A" w:rsidRDefault="003B3E0A" w:rsidP="0037608F">
            <w:pPr>
              <w:rPr>
                <w:b/>
              </w:rPr>
            </w:pPr>
            <w:r>
              <w:rPr>
                <w:b/>
              </w:rPr>
              <w:t>Bandes utilisées</w:t>
            </w:r>
          </w:p>
        </w:tc>
        <w:tc>
          <w:tcPr>
            <w:tcW w:w="5215" w:type="dxa"/>
          </w:tcPr>
          <w:p w14:paraId="7191E850" w14:textId="77777777" w:rsidR="003B3E0A" w:rsidRPr="003B3E0A" w:rsidRDefault="003B3E0A" w:rsidP="0037608F">
            <w:pPr>
              <w:rPr>
                <w:b/>
              </w:rPr>
            </w:pPr>
            <w:r>
              <w:rPr>
                <w:b/>
              </w:rPr>
              <w:t>Puissance de transmission max. (dBm/mW)</w:t>
            </w:r>
          </w:p>
        </w:tc>
      </w:tr>
      <w:tr w:rsidR="003B3E0A" w:rsidRPr="003B3E0A" w14:paraId="3AF796E1" w14:textId="77777777" w:rsidTr="003B3E0A">
        <w:tc>
          <w:tcPr>
            <w:tcW w:w="2515" w:type="dxa"/>
          </w:tcPr>
          <w:p w14:paraId="224B6D93" w14:textId="7212AE7A" w:rsidR="003B3E0A" w:rsidRPr="003B3E0A" w:rsidRDefault="003B3E0A" w:rsidP="0037608F">
            <w:r>
              <w:t>703-748</w:t>
            </w:r>
          </w:p>
        </w:tc>
        <w:tc>
          <w:tcPr>
            <w:tcW w:w="1620" w:type="dxa"/>
          </w:tcPr>
          <w:p w14:paraId="42B77539" w14:textId="51BC7CE0" w:rsidR="003B3E0A" w:rsidRPr="003B3E0A" w:rsidRDefault="003B3E0A" w:rsidP="0037608F">
            <w:r>
              <w:t>Bande 28</w:t>
            </w:r>
          </w:p>
        </w:tc>
        <w:tc>
          <w:tcPr>
            <w:tcW w:w="5215" w:type="dxa"/>
          </w:tcPr>
          <w:p w14:paraId="1318D6DD" w14:textId="470F6F46" w:rsidR="003B3E0A" w:rsidRPr="003B3E0A" w:rsidRDefault="003B3E0A" w:rsidP="0037608F">
            <w:r>
              <w:t>23,9 dBm (245 mW)</w:t>
            </w:r>
          </w:p>
        </w:tc>
      </w:tr>
      <w:tr w:rsidR="003B3E0A" w:rsidRPr="003B3E0A" w14:paraId="76D80DF3" w14:textId="77777777" w:rsidTr="003B3E0A">
        <w:tc>
          <w:tcPr>
            <w:tcW w:w="2515" w:type="dxa"/>
          </w:tcPr>
          <w:p w14:paraId="4764113A" w14:textId="362C985D" w:rsidR="003B3E0A" w:rsidRDefault="003B3E0A" w:rsidP="003B3E0A">
            <w:r>
              <w:t>832-862</w:t>
            </w:r>
          </w:p>
        </w:tc>
        <w:tc>
          <w:tcPr>
            <w:tcW w:w="1620" w:type="dxa"/>
          </w:tcPr>
          <w:p w14:paraId="64F5AF97" w14:textId="67DDE9A5" w:rsidR="003B3E0A" w:rsidRDefault="003B3E0A" w:rsidP="003B3E0A">
            <w:r>
              <w:t>Bande 20</w:t>
            </w:r>
          </w:p>
        </w:tc>
        <w:tc>
          <w:tcPr>
            <w:tcW w:w="5215" w:type="dxa"/>
          </w:tcPr>
          <w:p w14:paraId="405E25AC" w14:textId="4759522E" w:rsidR="003B3E0A" w:rsidRPr="003B3E0A" w:rsidRDefault="003B3E0A" w:rsidP="003B3E0A">
            <w:r>
              <w:t>23,9 dBm (245 mW)</w:t>
            </w:r>
          </w:p>
        </w:tc>
      </w:tr>
      <w:tr w:rsidR="003B3E0A" w14:paraId="759366BE" w14:textId="77777777" w:rsidTr="003B3E0A">
        <w:tc>
          <w:tcPr>
            <w:tcW w:w="2515" w:type="dxa"/>
          </w:tcPr>
          <w:p w14:paraId="599C14A5" w14:textId="48B2967D" w:rsidR="003B3E0A" w:rsidRDefault="000B36AE" w:rsidP="003B3E0A">
            <w:r>
              <w:t>880-915</w:t>
            </w:r>
          </w:p>
        </w:tc>
        <w:tc>
          <w:tcPr>
            <w:tcW w:w="1620" w:type="dxa"/>
          </w:tcPr>
          <w:p w14:paraId="53D0D109" w14:textId="064402D8" w:rsidR="003B3E0A" w:rsidRDefault="001F3313" w:rsidP="003B3E0A">
            <w:r>
              <w:t>Bande 8</w:t>
            </w:r>
          </w:p>
        </w:tc>
        <w:tc>
          <w:tcPr>
            <w:tcW w:w="5215" w:type="dxa"/>
          </w:tcPr>
          <w:p w14:paraId="0CF030F9" w14:textId="4A015411" w:rsidR="003B3E0A" w:rsidRPr="003B3E0A" w:rsidRDefault="003B3E0A" w:rsidP="003B3E0A">
            <w:r>
              <w:t>23,9 dBm (245 mW)</w:t>
            </w:r>
          </w:p>
        </w:tc>
      </w:tr>
      <w:tr w:rsidR="00821506" w14:paraId="3EFAD9A0" w14:textId="77777777" w:rsidTr="003B3E0A">
        <w:tc>
          <w:tcPr>
            <w:tcW w:w="2515" w:type="dxa"/>
          </w:tcPr>
          <w:p w14:paraId="3BBE6E24" w14:textId="3002FF98" w:rsidR="00821506" w:rsidRDefault="00821506" w:rsidP="00821506">
            <w:r>
              <w:t>1710-1785</w:t>
            </w:r>
          </w:p>
        </w:tc>
        <w:tc>
          <w:tcPr>
            <w:tcW w:w="1620" w:type="dxa"/>
          </w:tcPr>
          <w:p w14:paraId="13941E24" w14:textId="7E1447E0" w:rsidR="00821506" w:rsidRDefault="00821506" w:rsidP="00821506">
            <w:r>
              <w:t>Bande 3</w:t>
            </w:r>
          </w:p>
        </w:tc>
        <w:tc>
          <w:tcPr>
            <w:tcW w:w="5215" w:type="dxa"/>
          </w:tcPr>
          <w:p w14:paraId="3455145C" w14:textId="77777777" w:rsidR="00821506" w:rsidRPr="003B3E0A" w:rsidRDefault="00821506" w:rsidP="00821506">
            <w:r>
              <w:t>FDD : 23,9 dBm (245 mW)</w:t>
            </w:r>
          </w:p>
        </w:tc>
      </w:tr>
      <w:tr w:rsidR="00821506" w14:paraId="19BDF464" w14:textId="77777777" w:rsidTr="003B3E0A">
        <w:tc>
          <w:tcPr>
            <w:tcW w:w="2515" w:type="dxa"/>
          </w:tcPr>
          <w:p w14:paraId="387B9E8D" w14:textId="6B165E86" w:rsidR="00821506" w:rsidRDefault="000B36AE" w:rsidP="00821506">
            <w:r>
              <w:t>1920-1980</w:t>
            </w:r>
          </w:p>
        </w:tc>
        <w:tc>
          <w:tcPr>
            <w:tcW w:w="1620" w:type="dxa"/>
          </w:tcPr>
          <w:p w14:paraId="797E4F60" w14:textId="54352826" w:rsidR="00821506" w:rsidRDefault="00821506" w:rsidP="00821506">
            <w:r>
              <w:t>Bande 1</w:t>
            </w:r>
          </w:p>
        </w:tc>
        <w:tc>
          <w:tcPr>
            <w:tcW w:w="5215" w:type="dxa"/>
          </w:tcPr>
          <w:p w14:paraId="7DB81300" w14:textId="1652222F" w:rsidR="00821506" w:rsidRPr="003B3E0A" w:rsidRDefault="00821506" w:rsidP="00821506">
            <w:r>
              <w:t>23,9 dBm (245 mW)</w:t>
            </w:r>
          </w:p>
        </w:tc>
      </w:tr>
      <w:tr w:rsidR="00821506" w14:paraId="7FD51F81" w14:textId="77777777" w:rsidTr="003B3E0A">
        <w:tc>
          <w:tcPr>
            <w:tcW w:w="2515" w:type="dxa"/>
          </w:tcPr>
          <w:p w14:paraId="4E3C070C" w14:textId="45CFEAAF" w:rsidR="00821506" w:rsidRDefault="00821506" w:rsidP="00821506">
            <w:r>
              <w:t>2300-2400</w:t>
            </w:r>
          </w:p>
        </w:tc>
        <w:tc>
          <w:tcPr>
            <w:tcW w:w="1620" w:type="dxa"/>
          </w:tcPr>
          <w:p w14:paraId="6FE73A7D" w14:textId="67F61986" w:rsidR="00821506" w:rsidRDefault="00821506" w:rsidP="00821506">
            <w:r>
              <w:t>Bande 40</w:t>
            </w:r>
          </w:p>
        </w:tc>
        <w:tc>
          <w:tcPr>
            <w:tcW w:w="5215" w:type="dxa"/>
          </w:tcPr>
          <w:p w14:paraId="14BBB32A" w14:textId="673E0936" w:rsidR="00821506" w:rsidRPr="003B3E0A" w:rsidRDefault="00821506" w:rsidP="00821506">
            <w:r>
              <w:t>23,9 dBm (245 mW)</w:t>
            </w:r>
          </w:p>
        </w:tc>
      </w:tr>
      <w:tr w:rsidR="000B36AE" w14:paraId="6A4BE03D" w14:textId="77777777" w:rsidTr="003B3E0A">
        <w:tc>
          <w:tcPr>
            <w:tcW w:w="2515" w:type="dxa"/>
          </w:tcPr>
          <w:p w14:paraId="25D9DD83" w14:textId="578FA346" w:rsidR="000B36AE" w:rsidRDefault="000B36AE" w:rsidP="00821506">
            <w:r>
              <w:t>2496-2690</w:t>
            </w:r>
          </w:p>
        </w:tc>
        <w:tc>
          <w:tcPr>
            <w:tcW w:w="1620" w:type="dxa"/>
          </w:tcPr>
          <w:p w14:paraId="3213A855" w14:textId="4976BA71" w:rsidR="000B36AE" w:rsidDel="000B36AE" w:rsidRDefault="000B36AE" w:rsidP="00821506">
            <w:r>
              <w:t>Bande 41</w:t>
            </w:r>
          </w:p>
        </w:tc>
        <w:tc>
          <w:tcPr>
            <w:tcW w:w="5215" w:type="dxa"/>
          </w:tcPr>
          <w:p w14:paraId="372D9221" w14:textId="55A57802" w:rsidR="000B36AE" w:rsidDel="000B36AE" w:rsidRDefault="000B36AE" w:rsidP="00821506">
            <w:r>
              <w:t>26,9 dBm (500 mW)</w:t>
            </w:r>
          </w:p>
        </w:tc>
      </w:tr>
      <w:tr w:rsidR="00821506" w14:paraId="2CBADBE6" w14:textId="77777777" w:rsidTr="003B3E0A">
        <w:tc>
          <w:tcPr>
            <w:tcW w:w="2515" w:type="dxa"/>
          </w:tcPr>
          <w:p w14:paraId="2E26A27B" w14:textId="51F44D29" w:rsidR="00821506" w:rsidRDefault="00821506" w:rsidP="00821506">
            <w:r>
              <w:t>2500-2570</w:t>
            </w:r>
          </w:p>
        </w:tc>
        <w:tc>
          <w:tcPr>
            <w:tcW w:w="1620" w:type="dxa"/>
          </w:tcPr>
          <w:p w14:paraId="1B342406" w14:textId="2440F0FE" w:rsidR="00821506" w:rsidRDefault="00821506" w:rsidP="00821506">
            <w:r>
              <w:t>Bande 7</w:t>
            </w:r>
          </w:p>
        </w:tc>
        <w:tc>
          <w:tcPr>
            <w:tcW w:w="5215" w:type="dxa"/>
          </w:tcPr>
          <w:p w14:paraId="3A56BDC4" w14:textId="6A6A049B" w:rsidR="00821506" w:rsidRPr="003B3E0A" w:rsidRDefault="00821506" w:rsidP="00821506">
            <w:r>
              <w:t>23,9 dBm (245 mW)</w:t>
            </w:r>
          </w:p>
        </w:tc>
      </w:tr>
      <w:tr w:rsidR="00821506" w14:paraId="05344A93" w14:textId="77777777" w:rsidTr="003B3E0A">
        <w:tc>
          <w:tcPr>
            <w:tcW w:w="2515" w:type="dxa"/>
          </w:tcPr>
          <w:p w14:paraId="1792DC47" w14:textId="003FA154" w:rsidR="00821506" w:rsidRDefault="000B36AE" w:rsidP="00821506">
            <w:r>
              <w:t>2570-2620</w:t>
            </w:r>
          </w:p>
        </w:tc>
        <w:tc>
          <w:tcPr>
            <w:tcW w:w="1620" w:type="dxa"/>
          </w:tcPr>
          <w:p w14:paraId="78193B79" w14:textId="241CC006" w:rsidR="00821506" w:rsidRDefault="00821506" w:rsidP="00821506">
            <w:r>
              <w:t>Bande 38</w:t>
            </w:r>
          </w:p>
        </w:tc>
        <w:tc>
          <w:tcPr>
            <w:tcW w:w="5215" w:type="dxa"/>
          </w:tcPr>
          <w:p w14:paraId="7B0B8D2F" w14:textId="40FC52E0" w:rsidR="00821506" w:rsidRPr="003B3E0A" w:rsidRDefault="00821506" w:rsidP="00821506">
            <w:r>
              <w:t>23,9 dBm (245 mW)</w:t>
            </w:r>
          </w:p>
        </w:tc>
      </w:tr>
      <w:tr w:rsidR="000B36AE" w14:paraId="3C719ED1" w14:textId="77777777" w:rsidTr="003B3E0A">
        <w:tc>
          <w:tcPr>
            <w:tcW w:w="2515" w:type="dxa"/>
          </w:tcPr>
          <w:p w14:paraId="48A57040" w14:textId="55461335" w:rsidR="000B36AE" w:rsidRDefault="000B36AE" w:rsidP="00821506">
            <w:r>
              <w:t>3300-4200</w:t>
            </w:r>
          </w:p>
        </w:tc>
        <w:tc>
          <w:tcPr>
            <w:tcW w:w="1620" w:type="dxa"/>
          </w:tcPr>
          <w:p w14:paraId="0DD02EE1" w14:textId="28D0A16A" w:rsidR="000B36AE" w:rsidDel="000B36AE" w:rsidRDefault="000B36AE" w:rsidP="00821506">
            <w:r>
              <w:t>Bande 77, 78</w:t>
            </w:r>
          </w:p>
        </w:tc>
        <w:tc>
          <w:tcPr>
            <w:tcW w:w="5215" w:type="dxa"/>
          </w:tcPr>
          <w:p w14:paraId="06A3293C" w14:textId="0D1E7F94" w:rsidR="000B36AE" w:rsidDel="000B36AE" w:rsidRDefault="000B36AE" w:rsidP="00821506">
            <w:r>
              <w:t>26,9 dBm (500 mW)</w:t>
            </w:r>
          </w:p>
        </w:tc>
      </w:tr>
      <w:bookmarkEnd w:id="18"/>
    </w:tbl>
    <w:p w14:paraId="421D9EAD" w14:textId="77777777" w:rsidR="003B3E0A" w:rsidRPr="00711C6D" w:rsidRDefault="003B3E0A" w:rsidP="0037608F"/>
    <w:p w14:paraId="055D324F" w14:textId="77777777" w:rsidR="00A81D71" w:rsidRDefault="00A81D71" w:rsidP="00481C42">
      <w:pPr>
        <w:pStyle w:val="Titre2"/>
      </w:pPr>
      <w:bookmarkStart w:id="19" w:name="_Toc118886572"/>
      <w:r>
        <w:t>Précautions spécifiques en matière de compatibilité électromagnétique (CEM)</w:t>
      </w:r>
      <w:bookmarkEnd w:id="19"/>
      <w:r>
        <w:t xml:space="preserve"> </w:t>
      </w:r>
    </w:p>
    <w:p w14:paraId="635FC3E8" w14:textId="77777777" w:rsidR="007A2880" w:rsidRPr="00EE61BC" w:rsidRDefault="007A2880" w:rsidP="0060535B">
      <w:r>
        <w:t>Les produits NETGEAR, y compris tous les appareils sans fil, les modules et les petits switches, sont des appareils CEM de classe B. Les commutateurs Ethernet avec plus de 8 ports sont généralement des appareils CEM de classe A.</w:t>
      </w:r>
    </w:p>
    <w:p w14:paraId="6BEB98DC" w14:textId="77777777" w:rsidR="00A81D71" w:rsidRPr="00631365" w:rsidRDefault="00A81D71" w:rsidP="00A81D71">
      <w:r>
        <w:t>Avertissement : L'équipement de classe A NETGEAR est conforme à la classe A de la norme EN 55032. Dans un cadre résidentiel, cet équipement peut provoquer des interférences radio, auquel cas l'utilisateur peut être tenu de prendre les mesures appropriées.</w:t>
      </w:r>
    </w:p>
    <w:p w14:paraId="5B061AE8" w14:textId="77777777" w:rsidR="004E534D" w:rsidRDefault="004E534D" w:rsidP="00481C42">
      <w:pPr>
        <w:pStyle w:val="Titre1"/>
      </w:pPr>
      <w:bookmarkStart w:id="20" w:name="_Toc118886573"/>
      <w:bookmarkStart w:id="21" w:name="_Hlk35510609"/>
      <w:r>
        <w:t>Exigences de la FCC pour le fonctionnement aux Etats-Unis</w:t>
      </w:r>
      <w:bookmarkEnd w:id="20"/>
    </w:p>
    <w:bookmarkEnd w:id="21"/>
    <w:p w14:paraId="14432148" w14:textId="2620F3DD" w:rsidR="00AC23E2" w:rsidRDefault="00AC23E2" w:rsidP="00AC23E2">
      <w:r>
        <w:t>Les informations de cette rubrique s'appliquent aux produits portant la marque ou la déclaration FCC :</w:t>
      </w:r>
    </w:p>
    <w:p w14:paraId="6E608951" w14:textId="77777777" w:rsidR="002A6434" w:rsidRDefault="00431D4F" w:rsidP="0060535B">
      <w:pPr>
        <w:ind w:left="1440"/>
      </w:pPr>
      <w:r>
        <w:t xml:space="preserve">Cet appareil est conforme à l'article 15 de la réglementation de la FCC. Le fonctionnement est soumis aux deux conditions suivantes : (1) cet appareil ne produit pas d'interférences nuisibles, et </w:t>
      </w:r>
      <w:r>
        <w:lastRenderedPageBreak/>
        <w:t>(2) cet appareil doit accepter toutes les interférences reçues, notamment celles qui peuvent entraîner un fonctionnement non souhaité</w:t>
      </w:r>
      <w:r>
        <w:rPr>
          <w:noProof/>
        </w:rPr>
        <w:drawing>
          <wp:anchor distT="0" distB="0" distL="114300" distR="114300" simplePos="0" relativeHeight="251658240" behindDoc="0" locked="0" layoutInCell="1" allowOverlap="1" wp14:anchorId="0122D6E8" wp14:editId="309B2B58">
            <wp:simplePos x="0" y="0"/>
            <wp:positionH relativeFrom="column">
              <wp:posOffset>7620</wp:posOffset>
            </wp:positionH>
            <wp:positionV relativeFrom="paragraph">
              <wp:posOffset>1905</wp:posOffset>
            </wp:positionV>
            <wp:extent cx="591185" cy="426085"/>
            <wp:effectExtent l="0" t="0" r="0" b="0"/>
            <wp:wrapNone/>
            <wp:docPr id="5" name="Picture 5" descr="http://www.androidguys.com/wp-content/uploads/2012/06/fc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ndroidguys.com/wp-content/uploads/2012/06/fcc.g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1185" cy="426085"/>
                    </a:xfrm>
                    <a:prstGeom prst="rect">
                      <a:avLst/>
                    </a:prstGeom>
                    <a:noFill/>
                    <a:ln>
                      <a:noFill/>
                    </a:ln>
                  </pic:spPr>
                </pic:pic>
              </a:graphicData>
            </a:graphic>
            <wp14:sizeRelH relativeFrom="page">
              <wp14:pctWidth>0</wp14:pctWidth>
            </wp14:sizeRelH>
            <wp14:sizeRelV relativeFrom="page">
              <wp14:pctHeight>0</wp14:pctHeight>
            </wp14:sizeRelV>
          </wp:anchor>
        </w:drawing>
      </w:r>
      <w:r>
        <w:t>.</w:t>
      </w:r>
    </w:p>
    <w:p w14:paraId="0880D12E" w14:textId="77777777" w:rsidR="00EC019B" w:rsidRPr="004E534D" w:rsidRDefault="00EC019B" w:rsidP="00481C42">
      <w:pPr>
        <w:pStyle w:val="Titre2"/>
      </w:pPr>
      <w:bookmarkStart w:id="22" w:name="_Toc118886574"/>
      <w:r>
        <w:t>Déclaration de conformité de la FCC</w:t>
      </w:r>
      <w:bookmarkEnd w:id="22"/>
    </w:p>
    <w:p w14:paraId="50E582CA" w14:textId="11420473" w:rsidR="00EC019B" w:rsidRDefault="00EC019B" w:rsidP="00EC019B">
      <w:pPr>
        <w:rPr>
          <w:rFonts w:cs="Arial"/>
        </w:rPr>
      </w:pPr>
      <w:r>
        <w:t xml:space="preserve">Nous, NETGEAR, Inc., 350 East </w:t>
      </w:r>
      <w:proofErr w:type="spellStart"/>
      <w:r>
        <w:t>Plumeria</w:t>
      </w:r>
      <w:proofErr w:type="spellEnd"/>
      <w:r>
        <w:t xml:space="preserve"> Drive, San Jose, CA 95134 (</w:t>
      </w:r>
      <w:r>
        <w:rPr>
          <w:i/>
        </w:rPr>
        <w:t>www.netgear.com/support</w:t>
      </w:r>
      <w:r>
        <w:t>), déclarons que ce produit est conforme à la sous-section B de l'article 15 de la réglementation CFR47 de la FCC et assumons l'entière responsabilité de cette déclaration. Le fonctionnement est soumis aux deux conditions suivantes :</w:t>
      </w:r>
    </w:p>
    <w:p w14:paraId="0FD75840" w14:textId="77777777" w:rsidR="00EC019B" w:rsidRPr="004E534D" w:rsidRDefault="00EC019B" w:rsidP="00E252AF">
      <w:pPr>
        <w:pStyle w:val="Paragraphedeliste"/>
        <w:numPr>
          <w:ilvl w:val="0"/>
          <w:numId w:val="38"/>
        </w:numPr>
        <w:rPr>
          <w:rFonts w:cs="Arial"/>
        </w:rPr>
      </w:pPr>
      <w:r>
        <w:t>Cet appareil ne produit pas d'interférences nuisibles, et</w:t>
      </w:r>
    </w:p>
    <w:p w14:paraId="5361530F" w14:textId="77777777" w:rsidR="00EC019B" w:rsidRDefault="00EC019B" w:rsidP="00E252AF">
      <w:pPr>
        <w:pStyle w:val="Paragraphedeliste"/>
        <w:numPr>
          <w:ilvl w:val="0"/>
          <w:numId w:val="38"/>
        </w:numPr>
        <w:rPr>
          <w:rFonts w:cs="Arial"/>
        </w:rPr>
      </w:pPr>
      <w:r>
        <w:t>Cet appareil doit accepter toute interférence reçue, notamment celles qui peuvent entraîner un fonctionnement non souhaité.</w:t>
      </w:r>
    </w:p>
    <w:p w14:paraId="6E316F13" w14:textId="77777777" w:rsidR="004E534D" w:rsidRPr="004E534D" w:rsidRDefault="00603489" w:rsidP="00481C42">
      <w:pPr>
        <w:pStyle w:val="Titre2"/>
      </w:pPr>
      <w:bookmarkStart w:id="23" w:name="_Toc118886575"/>
      <w:r>
        <w:t>Informations de la FCC à destination des utilisateurs</w:t>
      </w:r>
      <w:bookmarkEnd w:id="23"/>
    </w:p>
    <w:p w14:paraId="797F256F" w14:textId="42C00F28" w:rsidR="004E534D" w:rsidRDefault="00603489" w:rsidP="004E534D">
      <w:pPr>
        <w:rPr>
          <w:rFonts w:cs="Arial"/>
        </w:rPr>
      </w:pPr>
      <w:bookmarkStart w:id="24" w:name="_Hlk35508370"/>
      <w:r>
        <w:t>Ce produit NETGEAR ne contient aucun composant pouvant être réparé par l'utilisateur. Toute modification apportée au produit invalide les normes et certificats légaux applicables.</w:t>
      </w:r>
      <w:bookmarkEnd w:id="24"/>
    </w:p>
    <w:p w14:paraId="3BBA5832" w14:textId="237B67BA" w:rsidR="00445F96" w:rsidRDefault="00445F96" w:rsidP="00445F96">
      <w:pPr>
        <w:rPr>
          <w:rFonts w:cs="Arial"/>
        </w:rPr>
      </w:pPr>
      <w:r>
        <w:t>La déclaration suivante s'applique aux produits pour lesquels la déclaration de conformité de la FCC ne peut pas être incluse sur l'étiquette :</w:t>
      </w:r>
    </w:p>
    <w:p w14:paraId="799A9A5F" w14:textId="5E7CAFDA" w:rsidR="00152F10" w:rsidRDefault="00152F10" w:rsidP="0060535B">
      <w:pPr>
        <w:pStyle w:val="Titre4"/>
      </w:pPr>
      <w:r>
        <w:t>Tableau 3. Produits trop petits pour l'étiquette FCC</w:t>
      </w:r>
    </w:p>
    <w:tbl>
      <w:tblPr>
        <w:tblStyle w:val="Grilledutableau"/>
        <w:tblW w:w="0" w:type="auto"/>
        <w:tblInd w:w="720" w:type="dxa"/>
        <w:tblLook w:val="04A0" w:firstRow="1" w:lastRow="0" w:firstColumn="1" w:lastColumn="0" w:noHBand="0" w:noVBand="1"/>
      </w:tblPr>
      <w:tblGrid>
        <w:gridCol w:w="1615"/>
        <w:gridCol w:w="1260"/>
        <w:gridCol w:w="1260"/>
        <w:gridCol w:w="1260"/>
        <w:gridCol w:w="1260"/>
        <w:gridCol w:w="1260"/>
      </w:tblGrid>
      <w:tr w:rsidR="009E16C7" w14:paraId="3BFE906E" w14:textId="27686331" w:rsidTr="009E16C7">
        <w:tc>
          <w:tcPr>
            <w:tcW w:w="1615" w:type="dxa"/>
          </w:tcPr>
          <w:p w14:paraId="2B803E0E" w14:textId="36915165" w:rsidR="009E16C7" w:rsidRPr="00152F10" w:rsidRDefault="009E16C7" w:rsidP="00152F10">
            <w:pPr>
              <w:rPr>
                <w:rFonts w:cs="Arial"/>
              </w:rPr>
            </w:pPr>
            <w:r>
              <w:t>A6100</w:t>
            </w:r>
          </w:p>
        </w:tc>
        <w:tc>
          <w:tcPr>
            <w:tcW w:w="1260" w:type="dxa"/>
          </w:tcPr>
          <w:p w14:paraId="5E2C0BFC" w14:textId="329E755C" w:rsidR="009E16C7" w:rsidRDefault="009E16C7" w:rsidP="00152F10">
            <w:pPr>
              <w:rPr>
                <w:rFonts w:cs="Arial"/>
              </w:rPr>
            </w:pPr>
            <w:r>
              <w:t>A7000</w:t>
            </w:r>
          </w:p>
        </w:tc>
        <w:tc>
          <w:tcPr>
            <w:tcW w:w="1260" w:type="dxa"/>
          </w:tcPr>
          <w:p w14:paraId="71D964D7" w14:textId="4FB99CD1" w:rsidR="009E16C7" w:rsidRPr="00152F10" w:rsidRDefault="00887D9B" w:rsidP="00152F10">
            <w:pPr>
              <w:rPr>
                <w:rFonts w:cs="Arial"/>
              </w:rPr>
            </w:pPr>
            <w:r>
              <w:t>ACM76x</w:t>
            </w:r>
          </w:p>
        </w:tc>
        <w:tc>
          <w:tcPr>
            <w:tcW w:w="1260" w:type="dxa"/>
          </w:tcPr>
          <w:p w14:paraId="1C7E05F7" w14:textId="71FF3B78" w:rsidR="009E16C7" w:rsidRPr="00152F10" w:rsidRDefault="0044582A" w:rsidP="00152F10">
            <w:pPr>
              <w:rPr>
                <w:rFonts w:cs="Arial"/>
              </w:rPr>
            </w:pPr>
            <w:r>
              <w:t>AXM76x</w:t>
            </w:r>
          </w:p>
        </w:tc>
        <w:tc>
          <w:tcPr>
            <w:tcW w:w="1260" w:type="dxa"/>
          </w:tcPr>
          <w:p w14:paraId="1F600A2B" w14:textId="609D9D31" w:rsidR="009E16C7" w:rsidRPr="00152F10" w:rsidRDefault="009E16C7" w:rsidP="00152F10">
            <w:pPr>
              <w:rPr>
                <w:rFonts w:cs="Arial"/>
              </w:rPr>
            </w:pPr>
          </w:p>
        </w:tc>
        <w:tc>
          <w:tcPr>
            <w:tcW w:w="1260" w:type="dxa"/>
          </w:tcPr>
          <w:p w14:paraId="6AB228F0" w14:textId="141DBE89" w:rsidR="009E16C7" w:rsidRPr="00152F10" w:rsidRDefault="009E16C7" w:rsidP="00152F10">
            <w:pPr>
              <w:rPr>
                <w:rFonts w:cs="Arial"/>
              </w:rPr>
            </w:pPr>
          </w:p>
        </w:tc>
      </w:tr>
      <w:tr w:rsidR="009E16C7" w14:paraId="4AD2C014" w14:textId="4FD96CBB" w:rsidTr="009E16C7">
        <w:tc>
          <w:tcPr>
            <w:tcW w:w="1615" w:type="dxa"/>
          </w:tcPr>
          <w:p w14:paraId="2FF79D69" w14:textId="7FEC6568" w:rsidR="009E16C7" w:rsidRPr="00152F10" w:rsidRDefault="009E16C7" w:rsidP="009E16C7">
            <w:pPr>
              <w:rPr>
                <w:rFonts w:cs="Arial"/>
              </w:rPr>
            </w:pPr>
            <w:r>
              <w:t>A6150</w:t>
            </w:r>
          </w:p>
        </w:tc>
        <w:tc>
          <w:tcPr>
            <w:tcW w:w="1260" w:type="dxa"/>
          </w:tcPr>
          <w:p w14:paraId="2B5A9E4D" w14:textId="277CDC2D" w:rsidR="009E16C7" w:rsidRDefault="00887D9B" w:rsidP="009E16C7">
            <w:pPr>
              <w:rPr>
                <w:rFonts w:cs="Arial"/>
              </w:rPr>
            </w:pPr>
            <w:r>
              <w:t>A8000</w:t>
            </w:r>
          </w:p>
        </w:tc>
        <w:tc>
          <w:tcPr>
            <w:tcW w:w="1260" w:type="dxa"/>
          </w:tcPr>
          <w:p w14:paraId="495E89A1" w14:textId="3B72721B" w:rsidR="009E16C7" w:rsidRPr="00152F10" w:rsidRDefault="00887D9B" w:rsidP="009E16C7">
            <w:pPr>
              <w:rPr>
                <w:rFonts w:cs="Arial"/>
              </w:rPr>
            </w:pPr>
            <w:r>
              <w:t>AGM73x</w:t>
            </w:r>
          </w:p>
        </w:tc>
        <w:tc>
          <w:tcPr>
            <w:tcW w:w="1260" w:type="dxa"/>
          </w:tcPr>
          <w:p w14:paraId="0155C667" w14:textId="499AEEC7" w:rsidR="009E16C7" w:rsidRPr="00152F10" w:rsidRDefault="004C712D" w:rsidP="009E16C7">
            <w:pPr>
              <w:rPr>
                <w:rFonts w:cs="Arial"/>
              </w:rPr>
            </w:pPr>
            <w:r>
              <w:t>AX7xx</w:t>
            </w:r>
          </w:p>
        </w:tc>
        <w:tc>
          <w:tcPr>
            <w:tcW w:w="1260" w:type="dxa"/>
          </w:tcPr>
          <w:p w14:paraId="49389126" w14:textId="568EE3D1" w:rsidR="009E16C7" w:rsidRPr="00152F10" w:rsidRDefault="009E16C7" w:rsidP="009E16C7">
            <w:pPr>
              <w:rPr>
                <w:rFonts w:cs="Arial"/>
              </w:rPr>
            </w:pPr>
          </w:p>
        </w:tc>
        <w:tc>
          <w:tcPr>
            <w:tcW w:w="1260" w:type="dxa"/>
          </w:tcPr>
          <w:p w14:paraId="632D3133" w14:textId="7B97F572" w:rsidR="009E16C7" w:rsidRPr="00152F10" w:rsidRDefault="009E16C7" w:rsidP="009E16C7">
            <w:pPr>
              <w:rPr>
                <w:rFonts w:cs="Arial"/>
              </w:rPr>
            </w:pPr>
          </w:p>
        </w:tc>
      </w:tr>
      <w:tr w:rsidR="009E16C7" w14:paraId="34FBBA45" w14:textId="57C5679D" w:rsidTr="009E16C7">
        <w:tc>
          <w:tcPr>
            <w:tcW w:w="1615" w:type="dxa"/>
          </w:tcPr>
          <w:p w14:paraId="121F89E6" w14:textId="2AFB3F31" w:rsidR="009E16C7" w:rsidRPr="00152F10" w:rsidRDefault="009E16C7" w:rsidP="009E16C7">
            <w:pPr>
              <w:rPr>
                <w:rFonts w:cs="Arial"/>
              </w:rPr>
            </w:pPr>
            <w:r>
              <w:t>A6210</w:t>
            </w:r>
          </w:p>
        </w:tc>
        <w:tc>
          <w:tcPr>
            <w:tcW w:w="1260" w:type="dxa"/>
          </w:tcPr>
          <w:p w14:paraId="604A52FD" w14:textId="5F747B81" w:rsidR="009E16C7" w:rsidRDefault="00887D9B" w:rsidP="009E16C7">
            <w:pPr>
              <w:rPr>
                <w:rFonts w:cs="Arial"/>
              </w:rPr>
            </w:pPr>
            <w:r>
              <w:t>ACC76x</w:t>
            </w:r>
          </w:p>
        </w:tc>
        <w:tc>
          <w:tcPr>
            <w:tcW w:w="1260" w:type="dxa"/>
          </w:tcPr>
          <w:p w14:paraId="5EF9ECBB" w14:textId="062D7D60" w:rsidR="009E16C7" w:rsidRPr="00152F10" w:rsidRDefault="00887D9B" w:rsidP="009E16C7">
            <w:pPr>
              <w:rPr>
                <w:rFonts w:cs="Arial"/>
              </w:rPr>
            </w:pPr>
            <w:r>
              <w:t>AXC76x</w:t>
            </w:r>
          </w:p>
        </w:tc>
        <w:tc>
          <w:tcPr>
            <w:tcW w:w="1260" w:type="dxa"/>
          </w:tcPr>
          <w:p w14:paraId="3C4A43BC" w14:textId="491C1DE6" w:rsidR="009E16C7" w:rsidRPr="00152F10" w:rsidRDefault="00621AAC" w:rsidP="009E16C7">
            <w:pPr>
              <w:rPr>
                <w:rFonts w:cs="Arial"/>
              </w:rPr>
            </w:pPr>
            <w:r>
              <w:t>AFM73x</w:t>
            </w:r>
          </w:p>
        </w:tc>
        <w:tc>
          <w:tcPr>
            <w:tcW w:w="1260" w:type="dxa"/>
          </w:tcPr>
          <w:p w14:paraId="220357B8" w14:textId="01C50665" w:rsidR="009E16C7" w:rsidRPr="00152F10" w:rsidRDefault="009E16C7" w:rsidP="009E16C7">
            <w:pPr>
              <w:rPr>
                <w:rFonts w:cs="Arial"/>
              </w:rPr>
            </w:pPr>
          </w:p>
        </w:tc>
        <w:tc>
          <w:tcPr>
            <w:tcW w:w="1260" w:type="dxa"/>
          </w:tcPr>
          <w:p w14:paraId="4B24D610" w14:textId="77777777" w:rsidR="009E16C7" w:rsidRPr="00152F10" w:rsidRDefault="009E16C7" w:rsidP="009E16C7">
            <w:pPr>
              <w:rPr>
                <w:rFonts w:cs="Arial"/>
              </w:rPr>
            </w:pPr>
          </w:p>
        </w:tc>
      </w:tr>
    </w:tbl>
    <w:p w14:paraId="1697C5C2" w14:textId="77777777" w:rsidR="00445F96" w:rsidRDefault="00445F96" w:rsidP="00152F10">
      <w:pPr>
        <w:spacing w:before="60"/>
        <w:rPr>
          <w:rFonts w:cs="Arial"/>
        </w:rPr>
      </w:pPr>
      <w:r>
        <w:t>Cet appareil est conforme à l'article 15 de la réglementation de la FCC. Le fonctionnement est soumis aux deux conditions suivantes : (1) cet appareil ne produit pas d'interférences nuisibles, et (2) cet appareil doit accepter toutes les interférences reçues, notamment celles qui peuvent entraîner un fonctionnement non souhaité.</w:t>
      </w:r>
    </w:p>
    <w:p w14:paraId="64155296" w14:textId="3E887B0C" w:rsidR="004E534D" w:rsidRPr="004E534D" w:rsidRDefault="004E534D" w:rsidP="00481C42">
      <w:pPr>
        <w:pStyle w:val="Titre2"/>
      </w:pPr>
      <w:bookmarkStart w:id="25" w:name="_Toc118886576"/>
      <w:r>
        <w:t>Instructions et avertissements de la FCC relatifs aux fréquences radio</w:t>
      </w:r>
      <w:bookmarkEnd w:id="25"/>
    </w:p>
    <w:p w14:paraId="331578FB" w14:textId="77777777" w:rsidR="00880428" w:rsidRDefault="00880428" w:rsidP="00880428">
      <w:pPr>
        <w:rPr>
          <w:rFonts w:cs="Arial"/>
        </w:rPr>
      </w:pPr>
      <w:r>
        <w:t>Pour les produits disponibles sur le marché américain, seul le canal 1~11 est utilisable. Il n'est pas possible de sélectionner d'autres canaux.</w:t>
      </w:r>
    </w:p>
    <w:p w14:paraId="210E2899" w14:textId="77777777" w:rsidR="007C5FA2" w:rsidRPr="00D93A87" w:rsidRDefault="007C5FA2" w:rsidP="00481C42">
      <w:pPr>
        <w:pStyle w:val="Titre3"/>
      </w:pPr>
      <w:bookmarkStart w:id="26" w:name="_Toc118886577"/>
      <w:r>
        <w:t>Utilisation de la sélection du code de pays (équipements de réseau sans fil)</w:t>
      </w:r>
      <w:bookmarkEnd w:id="26"/>
    </w:p>
    <w:p w14:paraId="373842D5" w14:textId="2EE8D273" w:rsidR="007C5FA2" w:rsidRPr="004E534D" w:rsidRDefault="007C5FA2" w:rsidP="007C5FA2">
      <w:pPr>
        <w:rPr>
          <w:rFonts w:cs="Arial"/>
        </w:rPr>
      </w:pPr>
      <w:r>
        <w:t>La sélection du code de pays concerne uniquement les modèles non américains et elle n'est pas disponible pour tous les modèles américains. Conformément à la réglementation de la FCC, tous les produits WiFi commercialisés aux Etats-Unis doivent être limités aux canaux de fonctionnement américains uniquement. Certains modèles sélectionnent automatiquement le code pays et celui-ci ne peut pas être défini par l'utilisateur. Si le pays ne peut pas être détecté, il se peut que ces appareils utilisent une fréquence/puissance inférieure à celle prévue.</w:t>
      </w:r>
    </w:p>
    <w:p w14:paraId="7B6D1FEE" w14:textId="60A65F42" w:rsidR="00CB192D" w:rsidRDefault="00CB192D" w:rsidP="00CB192D">
      <w:pPr>
        <w:rPr>
          <w:rFonts w:cs="Arial"/>
          <w:color w:val="FF0000"/>
        </w:rPr>
      </w:pPr>
      <w:r>
        <w:t>Ce produit NETGEAR ne doit être utilisé qu'avec une antenne approuvée.  Cet appareil et son (ses) antenne(s) ne doivent pas se trouver à proximité ou fonctionner en combinaison avec d'autres antennes ou émetteurs, sauf conformément aux procédures de la FCC relatives aux produits multi-émetteurs.</w:t>
      </w:r>
      <w:r>
        <w:rPr>
          <w:color w:val="FF0000"/>
        </w:rPr>
        <w:t xml:space="preserve"> </w:t>
      </w:r>
    </w:p>
    <w:p w14:paraId="78476331" w14:textId="37729F47" w:rsidR="00995943" w:rsidRDefault="00995943" w:rsidP="00995943">
      <w:pPr>
        <w:rPr>
          <w:rFonts w:cs="Arial"/>
        </w:rPr>
      </w:pPr>
      <w:r>
        <w:t>Cet appareil et son (ses) antenne(s) ne doivent pas se trouver à proximité ou fonctionner en combinaison avec d'autres antennes ou émetteurs, sauf en conformité avec les règlements de la FCC.</w:t>
      </w:r>
    </w:p>
    <w:p w14:paraId="42605D74" w14:textId="527167AB" w:rsidR="00995943" w:rsidRDefault="00995943" w:rsidP="00995943">
      <w:r>
        <w:t>Avertissement de la FCC : Tout changement ou modification dans le but d'une mise en conformité par la partie responsable est susceptible d'annuler le droit de l'utilisateur de faire fonctionner cet équipement.</w:t>
      </w:r>
    </w:p>
    <w:p w14:paraId="63A2E45C" w14:textId="34DE5FC4" w:rsidR="00C5342C" w:rsidRDefault="00612DC5" w:rsidP="00063563">
      <w:pPr>
        <w:pStyle w:val="Titre3"/>
      </w:pPr>
      <w:bookmarkStart w:id="27" w:name="_Toc118886578"/>
      <w:r>
        <w:t>Appareils WiFi 5,9 et 6 GHz</w:t>
      </w:r>
      <w:bookmarkEnd w:id="27"/>
    </w:p>
    <w:p w14:paraId="5D339FFD" w14:textId="1B8A459E" w:rsidR="00F77478" w:rsidRDefault="00424412" w:rsidP="00995943">
      <w:r>
        <w:t xml:space="preserve">Les réglementations de la FCC limitent le fonctionnement de cet appareil à une utilisation en intérieur uniquement. Cet appareil ne peut pas être utilisé pour établir une connexion entre des bâtiments ou structures différents. L'utilisation de cet appareil est interdite à bord des plateformes pétrolières, des voitures, des trains, des bateaux et des aéronefs, à une exception : l'utilisation de cet appareil est autorisée à bord des avions volant à plus de </w:t>
      </w:r>
      <w:r>
        <w:lastRenderedPageBreak/>
        <w:t>10 000 pieds d'altitude. L'utilisation d'émetteurs dans les bandes 5,925-7,125 GHz est interdite pour le contrôle ou les communications avec des systèmes aériens sans pilote, drones y compris.</w:t>
      </w:r>
    </w:p>
    <w:p w14:paraId="2D62BC05" w14:textId="0FCD4D40" w:rsidR="00BB2455" w:rsidRDefault="00BB2455" w:rsidP="00BB2455">
      <w:r>
        <w:t xml:space="preserve">Les modèles MR61XX, MR64XX et MR65XX ne peuvent pas utiliser le mode AP 6 GHz en extérieur. L'appareil peut fonctionner en extérieur lorsque le mode 6 GHz n'est pas opérationnel. Le logiciel limite le fonctionnement à 6 GHz aux appareils connectés à l'alimentation secteur. </w:t>
      </w:r>
    </w:p>
    <w:p w14:paraId="76AFACF4" w14:textId="77777777" w:rsidR="00AC23E2" w:rsidRDefault="00AC23E2" w:rsidP="00481C42">
      <w:pPr>
        <w:pStyle w:val="Titre2"/>
      </w:pPr>
      <w:bookmarkStart w:id="28" w:name="_Toc118886579"/>
      <w:bookmarkStart w:id="29" w:name="_Hlk35510725"/>
      <w:r>
        <w:t>Déclarations de la FCC sur le DAS et l'exposition aux rayonnements radioélectriques</w:t>
      </w:r>
      <w:bookmarkEnd w:id="28"/>
    </w:p>
    <w:p w14:paraId="0BD7BF0C" w14:textId="7365A363" w:rsidR="00AC23E2" w:rsidRDefault="00234A05" w:rsidP="00481C42">
      <w:pPr>
        <w:pStyle w:val="Titre3"/>
      </w:pPr>
      <w:bookmarkStart w:id="30" w:name="_Toc118886580"/>
      <w:r>
        <w:t>Les informations de cette rubrique s'appliquent aux produits qui transmettent des données ou communiquent sans fil - Déclaration sur le DAS</w:t>
      </w:r>
      <w:bookmarkEnd w:id="30"/>
    </w:p>
    <w:p w14:paraId="6EC8E00F" w14:textId="77777777" w:rsidR="00B24349" w:rsidRDefault="00B24349" w:rsidP="00AC23E2">
      <w:r>
        <w:t xml:space="preserve">Les informations de cette rubrique s'appliquent aux produits NETGEAR sans fil destinés à être utilisés près du corps humain. </w:t>
      </w:r>
    </w:p>
    <w:p w14:paraId="2B48A233" w14:textId="087B6568" w:rsidR="00B654CA" w:rsidRDefault="009A1357" w:rsidP="00F76120">
      <w:r>
        <w:t>Les produits NETGEAR conçus pour être utilisés à proximité du corps humain sont testés pour garantir qu'ils respectent le débit d'absorption spécifique (DAS) lorsqu'ils sont portés sur le corps. Ce produit est conforme aux limites de DAS nationales applicables de 1,6 W/kg. Lorsque vous transportez le produit ou que vous l'utilisez en le portant sur vous, maintenez une distance de 10 mm entre celui-ci et votre corps afin de respecter les exigences en matière d'exposition radioélectrique. Pour vérifier la distance minimale, pour plus d'informations et pour connaître le niveau de DAS le plus élevé mesuré pour cet appareil, reportez-vous à la rubrique Exposition radio à l'adresse suivante :</w:t>
      </w:r>
    </w:p>
    <w:p w14:paraId="1C835705" w14:textId="23B3C2DE" w:rsidR="00F76120" w:rsidRDefault="00F55C63" w:rsidP="00F76120">
      <w:hyperlink r:id="rId24" w:history="1">
        <w:r w:rsidR="00E63B27">
          <w:rPr>
            <w:rStyle w:val="Lienhypertexte"/>
          </w:rPr>
          <w:t>https://www.netgear.com/fr/about/regulatory/</w:t>
        </w:r>
      </w:hyperlink>
    </w:p>
    <w:p w14:paraId="75AE2225" w14:textId="77777777" w:rsidR="0048177F" w:rsidRDefault="0048177F" w:rsidP="0048177F">
      <w:r>
        <w:t xml:space="preserve">Les émetteurs de </w:t>
      </w:r>
      <w:proofErr w:type="spellStart"/>
      <w:r>
        <w:t>dongle</w:t>
      </w:r>
      <w:proofErr w:type="spellEnd"/>
      <w:r>
        <w:t xml:space="preserve"> USB NETGEAR sont approuvés pour une utilisation sur des ordinateurs portables classiques. Pour vous conformer aux exigences relatives à l'exposition aux fréquences radio de la FCC, n'utilisez pas d'émetteurs de </w:t>
      </w:r>
      <w:proofErr w:type="spellStart"/>
      <w:r>
        <w:t>dongle</w:t>
      </w:r>
      <w:proofErr w:type="spellEnd"/>
      <w:r>
        <w:t xml:space="preserve"> USB NETGEAR sur d'autres appareils ou certaines configurations d'ordinateurs portables et de tablettes où les connecteurs USB de l'ordinateur hôte ne sont pas en mesure de fournir ou de garantir les configurations de fonctionnement nécessaires destinées à l'appareil et à ses utilisateurs ou aux personnes se trouvant à proximité.   </w:t>
      </w:r>
    </w:p>
    <w:p w14:paraId="3460E2A6" w14:textId="77777777" w:rsidR="00D54FF3" w:rsidRDefault="00D54FF3" w:rsidP="00481C42">
      <w:pPr>
        <w:pStyle w:val="Titre3"/>
      </w:pPr>
      <w:bookmarkStart w:id="31" w:name="_Toc118886581"/>
      <w:bookmarkStart w:id="32" w:name="_Hlk35510675"/>
      <w:r>
        <w:t>Déclaration de limite d'exposition maximale admissible</w:t>
      </w:r>
      <w:bookmarkEnd w:id="31"/>
    </w:p>
    <w:p w14:paraId="03E3C1DD" w14:textId="77777777" w:rsidR="00D54FF3" w:rsidRDefault="00D54FF3" w:rsidP="00D54FF3">
      <w:r>
        <w:t xml:space="preserve">Les informations de cette rubrique s'appliquent aux produits NETGEAR sans fil conçus pour être utilisés à au moins 20 cm du corps humain. </w:t>
      </w:r>
    </w:p>
    <w:p w14:paraId="539100AB" w14:textId="49DB7D8B" w:rsidR="00D54FF3" w:rsidRDefault="00D54FF3" w:rsidP="00D54FF3">
      <w:r>
        <w:t>Les produits NETGEAR sont conformes aux limites d'exposition aux rayonnements de la FCC définies pour un environnement non contrôlé. Il est recommandé d'installer et d'utiliser l'équipement en laissant une distance minimale de 35 cm entre l'élément rayonnant et l'utilisateur. Pour vérifier la distance minimale et pour de plus amples informations sur des produits spécifiques, consultez la rubrique Exposition radio à l'adresse suivante :</w:t>
      </w:r>
    </w:p>
    <w:p w14:paraId="7CD38199" w14:textId="4BACB361" w:rsidR="00D54FF3" w:rsidRDefault="00F55C63" w:rsidP="00D54FF3">
      <w:hyperlink r:id="rId25" w:history="1">
        <w:r w:rsidR="00E63B27">
          <w:rPr>
            <w:rStyle w:val="Lienhypertexte"/>
          </w:rPr>
          <w:t>https://www.netgear.com/fr/about/regulatory/</w:t>
        </w:r>
      </w:hyperlink>
    </w:p>
    <w:p w14:paraId="557A8C2A" w14:textId="77777777" w:rsidR="00E3743F" w:rsidRDefault="00E3743F" w:rsidP="00481C42">
      <w:pPr>
        <w:pStyle w:val="Titre2"/>
      </w:pPr>
      <w:bookmarkStart w:id="33" w:name="_Toc118886582"/>
      <w:bookmarkEnd w:id="32"/>
      <w:r>
        <w:t>Précautions spécifiques en matière de compatibilité électromagnétique (CEM)</w:t>
      </w:r>
      <w:bookmarkEnd w:id="33"/>
      <w:r>
        <w:t xml:space="preserve"> </w:t>
      </w:r>
    </w:p>
    <w:p w14:paraId="59601A7F" w14:textId="77777777" w:rsidR="00E3743F" w:rsidRPr="00EE61BC" w:rsidRDefault="00E3743F" w:rsidP="0060535B">
      <w:r>
        <w:t>Les produits NETGEAR, y compris tous les appareils sans fil, les modules et les petits switches, sont des appareils CEM de classe B. Les commutateurs Ethernet avec plus de 8 ports sont généralement des appareils CEM de classe A.</w:t>
      </w:r>
    </w:p>
    <w:p w14:paraId="56E561E9" w14:textId="77777777" w:rsidR="00E3743F" w:rsidRPr="00D93A87" w:rsidRDefault="00E3743F" w:rsidP="00481C42">
      <w:pPr>
        <w:pStyle w:val="Titre3"/>
      </w:pPr>
      <w:bookmarkStart w:id="34" w:name="_Toc118886583"/>
      <w:r>
        <w:t>Produits de classe B</w:t>
      </w:r>
      <w:bookmarkEnd w:id="34"/>
    </w:p>
    <w:p w14:paraId="38EA1770" w14:textId="77777777" w:rsidR="00E3743F" w:rsidRPr="004E534D" w:rsidRDefault="00E3743F" w:rsidP="00E3743F">
      <w:pPr>
        <w:rPr>
          <w:rFonts w:cs="Arial"/>
        </w:rPr>
      </w:pPr>
      <w:r>
        <w:t xml:space="preserve">Ce produit NETGEAR a été testé et certifié conforme aux restrictions pour les appareils numériques de classe B, conformément à l'article 15 de la réglementation de la FCC. Ces restrictions visent à garantir une protection suffisante contre les interférences nuisibles dans une installation à domicile. Cet appareil utilise des fréquences radio </w:t>
      </w:r>
      <w:r>
        <w:lastRenderedPageBreak/>
        <w:t>et peut en diffuser. S'il n'est pas installé et utilisé conformément aux instructions, il peut provoquer des interférences nuisibles aux communications radio. Cependant, il se peut que des interférences se produisent dans une installation particulière. Pour déterminer si cet appareil produit des interférences nuisibles à la réception de la radio ou de la télévision, éteignez puis rallumez l'appareil. Le cas échéant, nous vous recommandons de suivre les instructions ci-dessous pour éliminer les interférences :</w:t>
      </w:r>
    </w:p>
    <w:p w14:paraId="0791FDD4" w14:textId="77777777" w:rsidR="00E3743F" w:rsidRPr="004E534D" w:rsidRDefault="00E3743F" w:rsidP="00E3743F">
      <w:pPr>
        <w:pStyle w:val="Paragraphedeliste"/>
        <w:numPr>
          <w:ilvl w:val="0"/>
          <w:numId w:val="13"/>
        </w:numPr>
        <w:rPr>
          <w:rFonts w:cs="Arial"/>
        </w:rPr>
      </w:pPr>
      <w:r>
        <w:t>Réorientez l'antenne de réception.</w:t>
      </w:r>
    </w:p>
    <w:p w14:paraId="06C37534" w14:textId="77777777" w:rsidR="00E3743F" w:rsidRPr="004E534D" w:rsidRDefault="00E3743F" w:rsidP="00E3743F">
      <w:pPr>
        <w:pStyle w:val="Paragraphedeliste"/>
        <w:numPr>
          <w:ilvl w:val="0"/>
          <w:numId w:val="13"/>
        </w:numPr>
        <w:rPr>
          <w:rFonts w:cs="Arial"/>
        </w:rPr>
      </w:pPr>
      <w:r>
        <w:t>Eloignez davantage l'appareil du récepteur.</w:t>
      </w:r>
    </w:p>
    <w:p w14:paraId="1373EE70" w14:textId="77777777" w:rsidR="00E3743F" w:rsidRPr="004E534D" w:rsidRDefault="00E3743F" w:rsidP="00E3743F">
      <w:pPr>
        <w:pStyle w:val="Paragraphedeliste"/>
        <w:numPr>
          <w:ilvl w:val="0"/>
          <w:numId w:val="13"/>
        </w:numPr>
        <w:rPr>
          <w:rFonts w:cs="Arial"/>
        </w:rPr>
      </w:pPr>
      <w:r>
        <w:t>Branchez l'appareil sur un circuit électrique différent de celui sur lequel le récepteur radio est branché.</w:t>
      </w:r>
    </w:p>
    <w:p w14:paraId="618EE80C" w14:textId="77777777" w:rsidR="00E3743F" w:rsidRDefault="00E3743F" w:rsidP="00E3743F">
      <w:pPr>
        <w:pStyle w:val="Paragraphedeliste"/>
        <w:numPr>
          <w:ilvl w:val="0"/>
          <w:numId w:val="13"/>
        </w:numPr>
        <w:rPr>
          <w:rFonts w:cs="Arial"/>
        </w:rPr>
      </w:pPr>
      <w:r>
        <w:t>Consultez le vendeur ou un technicien expérimenté pour obtenir de l'assistance.</w:t>
      </w:r>
    </w:p>
    <w:p w14:paraId="4268F864" w14:textId="77777777" w:rsidR="00E3743F" w:rsidRDefault="00E3743F" w:rsidP="00481C42">
      <w:pPr>
        <w:pStyle w:val="Titre3"/>
      </w:pPr>
      <w:bookmarkStart w:id="35" w:name="_Toc118886584"/>
      <w:r>
        <w:t>Produits de classe A</w:t>
      </w:r>
      <w:bookmarkEnd w:id="35"/>
    </w:p>
    <w:p w14:paraId="500DDA9C" w14:textId="77777777" w:rsidR="00E3743F" w:rsidRPr="000B1672" w:rsidRDefault="00E3743F" w:rsidP="00E3743F">
      <w:pPr>
        <w:rPr>
          <w:rFonts w:cs="Arial"/>
        </w:rPr>
      </w:pPr>
      <w:r>
        <w:t>Ce produit NETGEAR a été testé et certifié conforme aux restrictions pour les appareils numériques de classe A, conformément à l'article 15 de la réglementation de la FCC. Ces restrictions visent à garantir une protection suffisante contre les interférences nuisibles lorsque l'appareil est utilisé dans un cadre commercial. Cet appareil produit, utilise et peut diffuser des fréquences radio. S'il n'est pas installé et utilisé conformément au mode d'emploi, il peut provoquer des interférences nuisibles aux communications radio. L'utilisation de cet appareil dans une zone résidentielle est susceptible de provoquer des interférences nuisibles, auquel cas l'utilisateur devra remédier aux interférences à ses frais.</w:t>
      </w:r>
    </w:p>
    <w:p w14:paraId="591FD6D9" w14:textId="77777777" w:rsidR="00B654CA" w:rsidRPr="00481C42" w:rsidRDefault="007C5FA2" w:rsidP="00481C42">
      <w:pPr>
        <w:pStyle w:val="Titre2"/>
      </w:pPr>
      <w:bookmarkStart w:id="36" w:name="_Toc118886585"/>
      <w:r>
        <w:t>Avis relatif à l'article 68 de la FCC</w:t>
      </w:r>
      <w:bookmarkEnd w:id="36"/>
    </w:p>
    <w:bookmarkEnd w:id="29"/>
    <w:p w14:paraId="6EA72E34" w14:textId="77777777" w:rsidR="009C27BE" w:rsidRDefault="007C5FA2" w:rsidP="004E534D">
      <w:pPr>
        <w:rPr>
          <w:rFonts w:cs="Arial"/>
        </w:rPr>
      </w:pPr>
      <w:r>
        <w:t>L'appareil suivant est conforme à l'article 68 de la réglementation de la FCC et aux exigences adoptées par l'ACTA :</w:t>
      </w:r>
    </w:p>
    <w:p w14:paraId="1EA46107" w14:textId="0CE086C0" w:rsidR="007C5FA2" w:rsidRDefault="007C5FA2" w:rsidP="0060535B">
      <w:pPr>
        <w:pStyle w:val="Titre4"/>
      </w:pPr>
      <w:r>
        <w:t>Tableau 4. Produits relevant de l'article 68 de la FCC</w:t>
      </w:r>
    </w:p>
    <w:tbl>
      <w:tblPr>
        <w:tblStyle w:val="Grilledutableau"/>
        <w:tblW w:w="0" w:type="auto"/>
        <w:tblInd w:w="720" w:type="dxa"/>
        <w:tblLook w:val="04A0" w:firstRow="1" w:lastRow="0" w:firstColumn="1" w:lastColumn="0" w:noHBand="0" w:noVBand="1"/>
      </w:tblPr>
      <w:tblGrid>
        <w:gridCol w:w="4315"/>
        <w:gridCol w:w="4315"/>
      </w:tblGrid>
      <w:tr w:rsidR="007C5FA2" w14:paraId="65B6D42C" w14:textId="77777777" w:rsidTr="007C5FA2">
        <w:tc>
          <w:tcPr>
            <w:tcW w:w="4315" w:type="dxa"/>
          </w:tcPr>
          <w:p w14:paraId="232AFED2" w14:textId="77777777" w:rsidR="007C5FA2" w:rsidRDefault="007C5FA2" w:rsidP="009C27BE">
            <w:pPr>
              <w:pStyle w:val="Paragraphedeliste"/>
              <w:numPr>
                <w:ilvl w:val="0"/>
                <w:numId w:val="28"/>
              </w:numPr>
              <w:ind w:left="0" w:firstLine="0"/>
              <w:rPr>
                <w:rFonts w:cs="Arial"/>
              </w:rPr>
            </w:pPr>
            <w:r>
              <w:t>D2200D</w:t>
            </w:r>
          </w:p>
        </w:tc>
        <w:tc>
          <w:tcPr>
            <w:tcW w:w="4315" w:type="dxa"/>
          </w:tcPr>
          <w:p w14:paraId="437E7762" w14:textId="77777777" w:rsidR="007C5FA2" w:rsidRDefault="007C5FA2" w:rsidP="000E6B64">
            <w:pPr>
              <w:pStyle w:val="Paragraphedeliste"/>
              <w:ind w:left="0"/>
              <w:rPr>
                <w:rFonts w:cs="Arial"/>
              </w:rPr>
            </w:pPr>
          </w:p>
        </w:tc>
      </w:tr>
      <w:tr w:rsidR="007C5FA2" w14:paraId="05F42464" w14:textId="77777777" w:rsidTr="007C5FA2">
        <w:tc>
          <w:tcPr>
            <w:tcW w:w="4315" w:type="dxa"/>
          </w:tcPr>
          <w:p w14:paraId="31F69991" w14:textId="77777777" w:rsidR="007C5FA2" w:rsidRDefault="007C5FA2" w:rsidP="000E6B64">
            <w:pPr>
              <w:pStyle w:val="Paragraphedeliste"/>
              <w:ind w:left="0"/>
              <w:rPr>
                <w:rFonts w:cs="Arial"/>
              </w:rPr>
            </w:pPr>
          </w:p>
        </w:tc>
        <w:tc>
          <w:tcPr>
            <w:tcW w:w="4315" w:type="dxa"/>
          </w:tcPr>
          <w:p w14:paraId="5C6E13A2" w14:textId="77777777" w:rsidR="007C5FA2" w:rsidRDefault="007C5FA2" w:rsidP="000E6B64">
            <w:pPr>
              <w:pStyle w:val="Paragraphedeliste"/>
              <w:ind w:left="0"/>
              <w:rPr>
                <w:rFonts w:cs="Arial"/>
              </w:rPr>
            </w:pPr>
          </w:p>
        </w:tc>
      </w:tr>
    </w:tbl>
    <w:p w14:paraId="0224D172" w14:textId="77777777" w:rsidR="009C27BE" w:rsidRPr="009C27BE" w:rsidRDefault="009C27BE" w:rsidP="007C5FA2">
      <w:pPr>
        <w:spacing w:before="60" w:after="60"/>
        <w:rPr>
          <w:rFonts w:cs="Arial"/>
        </w:rPr>
      </w:pPr>
      <w:r>
        <w:t xml:space="preserve">Sur l'étiquette du produit se trouve une étiquette qui contient, entre autres informations, un produit identifié au format US:WXXXXYZZZZZ. Sur demande, ce numéro doit être fourni à l'opérateur téléphonique. </w:t>
      </w:r>
    </w:p>
    <w:p w14:paraId="486262DA" w14:textId="5DF2C35F" w:rsidR="006840DB" w:rsidRDefault="00D74E6B" w:rsidP="0014339D">
      <w:bookmarkStart w:id="37" w:name="_Toc118886586"/>
      <w:r w:rsidRPr="00F55C63">
        <w:rPr>
          <w:rFonts w:eastAsiaTheme="majorEastAsia" w:cstheme="majorBidi"/>
          <w:b/>
          <w:bCs/>
          <w:color w:val="000000" w:themeColor="text1"/>
          <w:sz w:val="28"/>
          <w:szCs w:val="28"/>
        </w:rPr>
        <w:t xml:space="preserve">Innovation, Sciences et Développement économique Canada (ISDE) - </w:t>
      </w:r>
      <w:proofErr w:type="spellStart"/>
      <w:r w:rsidRPr="00F55C63">
        <w:rPr>
          <w:rFonts w:eastAsiaTheme="majorEastAsia" w:cstheme="majorBidi"/>
          <w:b/>
          <w:bCs/>
          <w:color w:val="000000" w:themeColor="text1"/>
          <w:sz w:val="28"/>
          <w:szCs w:val="28"/>
        </w:rPr>
        <w:t>Règlementation</w:t>
      </w:r>
      <w:bookmarkEnd w:id="37"/>
      <w:r w:rsidR="00AC23E2">
        <w:t>Les</w:t>
      </w:r>
      <w:proofErr w:type="spellEnd"/>
      <w:r w:rsidR="00AC23E2">
        <w:t xml:space="preserve"> informations de cette rubrique s'appliquent aux produits portant l'une des déclarations suivantes :</w:t>
      </w:r>
    </w:p>
    <w:p w14:paraId="01771393" w14:textId="5E022E46" w:rsidR="00D93A87" w:rsidRPr="00D40296" w:rsidRDefault="00D93A87" w:rsidP="0097006B">
      <w:pPr>
        <w:spacing w:after="120"/>
        <w:ind w:left="720"/>
        <w:rPr>
          <w:lang w:val="en-IE"/>
        </w:rPr>
      </w:pPr>
      <w:r w:rsidRPr="00D40296">
        <w:rPr>
          <w:lang w:val="en-IE"/>
        </w:rPr>
        <w:t>CAN ICES-003 (B)/NMB-003(B)</w:t>
      </w:r>
    </w:p>
    <w:p w14:paraId="5036A1BA" w14:textId="0CB6FBDE" w:rsidR="00D93A87" w:rsidRPr="00D40296" w:rsidRDefault="00D93A87" w:rsidP="0097006B">
      <w:pPr>
        <w:spacing w:after="120"/>
        <w:ind w:left="720"/>
        <w:rPr>
          <w:lang w:val="en-IE"/>
        </w:rPr>
      </w:pPr>
      <w:r w:rsidRPr="00D40296">
        <w:rPr>
          <w:lang w:val="en-IE"/>
        </w:rPr>
        <w:t>CAN ICES-003 (A)/NMB-003(A)</w:t>
      </w:r>
    </w:p>
    <w:p w14:paraId="5AE746AB" w14:textId="77777777" w:rsidR="007D5B99" w:rsidRPr="006840DB" w:rsidRDefault="007D5B99" w:rsidP="006840DB">
      <w:pPr>
        <w:ind w:left="720"/>
      </w:pPr>
      <w:r>
        <w:t>« Cet appareil numérique respecte les restrictions des émissions radio destinées aux appareils numériques de classe B établies par la réglementation canadienne sur les interférences radio.»</w:t>
      </w:r>
    </w:p>
    <w:p w14:paraId="4E915763" w14:textId="77777777" w:rsidR="00B36BA1" w:rsidRDefault="00217BC8" w:rsidP="004E534D">
      <w:pPr>
        <w:rPr>
          <w:rFonts w:cs="Arial"/>
        </w:rPr>
      </w:pPr>
      <w:r>
        <w:t xml:space="preserve">Tous les produits NETGEAR sont conformes aux normes RSS exemptes de licence d'ISDE. Le fonctionnement est soumis aux deux conditions suivantes : (1) les produits NETGEAR ne </w:t>
      </w:r>
      <w:proofErr w:type="gramStart"/>
      <w:r>
        <w:t>produisent</w:t>
      </w:r>
      <w:proofErr w:type="gramEnd"/>
      <w:r>
        <w:t xml:space="preserve"> pas d'interférences nuisibles, et (2) les produits NETGEAR doivent accepter toutes les interférences reçues, notamment celles qui peuvent entraîner un fonctionnement non souhaité.</w:t>
      </w:r>
    </w:p>
    <w:p w14:paraId="240A6E17" w14:textId="3F2E2665" w:rsidR="00E3743F" w:rsidRPr="004E534D" w:rsidRDefault="00E3743F" w:rsidP="00481C42">
      <w:pPr>
        <w:pStyle w:val="Titre2"/>
      </w:pPr>
      <w:bookmarkStart w:id="38" w:name="_Toc118886587"/>
      <w:r>
        <w:t>Avertissements et instructions relatifs aux fréquences radio</w:t>
      </w:r>
      <w:bookmarkEnd w:id="38"/>
    </w:p>
    <w:p w14:paraId="246BBB51" w14:textId="77777777" w:rsidR="00E3743F" w:rsidRDefault="00E3743F" w:rsidP="00E3743F">
      <w:pPr>
        <w:rPr>
          <w:rFonts w:cs="Arial"/>
        </w:rPr>
      </w:pPr>
      <w:r>
        <w:t>Pour les produits disponibles sur le marché américain ou canadien, seul le canal 1~11 est utilisable. Il n'est pas possible de sélectionner d'autres canaux.</w:t>
      </w:r>
    </w:p>
    <w:p w14:paraId="49CBFE85" w14:textId="77777777" w:rsidR="00E3743F" w:rsidRDefault="00E3743F" w:rsidP="00E3743F">
      <w:pPr>
        <w:rPr>
          <w:rFonts w:cs="Arial"/>
        </w:rPr>
      </w:pPr>
      <w:r>
        <w:t>Cet appareil et son (ses) antenne(s) ne doivent pas se trouver à proximité ou fonctionner en combinaison avec d'autres antennes ou émetteurs, sauf en accord avec les procédures d'IC concernant les produits multi-émetteurs.</w:t>
      </w:r>
    </w:p>
    <w:p w14:paraId="62E8945B" w14:textId="09A277FA" w:rsidR="00E3743F" w:rsidRDefault="00E3743F" w:rsidP="00E3743F">
      <w:pPr>
        <w:rPr>
          <w:rFonts w:cs="Arial"/>
        </w:rPr>
      </w:pPr>
      <w:r>
        <w:t>L'appareil pour la bande 5150-5250 MHz est uniquement destiné à une utilisation en intérieur afin de réduire les risques d'interférences nuisibles pour les systèmes mobiles par satellite à canaux partagés.</w:t>
      </w:r>
    </w:p>
    <w:p w14:paraId="29B5759B" w14:textId="77777777" w:rsidR="00C34109" w:rsidRDefault="00C34109" w:rsidP="00C34109">
      <w:pPr>
        <w:rPr>
          <w:rFonts w:cs="Arial"/>
        </w:rPr>
      </w:pPr>
      <w:r>
        <w:lastRenderedPageBreak/>
        <w:t>Les utilisateurs doivent également être informés que les radars à haute puissance sont attribués comme utilisateurs principaux (c'est-à-dire les utilisateurs prioritaires) des bandes 5250-5350 MHz et 5650-5850 MHz, et que ces radars peuvent causer des interférences et/ou endommager les appareils LE-LAN.</w:t>
      </w:r>
    </w:p>
    <w:p w14:paraId="025AAFC0" w14:textId="67AEC060" w:rsidR="002A7E78" w:rsidRPr="00EE5249" w:rsidRDefault="002A7E78" w:rsidP="002A7E78">
      <w:pPr>
        <w:rPr>
          <w:rFonts w:cs="Arial"/>
        </w:rPr>
      </w:pPr>
      <w:r>
        <w:t>En vertu des réglementations d'ISDE, cet émetteur radio ne peut fonctionner qu'avec une antenne d'un type et d'un gain maximum (ou inférieur) approuvés pour l'émetteur par ISDE. Afin de réduire les interférences radio potentielles pour les autres utilisateurs, le type d'antenne et son gain doivent être choisis de telle sorte que la puissance isotrope rayonnée équivalente (PIRE) ne soit pas supérieure à celle nécessaire à la réussite de la communication. Voir tableau 2</w:t>
      </w:r>
    </w:p>
    <w:p w14:paraId="11F8F464" w14:textId="63E1672A" w:rsidR="00C34109" w:rsidRDefault="00C34109" w:rsidP="00C34109">
      <w:pPr>
        <w:rPr>
          <w:rFonts w:cs="Arial"/>
        </w:rPr>
      </w:pPr>
      <w:r>
        <w:t>Le gain d'antenne maximal autorisé pour les appareils des bandes 5250-5350 MHz et 5470-5725 MHz doit être conforme à la limite de PIRE (puissance isotrope rayonnée équivalente).</w:t>
      </w:r>
    </w:p>
    <w:p w14:paraId="0FA04162" w14:textId="14587A94" w:rsidR="00C34109" w:rsidRDefault="00C34109" w:rsidP="002A7E78">
      <w:pPr>
        <w:rPr>
          <w:rFonts w:cs="Arial"/>
          <w:color w:val="000000"/>
          <w:szCs w:val="18"/>
        </w:rPr>
      </w:pPr>
      <w:r>
        <w:rPr>
          <w:color w:val="000000"/>
        </w:rPr>
        <w:t>Le gain d'antenne maximal autorisé pour les appareils de la bande 5725-5825 MHz doit être conforme aux limites de PIRE (puissance isotrope rayonnée équivalente) spécifiées pour le fonctionnement point à point et point à multipoint, selon le cas.</w:t>
      </w:r>
    </w:p>
    <w:p w14:paraId="22868082" w14:textId="5D2F436C" w:rsidR="00054A73" w:rsidRDefault="00054A73" w:rsidP="00054A73">
      <w:r>
        <w:t>L'appareil, lorsqu'il utilise la bande 5925-6425 MHz, ne peut être utilisé qu'en intérieur. L'utilisation de cet appareil est interdite à bord des plateformes pétrolières, des voitures, des trains, des bateaux et des aéronefs, à une exception : l'utilisation de cet appareil est autorisée à bord des avions volant à plus de 10 000 pieds d'altitude. L'utilisation d'émetteurs sur la bande 5925-6425 MHz est interdite pour le contrôle des systèmes d'aéronef sans pilote ou la communication avec ces systèmes.</w:t>
      </w:r>
    </w:p>
    <w:p w14:paraId="4E405205" w14:textId="77777777" w:rsidR="00D72E30" w:rsidRPr="004E534D" w:rsidRDefault="00D72E30" w:rsidP="00481C42">
      <w:pPr>
        <w:pStyle w:val="Titre2"/>
      </w:pPr>
      <w:bookmarkStart w:id="39" w:name="_Toc118886588"/>
      <w:r>
        <w:t>REMARQUE IMPORTANTE : Déclaration concernant l'exposition aux rayonnements</w:t>
      </w:r>
      <w:bookmarkEnd w:id="39"/>
    </w:p>
    <w:p w14:paraId="02CCAABD" w14:textId="77777777" w:rsidR="00D72E30" w:rsidRPr="00356269" w:rsidRDefault="00D72E30" w:rsidP="00481C42">
      <w:pPr>
        <w:pStyle w:val="Titre3"/>
      </w:pPr>
      <w:bookmarkStart w:id="40" w:name="_Toc118886589"/>
      <w:bookmarkStart w:id="41" w:name="_Hlk35587083"/>
      <w:r>
        <w:t>Avertissement relatif au DAS :</w:t>
      </w:r>
      <w:bookmarkEnd w:id="40"/>
    </w:p>
    <w:p w14:paraId="1E1526EB" w14:textId="77777777" w:rsidR="00406A5B" w:rsidRDefault="00406A5B" w:rsidP="00406A5B">
      <w:r>
        <w:t xml:space="preserve">Les informations de cette rubrique s'appliquent aux produits NETGEAR sans fil destinés à être utilisés près du corps humain. </w:t>
      </w:r>
    </w:p>
    <w:p w14:paraId="00BEBBC7" w14:textId="4E823110" w:rsidR="00D72E30" w:rsidRPr="00356269" w:rsidRDefault="00D72E30" w:rsidP="00D72E30">
      <w:pPr>
        <w:rPr>
          <w:rFonts w:cs="Arial"/>
        </w:rPr>
      </w:pPr>
      <w:r>
        <w:t>Les produits NETGEAR sont conformes au DAS pour la population générale/aux limites d'exposition non contrôlée de la norme IC RSS-102 et ont été testés dans le respect des procédures et méthodes d'évaluation spécifiées dans la norme IEEE 1528. Maintenez une distance d'au moins 10 mm si l'appareil est porté près du corps.</w:t>
      </w:r>
    </w:p>
    <w:p w14:paraId="5289C8CB" w14:textId="1F0F8C9C" w:rsidR="007E5B60" w:rsidRDefault="007E5B60" w:rsidP="004E534D">
      <w:pPr>
        <w:rPr>
          <w:rFonts w:cs="Arial"/>
        </w:rPr>
      </w:pPr>
      <w:r>
        <w:t>Les produits NETGEAR sont conformes à la limite d'exposition aux fréquences radio portables du Canada définie pour un environnement non contrôlé et sont sûrs pour l'utilisation prévue, comme décrit dans son manuel. Une réduction supplémentaire de l'exposition aux fréquences radio peut être obtenue en maintenant le produit aussi loin que possible de votre corps ou en réglant l'appareil sur une puissance de sortie inférieure, si une telle fonction est disponible.</w:t>
      </w:r>
    </w:p>
    <w:p w14:paraId="2AA60DAC" w14:textId="6D0618C8" w:rsidR="00314CF3" w:rsidRDefault="00314CF3" w:rsidP="00314CF3">
      <w:r>
        <w:t>Pour plus de détails et pour connaître le niveau de DAS le plus élevé mesuré pour cet appareil, reportez-vous à la rubrique Exposition radio à l'adresse suivante :</w:t>
      </w:r>
    </w:p>
    <w:p w14:paraId="3F673B94" w14:textId="7F03B573" w:rsidR="00314CF3" w:rsidRDefault="00F55C63" w:rsidP="00314CF3">
      <w:hyperlink r:id="rId26" w:history="1">
        <w:r w:rsidR="00E63B27">
          <w:rPr>
            <w:rStyle w:val="Lienhypertexte"/>
          </w:rPr>
          <w:t>https://www.netgear.com/fr/about/regulatory/</w:t>
        </w:r>
      </w:hyperlink>
    </w:p>
    <w:p w14:paraId="5D4F1079" w14:textId="77777777" w:rsidR="00406A5B" w:rsidRDefault="00406A5B" w:rsidP="00481C42">
      <w:pPr>
        <w:pStyle w:val="Titre3"/>
      </w:pPr>
      <w:bookmarkStart w:id="42" w:name="_Toc118886590"/>
      <w:r>
        <w:t>Déclaration de limite d'exposition maximale admissible</w:t>
      </w:r>
      <w:bookmarkEnd w:id="42"/>
    </w:p>
    <w:p w14:paraId="3D37D769" w14:textId="77777777" w:rsidR="00406A5B" w:rsidRDefault="00406A5B" w:rsidP="00406A5B">
      <w:r>
        <w:t xml:space="preserve">Les informations de cette rubrique s'appliquent aux produits NETGEAR sans fil conçus pour être utilisés à au moins 20 cm du corps humain. </w:t>
      </w:r>
    </w:p>
    <w:p w14:paraId="715D26E3" w14:textId="72800A33" w:rsidR="0031607B" w:rsidRDefault="00406A5B" w:rsidP="0031607B">
      <w:r>
        <w:t>Les produits NETGEAR sont conformes aux limites d'exposition aux rayonnements IC définies pour un environnement non contrôlé.  Lorsque vous installez et utilisez des produits NETGEAR, maintenez une distance minimale de 70 cm entre l'élément rayonnant et votre corps. Pour vérifier la distance minimale, pour plus d'informations et pour connaître le niveau de DAS le plus élevé mesuré pour cet appareil, reportez-vous à la rubrique Exposition radio à l'adresse suivante :</w:t>
      </w:r>
    </w:p>
    <w:p w14:paraId="1DA9D3A5" w14:textId="70945C4B" w:rsidR="0031607B" w:rsidRDefault="00F55C63" w:rsidP="0031607B">
      <w:hyperlink r:id="rId27" w:history="1">
        <w:r w:rsidR="00E63B27">
          <w:rPr>
            <w:rStyle w:val="Lienhypertexte"/>
          </w:rPr>
          <w:t>https://www.netgear.com/fr/about/regulatory/</w:t>
        </w:r>
      </w:hyperlink>
    </w:p>
    <w:p w14:paraId="39004ED7" w14:textId="00F6CE78" w:rsidR="00C509BF" w:rsidRDefault="00C509BF" w:rsidP="000E6B64">
      <w:pPr>
        <w:pStyle w:val="Titre2"/>
      </w:pPr>
      <w:bookmarkStart w:id="43" w:name="_Toc118886591"/>
      <w:bookmarkEnd w:id="41"/>
      <w:r>
        <w:rPr>
          <w:rStyle w:val="Lienhypertexte"/>
        </w:rPr>
        <w:t>Règlement 522/20 de l'Ontario</w:t>
      </w:r>
      <w:bookmarkEnd w:id="43"/>
      <w:r>
        <w:rPr>
          <w:rStyle w:val="Lienhypertexte"/>
        </w:rPr>
        <w:t xml:space="preserve"> </w:t>
      </w:r>
    </w:p>
    <w:p w14:paraId="50CAE6D7" w14:textId="7831148A" w:rsidR="00B15620" w:rsidRDefault="00C509BF" w:rsidP="00B15620">
      <w:r>
        <w:t>Les réglementations de l'Ontario sur les équipements électroniques et électriques (EEE) sont en vigueur à compter du 1er janvier 2021, en vertu de la loi sur le rétablissement des ressources et l'économie circulaire. NETGEAR s'acquitte de ses obligations par l'intermédiaire d'EPRA Ontario, son organisme de responsabilité des producteurs sélectionné.  Consultez le site web d'EPRA à l'adresse</w:t>
      </w:r>
    </w:p>
    <w:p w14:paraId="5DF2542E" w14:textId="20B4537D" w:rsidR="00C509BF" w:rsidRPr="00C509BF" w:rsidRDefault="00F55C63" w:rsidP="00C509BF">
      <w:pPr>
        <w:rPr>
          <w:rFonts w:asciiTheme="minorHAnsi" w:hAnsiTheme="minorHAnsi"/>
          <w:sz w:val="22"/>
        </w:rPr>
      </w:pPr>
      <w:hyperlink r:id="rId28" w:history="1">
        <w:r w:rsidR="00B15620">
          <w:rPr>
            <w:rStyle w:val="Lienhypertexte"/>
          </w:rPr>
          <w:t>https://recyclemyelectronics.ca/on/</w:t>
        </w:r>
      </w:hyperlink>
      <w:r w:rsidR="00C509BF">
        <w:t>pour obtenir des informations sur la collecte des appareils électroniques en fin de vie et en savoir plus sur le programme.</w:t>
      </w:r>
    </w:p>
    <w:p w14:paraId="0C25431F" w14:textId="07B31F94" w:rsidR="00AD3F79" w:rsidRPr="00AD3F79" w:rsidRDefault="00AD3F79" w:rsidP="00AD3F79">
      <w:pPr>
        <w:pStyle w:val="Titre1"/>
      </w:pPr>
      <w:bookmarkStart w:id="44" w:name="_Toc92220737"/>
      <w:bookmarkStart w:id="45" w:name="_Toc118886592"/>
      <w:r>
        <w:t>Réglementations du ministère Innovation, Sciences et Développement économique Canada (ISDE)</w:t>
      </w:r>
      <w:bookmarkEnd w:id="44"/>
      <w:r>
        <w:t xml:space="preserve"> – français</w:t>
      </w:r>
      <w:bookmarkEnd w:id="45"/>
    </w:p>
    <w:p w14:paraId="019449F0" w14:textId="77777777" w:rsidR="00AD3F79" w:rsidRPr="00AD3F79" w:rsidRDefault="00AD3F79" w:rsidP="00AD3F79"/>
    <w:p w14:paraId="0900F4AB" w14:textId="77777777" w:rsidR="00AD3F79" w:rsidRPr="00B97C7A" w:rsidRDefault="00AD3F79" w:rsidP="00AD3F79">
      <w:r>
        <w:t>Les informations de cette rubrique s'appliquent aux produits portant l'une des déclarations suivantes :</w:t>
      </w:r>
    </w:p>
    <w:p w14:paraId="04B6FB7F" w14:textId="77777777" w:rsidR="00AD3F79" w:rsidRPr="00D40296" w:rsidRDefault="00AD3F79" w:rsidP="00AD3F79">
      <w:pPr>
        <w:spacing w:after="120"/>
        <w:ind w:left="720"/>
        <w:rPr>
          <w:lang w:val="en-IE"/>
        </w:rPr>
      </w:pPr>
      <w:r w:rsidRPr="00D40296">
        <w:rPr>
          <w:lang w:val="en-IE"/>
        </w:rPr>
        <w:t>CAN ICES-003 (B)/NMB-003(B)</w:t>
      </w:r>
    </w:p>
    <w:p w14:paraId="7ADAF387" w14:textId="77777777" w:rsidR="00AD3F79" w:rsidRPr="00D40296" w:rsidRDefault="00AD3F79" w:rsidP="00AD3F79">
      <w:pPr>
        <w:spacing w:after="120"/>
        <w:ind w:left="720"/>
        <w:rPr>
          <w:lang w:val="en-IE"/>
        </w:rPr>
      </w:pPr>
      <w:r w:rsidRPr="00D40296">
        <w:rPr>
          <w:lang w:val="en-IE"/>
        </w:rPr>
        <w:t>CAN ICES-003 (A)/NMB-003(A)</w:t>
      </w:r>
    </w:p>
    <w:p w14:paraId="3CBD6B51" w14:textId="77777777" w:rsidR="00AD3F79" w:rsidRPr="00B97C7A" w:rsidRDefault="00AD3F79" w:rsidP="00AD3F79">
      <w:pPr>
        <w:ind w:left="720"/>
      </w:pPr>
      <w:r>
        <w:t>« Cet appareil numérique respecte les restrictions des émissions radio destinées aux appareils numériques de classe B établies par la réglementation canadienne sur les interférences radio.»</w:t>
      </w:r>
    </w:p>
    <w:p w14:paraId="49CAE435" w14:textId="77777777" w:rsidR="00AD3F79" w:rsidRPr="00B97C7A" w:rsidRDefault="00AD3F79" w:rsidP="00AD3F79">
      <w:pPr>
        <w:rPr>
          <w:rFonts w:cs="Arial"/>
        </w:rPr>
      </w:pPr>
      <w:r>
        <w:t xml:space="preserve">Tous les produits NETGEAR sont conformes aux normes RSS exemptes de licence d'ISDE. Le fonctionnement est soumis aux deux conditions suivantes : (1) les produits NETGEAR ne </w:t>
      </w:r>
      <w:proofErr w:type="gramStart"/>
      <w:r>
        <w:t>produisent</w:t>
      </w:r>
      <w:proofErr w:type="gramEnd"/>
      <w:r>
        <w:t xml:space="preserve"> pas d'interférences nuisibles, et (2) les produits NETGEAR doivent accepter toutes les interférences reçues, notamment celles qui peuvent entraîner un fonctionnement non souhaité.</w:t>
      </w:r>
    </w:p>
    <w:p w14:paraId="07A1A0AC" w14:textId="77777777" w:rsidR="00AD3F79" w:rsidRPr="00B97C7A" w:rsidRDefault="00AD3F79" w:rsidP="00AD3F79">
      <w:pPr>
        <w:pStyle w:val="Titre2"/>
      </w:pPr>
      <w:bookmarkStart w:id="46" w:name="_Toc92220738"/>
      <w:bookmarkStart w:id="47" w:name="_Toc118886593"/>
      <w:r>
        <w:t>Avertissements et instructions relatifs aux fréquences radio</w:t>
      </w:r>
      <w:bookmarkEnd w:id="46"/>
      <w:bookmarkEnd w:id="47"/>
    </w:p>
    <w:p w14:paraId="5E9D8AAC" w14:textId="77777777" w:rsidR="00AD3F79" w:rsidRPr="00B97C7A" w:rsidRDefault="00AD3F79" w:rsidP="00AD3F79">
      <w:pPr>
        <w:rPr>
          <w:rFonts w:cs="Arial"/>
        </w:rPr>
      </w:pPr>
      <w:r>
        <w:t>Pour les produits disponibles sur le marché américain ou canadien, seul le canal 1~11 est utilisable. Il n'est pas possible de sélectionner d'autres canaux.</w:t>
      </w:r>
    </w:p>
    <w:p w14:paraId="5CDDDE6C" w14:textId="77777777" w:rsidR="00AD3F79" w:rsidRPr="00B97C7A" w:rsidRDefault="00AD3F79" w:rsidP="00AD3F79">
      <w:pPr>
        <w:rPr>
          <w:rFonts w:cs="Arial"/>
        </w:rPr>
      </w:pPr>
      <w:r>
        <w:t>Cet appareil et son (ses) antenne(s) ne doivent pas se trouver à proximité ou fonctionner en combinaison avec d'autres antennes ou émetteurs, sauf en accord avec les procédures d'IC concernant les produits multi-émetteurs.</w:t>
      </w:r>
    </w:p>
    <w:p w14:paraId="46AAAB54" w14:textId="77777777" w:rsidR="00AD3F79" w:rsidRPr="00B97C7A" w:rsidRDefault="00AD3F79" w:rsidP="00AD3F79">
      <w:pPr>
        <w:rPr>
          <w:rFonts w:cs="Arial"/>
        </w:rPr>
      </w:pPr>
      <w:r>
        <w:t>L'appareil pour la bande 5150-5250 MHz est uniquement destiné à une utilisation en intérieur afin de réduire les risques d'interférences nuisibles pour les systèmes mobiles par satellite à canaux partagés.</w:t>
      </w:r>
    </w:p>
    <w:p w14:paraId="1C7B840B" w14:textId="77777777" w:rsidR="00AD3F79" w:rsidRPr="00B97C7A" w:rsidRDefault="00AD3F79" w:rsidP="00AD3F79">
      <w:pPr>
        <w:rPr>
          <w:rFonts w:cs="Arial"/>
        </w:rPr>
      </w:pPr>
      <w:r>
        <w:t>Les utilisateurs doivent également être informés que les radars à haute puissance sont attribués comme utilisateurs principaux (c'est-à-dire les utilisateurs prioritaires) des bandes 5250-5350 MHz et 5650-5850 MHz, et que ces radars peuvent causer des interférences et/ou endommager les appareils LE-LAN.</w:t>
      </w:r>
    </w:p>
    <w:p w14:paraId="49855B42" w14:textId="77777777" w:rsidR="00AD3F79" w:rsidRPr="00B97C7A" w:rsidRDefault="00AD3F79" w:rsidP="00AD3F79">
      <w:pPr>
        <w:rPr>
          <w:rFonts w:cs="Arial"/>
        </w:rPr>
      </w:pPr>
      <w:r>
        <w:t>En vertu des réglementations d'ISDE, cet émetteur radio ne peut fonctionner qu'avec une antenne d'un type et d'un gain maximum (ou inférieur) approuvés pour l'émetteur par ISDE. Afin de réduire les interférences radio potentielles pour les autres utilisateurs, le type d'antenne et son gain doivent être choisis de telle sorte que la puissance isotrope rayonnée équivalente (PIRE) ne soit pas supérieure à celle nécessaire à la réussite de la communication. Voir tableau 2</w:t>
      </w:r>
    </w:p>
    <w:p w14:paraId="1C0AD4D6" w14:textId="77777777" w:rsidR="00AD3F79" w:rsidRPr="00B97C7A" w:rsidRDefault="00AD3F79" w:rsidP="00AD3F79">
      <w:pPr>
        <w:rPr>
          <w:rFonts w:cs="Arial"/>
        </w:rPr>
      </w:pPr>
      <w:r>
        <w:t>Le gain d'antenne maximal autorisé pour les appareils des bandes 5250-5350 MHz et 5470-5725 MHz doit être conforme à la limite de PIRE (puissance isotrope rayonnée équivalente).</w:t>
      </w:r>
    </w:p>
    <w:p w14:paraId="6693D1C2" w14:textId="77777777" w:rsidR="00AD3F79" w:rsidRPr="00B97C7A" w:rsidRDefault="00AD3F79" w:rsidP="00AD3F79">
      <w:pPr>
        <w:rPr>
          <w:rFonts w:cs="Arial"/>
          <w:color w:val="000000"/>
          <w:szCs w:val="18"/>
        </w:rPr>
      </w:pPr>
      <w:r>
        <w:rPr>
          <w:color w:val="000000"/>
        </w:rPr>
        <w:lastRenderedPageBreak/>
        <w:t>Le gain d'antenne maximal autorisé pour les appareils de la bande 5725-5825 MHz doit être conforme aux limites de PIRE (puissance isotrope rayonnée équivalente) spécifiées pour le fonctionnement point à point et point à multipoint, selon le cas.</w:t>
      </w:r>
    </w:p>
    <w:p w14:paraId="4FE2EC46" w14:textId="77777777" w:rsidR="00AD3F79" w:rsidRPr="00B97C7A" w:rsidRDefault="00AD3F79" w:rsidP="00AD3F79">
      <w:r>
        <w:t>L'appareil pour la bande 5925-6425 MHz est uniquement destiné à une utilisation en intérieur. L'utilisation de cet appareil est interdite à bord des plateformes pétrolières, des voitures, des trains, des bateaux et des aéronefs, à une exception : l'utilisation de cet appareil est autorisée à bord des avions volant à plus de 10 000 pieds d'altitude. L'utilisation d'émetteurs sur la bande 5925-6425 MHz est interdite pour le contrôle des systèmes d'aéronef sans pilote ou la communication avec ces systèmes.</w:t>
      </w:r>
    </w:p>
    <w:p w14:paraId="4F8F0961" w14:textId="77777777" w:rsidR="00AD3F79" w:rsidRPr="00B97C7A" w:rsidRDefault="00AD3F79" w:rsidP="00AD3F79">
      <w:pPr>
        <w:pStyle w:val="Titre2"/>
      </w:pPr>
      <w:bookmarkStart w:id="48" w:name="_Toc92220739"/>
      <w:bookmarkStart w:id="49" w:name="_Toc118886594"/>
      <w:r>
        <w:t>REMARQUE IMPORTANTE : Déclaration concernant l'exposition aux rayonnements</w:t>
      </w:r>
      <w:bookmarkEnd w:id="48"/>
      <w:bookmarkEnd w:id="49"/>
    </w:p>
    <w:p w14:paraId="3D67A0CF" w14:textId="77777777" w:rsidR="00AD3F79" w:rsidRPr="00B97C7A" w:rsidRDefault="00AD3F79" w:rsidP="00AD3F79">
      <w:pPr>
        <w:pStyle w:val="Titre3"/>
      </w:pPr>
      <w:bookmarkStart w:id="50" w:name="_Toc92220740"/>
      <w:bookmarkStart w:id="51" w:name="_Toc118886595"/>
      <w:r>
        <w:t>Avertissement relatif au DAS :</w:t>
      </w:r>
      <w:bookmarkEnd w:id="50"/>
      <w:bookmarkEnd w:id="51"/>
    </w:p>
    <w:p w14:paraId="4B91057B" w14:textId="77777777" w:rsidR="00AD3F79" w:rsidRPr="00B97C7A" w:rsidRDefault="00AD3F79" w:rsidP="00AD3F79">
      <w:r>
        <w:t xml:space="preserve">Les informations de cette rubrique s'appliquent aux produits WiFi NETGEAR destinés à être utilisés près du corps humain. </w:t>
      </w:r>
    </w:p>
    <w:p w14:paraId="158C292F" w14:textId="77777777" w:rsidR="00AD3F79" w:rsidRPr="00B97C7A" w:rsidRDefault="00AD3F79" w:rsidP="00AD3F79">
      <w:pPr>
        <w:rPr>
          <w:rFonts w:cs="Arial"/>
        </w:rPr>
      </w:pPr>
      <w:r>
        <w:t>Les produits NETGEAR sont conformes au DAS pour la population générale/aux limites d'exposition non contrôlée de la norme IC RSS-102 et ont été testés dans le respect des procédures et méthodes d'évaluation spécifiées dans la norme IEEE 1528. Maintenez une distance d'au moins 10 mm si l'appareil est porté près du corps.</w:t>
      </w:r>
    </w:p>
    <w:p w14:paraId="3D14C053" w14:textId="77777777" w:rsidR="00AD3F79" w:rsidRPr="00B97C7A" w:rsidRDefault="00AD3F79" w:rsidP="00AD3F79">
      <w:pPr>
        <w:rPr>
          <w:rFonts w:cs="Arial"/>
        </w:rPr>
      </w:pPr>
      <w:r>
        <w:t>Les produits NETGEAR sont conformes à la limite d'exposition aux fréquences radio portables du Canada définie pour un environnement non contrôlé et sont sûrs pour l'utilisation prévue, comme décrit dans son manuel. Une réduction supplémentaire de l'exposition aux fréquences radio peut être obtenue en maintenant le produit aussi loin que possible de votre corps ou en réglant l'appareil sur une puissance de sortie inférieure, si une telle fonction est disponible.</w:t>
      </w:r>
    </w:p>
    <w:p w14:paraId="6022F83B" w14:textId="77777777" w:rsidR="00AD3F79" w:rsidRPr="00B97C7A" w:rsidRDefault="00AD3F79" w:rsidP="00AD3F79">
      <w:r>
        <w:t>Pour plus de détails et pour connaître le niveau de DAS le plus élevé mesuré pour cet appareil, reportez-vous à la rubrique Exposition radio à l'adresse suivante :</w:t>
      </w:r>
    </w:p>
    <w:p w14:paraId="3899E599" w14:textId="2EFDE6E2" w:rsidR="00AD3F79" w:rsidRPr="00B97C7A" w:rsidRDefault="00F55C63" w:rsidP="00AD3F79">
      <w:hyperlink r:id="rId29" w:history="1">
        <w:r w:rsidR="00E63B27">
          <w:rPr>
            <w:rStyle w:val="Lienhypertexte"/>
          </w:rPr>
          <w:t>https://www.netgear.com/fr/about/regulatory/</w:t>
        </w:r>
      </w:hyperlink>
    </w:p>
    <w:p w14:paraId="0309E338" w14:textId="77777777" w:rsidR="00AD3F79" w:rsidRPr="00B97C7A" w:rsidRDefault="00AD3F79" w:rsidP="00AD3F79">
      <w:pPr>
        <w:pStyle w:val="Titre3"/>
      </w:pPr>
      <w:bookmarkStart w:id="52" w:name="_Toc92220741"/>
      <w:bookmarkStart w:id="53" w:name="_Toc118886596"/>
      <w:r>
        <w:t>Déclaration de limite d'exposition maximale admissible</w:t>
      </w:r>
      <w:bookmarkEnd w:id="52"/>
      <w:bookmarkEnd w:id="53"/>
    </w:p>
    <w:p w14:paraId="2D5E9D82" w14:textId="77777777" w:rsidR="00AD3F79" w:rsidRPr="00B97C7A" w:rsidRDefault="00AD3F79" w:rsidP="00AD3F79">
      <w:r>
        <w:t xml:space="preserve">Les informations de cette rubrique s'appliquent aux produits WiFi NETGEAR conçus pour être utilisés à au moins 20 cm du corps humain. </w:t>
      </w:r>
    </w:p>
    <w:p w14:paraId="21CD469E" w14:textId="77777777" w:rsidR="00AD3F79" w:rsidRPr="00B97C7A" w:rsidRDefault="00AD3F79" w:rsidP="00AD3F79">
      <w:r>
        <w:t>Les produits NETGEAR sont conformes aux limites d'exposition aux rayonnements IC définies pour un environnement non contrôlé.  Lorsque vous installez et utilisez des produits NETGEAR, maintenez une distance minimale de 70 cm entre l'élément rayonnant et votre corps. Pour vérifier la distance minimale, pour plus d'informations et pour connaître le niveau de DAS le plus élevé mesuré pour cet appareil, reportez-vous à la rubrique Exposition radio à l'adresse suivante :</w:t>
      </w:r>
    </w:p>
    <w:p w14:paraId="5B1AE354" w14:textId="5CC2DCFD" w:rsidR="00AD3F79" w:rsidRPr="00B97C7A" w:rsidRDefault="00F55C63" w:rsidP="00AD3F79">
      <w:hyperlink r:id="rId30" w:history="1">
        <w:r w:rsidR="00E63B27">
          <w:rPr>
            <w:rStyle w:val="Lienhypertexte"/>
          </w:rPr>
          <w:t>https://www.netgear.com/fr/about/regulatory/</w:t>
        </w:r>
      </w:hyperlink>
    </w:p>
    <w:p w14:paraId="318FF5BE" w14:textId="77777777" w:rsidR="00AD3F79" w:rsidRPr="00B97C7A" w:rsidRDefault="00AD3F79" w:rsidP="00AD3F79">
      <w:pPr>
        <w:pStyle w:val="Titre2"/>
      </w:pPr>
      <w:bookmarkStart w:id="54" w:name="_Toc92220742"/>
      <w:bookmarkStart w:id="55" w:name="_Toc118886597"/>
      <w:r>
        <w:rPr>
          <w:rStyle w:val="Lienhypertexte"/>
        </w:rPr>
        <w:t>Règlement 522/20 de l'Ontario</w:t>
      </w:r>
      <w:bookmarkEnd w:id="54"/>
      <w:bookmarkEnd w:id="55"/>
      <w:r>
        <w:rPr>
          <w:rStyle w:val="Lienhypertexte"/>
        </w:rPr>
        <w:t xml:space="preserve"> </w:t>
      </w:r>
    </w:p>
    <w:p w14:paraId="7AD346E6" w14:textId="5CB4B660" w:rsidR="00AD3F79" w:rsidRPr="00B97C7A" w:rsidRDefault="00AD3F79" w:rsidP="00AD3F79">
      <w:pPr>
        <w:rPr>
          <w:rFonts w:asciiTheme="minorHAnsi" w:hAnsiTheme="minorHAnsi"/>
          <w:sz w:val="22"/>
        </w:rPr>
      </w:pPr>
      <w:r>
        <w:t xml:space="preserve">Les réglementations de l'Ontario sur les équipements électroniques et électriques (EEE) sont en vigueur à compter du 1er janvier 2021, en vertu de la loi sur le rétablissement des ressources et l'économie circulaire. NETGEAR s'acquitte de ses obligations par l'intermédiaire d'EPRA Ontario, son organisme de responsabilité des producteurs sélectionné.  Visitez le site web d'EPRA à l'adresse </w:t>
      </w:r>
      <w:hyperlink r:id="rId31" w:history="1">
        <w:r>
          <w:rPr>
            <w:rStyle w:val="Lienhypertexte"/>
          </w:rPr>
          <w:t>https://EPRAON.ca</w:t>
        </w:r>
      </w:hyperlink>
      <w:r>
        <w:t xml:space="preserve"> pour obtenir des informations sur la collecte des appareils électroniques en fin de vie et en savoir plus sur le programme.</w:t>
      </w:r>
    </w:p>
    <w:p w14:paraId="786F16B9" w14:textId="448C379F" w:rsidR="004E534D" w:rsidRPr="004E534D" w:rsidRDefault="004E534D" w:rsidP="00481C42">
      <w:pPr>
        <w:pStyle w:val="Titre2"/>
      </w:pPr>
      <w:bookmarkStart w:id="56" w:name="_Toc118886598"/>
      <w:r>
        <w:lastRenderedPageBreak/>
        <w:t>Tableau de réduction des interférences</w:t>
      </w:r>
      <w:bookmarkEnd w:id="56"/>
    </w:p>
    <w:p w14:paraId="58C7A81F" w14:textId="77777777" w:rsidR="00CF6217" w:rsidRDefault="004E534D" w:rsidP="004E534D">
      <w:pPr>
        <w:rPr>
          <w:rFonts w:cs="Arial"/>
        </w:rPr>
      </w:pPr>
      <w:r>
        <w:t>Le tableau ci-dessous indique la distance minimale recommandée (en pieds et en mètres) entre l'équipement NETGEAR et les appareils électroménagers afin de réduire les interférences.</w:t>
      </w:r>
    </w:p>
    <w:tbl>
      <w:tblPr>
        <w:tblStyle w:val="Grilledutableau"/>
        <w:tblW w:w="0" w:type="auto"/>
        <w:tblLook w:val="04A0" w:firstRow="1" w:lastRow="0" w:firstColumn="1" w:lastColumn="0" w:noHBand="0" w:noVBand="1"/>
      </w:tblPr>
      <w:tblGrid>
        <w:gridCol w:w="2628"/>
        <w:gridCol w:w="4860"/>
      </w:tblGrid>
      <w:tr w:rsidR="005F1BE8" w14:paraId="7E5F5953" w14:textId="77777777" w:rsidTr="005F1BE8">
        <w:tc>
          <w:tcPr>
            <w:tcW w:w="2628" w:type="dxa"/>
          </w:tcPr>
          <w:p w14:paraId="7E89A345" w14:textId="77777777" w:rsidR="005F1BE8" w:rsidRPr="005F1BE8" w:rsidRDefault="005F1BE8" w:rsidP="004E534D">
            <w:pPr>
              <w:rPr>
                <w:rStyle w:val="lev"/>
              </w:rPr>
            </w:pPr>
            <w:r>
              <w:rPr>
                <w:rStyle w:val="lev"/>
              </w:rPr>
              <w:t>Appareil électroménager</w:t>
            </w:r>
          </w:p>
        </w:tc>
        <w:tc>
          <w:tcPr>
            <w:tcW w:w="4860" w:type="dxa"/>
          </w:tcPr>
          <w:p w14:paraId="0149917F" w14:textId="77777777" w:rsidR="005F1BE8" w:rsidRPr="005F1BE8" w:rsidRDefault="005F1BE8" w:rsidP="004E534D">
            <w:pPr>
              <w:rPr>
                <w:rStyle w:val="lev"/>
              </w:rPr>
            </w:pPr>
            <w:r>
              <w:rPr>
                <w:rStyle w:val="lev"/>
              </w:rPr>
              <w:t>Distance minimale recommandée (en pieds et en mètres)</w:t>
            </w:r>
          </w:p>
        </w:tc>
      </w:tr>
      <w:tr w:rsidR="005F1BE8" w14:paraId="4E16B163" w14:textId="77777777" w:rsidTr="005F1BE8">
        <w:tc>
          <w:tcPr>
            <w:tcW w:w="2628" w:type="dxa"/>
          </w:tcPr>
          <w:p w14:paraId="2AF2BB18" w14:textId="77777777" w:rsidR="005F1BE8" w:rsidRDefault="005F1BE8" w:rsidP="004E534D">
            <w:pPr>
              <w:rPr>
                <w:rFonts w:cs="Arial"/>
              </w:rPr>
            </w:pPr>
            <w:r>
              <w:t>Four à micro-ondes</w:t>
            </w:r>
          </w:p>
        </w:tc>
        <w:tc>
          <w:tcPr>
            <w:tcW w:w="4860" w:type="dxa"/>
          </w:tcPr>
          <w:p w14:paraId="3D0042FD" w14:textId="77777777" w:rsidR="005F1BE8" w:rsidRDefault="005F1BE8" w:rsidP="004E534D">
            <w:pPr>
              <w:rPr>
                <w:rFonts w:cs="Arial"/>
              </w:rPr>
            </w:pPr>
            <w:r>
              <w:t>9 mètres/30 pieds</w:t>
            </w:r>
          </w:p>
        </w:tc>
      </w:tr>
      <w:tr w:rsidR="005F1BE8" w14:paraId="65ED3EE4" w14:textId="77777777" w:rsidTr="005F1BE8">
        <w:tc>
          <w:tcPr>
            <w:tcW w:w="2628" w:type="dxa"/>
          </w:tcPr>
          <w:p w14:paraId="579FF5C2" w14:textId="77777777" w:rsidR="005F1BE8" w:rsidRDefault="005F1BE8" w:rsidP="005F1BE8">
            <w:pPr>
              <w:rPr>
                <w:rFonts w:cs="Arial"/>
              </w:rPr>
            </w:pPr>
            <w:r>
              <w:t>Moniteur pour bébés - Analogique</w:t>
            </w:r>
          </w:p>
        </w:tc>
        <w:tc>
          <w:tcPr>
            <w:tcW w:w="4860" w:type="dxa"/>
          </w:tcPr>
          <w:p w14:paraId="2EA408AA" w14:textId="77777777" w:rsidR="005F1BE8" w:rsidRDefault="005F1BE8" w:rsidP="004E534D">
            <w:pPr>
              <w:rPr>
                <w:rFonts w:cs="Arial"/>
              </w:rPr>
            </w:pPr>
            <w:r>
              <w:t>6 mètres/20 pieds</w:t>
            </w:r>
          </w:p>
        </w:tc>
      </w:tr>
      <w:tr w:rsidR="005F1BE8" w14:paraId="0697B684" w14:textId="77777777" w:rsidTr="005F1BE8">
        <w:tc>
          <w:tcPr>
            <w:tcW w:w="2628" w:type="dxa"/>
          </w:tcPr>
          <w:p w14:paraId="5992A890" w14:textId="77777777" w:rsidR="005F1BE8" w:rsidRDefault="005F1BE8" w:rsidP="005F1BE8">
            <w:pPr>
              <w:rPr>
                <w:rFonts w:cs="Arial"/>
              </w:rPr>
            </w:pPr>
            <w:r>
              <w:t>Moniteur pour bébés - Numérique</w:t>
            </w:r>
          </w:p>
        </w:tc>
        <w:tc>
          <w:tcPr>
            <w:tcW w:w="4860" w:type="dxa"/>
          </w:tcPr>
          <w:p w14:paraId="6A598031" w14:textId="77777777" w:rsidR="005F1BE8" w:rsidRDefault="005F1BE8" w:rsidP="004E534D">
            <w:pPr>
              <w:rPr>
                <w:rFonts w:cs="Arial"/>
              </w:rPr>
            </w:pPr>
            <w:r>
              <w:t>12 mètres/40 pieds</w:t>
            </w:r>
          </w:p>
        </w:tc>
      </w:tr>
      <w:tr w:rsidR="005F1BE8" w14:paraId="6A7830FB" w14:textId="77777777" w:rsidTr="005F1BE8">
        <w:tc>
          <w:tcPr>
            <w:tcW w:w="2628" w:type="dxa"/>
          </w:tcPr>
          <w:p w14:paraId="054189D9" w14:textId="77777777" w:rsidR="005F1BE8" w:rsidRDefault="005F1BE8" w:rsidP="005F1BE8">
            <w:pPr>
              <w:rPr>
                <w:rFonts w:cs="Arial"/>
              </w:rPr>
            </w:pPr>
            <w:r>
              <w:t>Téléphone sans fil - Analogique</w:t>
            </w:r>
          </w:p>
        </w:tc>
        <w:tc>
          <w:tcPr>
            <w:tcW w:w="4860" w:type="dxa"/>
          </w:tcPr>
          <w:p w14:paraId="3E51FD88" w14:textId="77777777" w:rsidR="005F1BE8" w:rsidRDefault="005F1BE8" w:rsidP="004E534D">
            <w:pPr>
              <w:rPr>
                <w:rFonts w:cs="Arial"/>
              </w:rPr>
            </w:pPr>
            <w:r>
              <w:t>6 mètres/20 pieds</w:t>
            </w:r>
          </w:p>
        </w:tc>
      </w:tr>
      <w:tr w:rsidR="005F1BE8" w14:paraId="4B716B4D" w14:textId="77777777" w:rsidTr="005F1BE8">
        <w:tc>
          <w:tcPr>
            <w:tcW w:w="2628" w:type="dxa"/>
          </w:tcPr>
          <w:p w14:paraId="1FFC0093" w14:textId="77777777" w:rsidR="005F1BE8" w:rsidRDefault="005F1BE8" w:rsidP="005F1BE8">
            <w:pPr>
              <w:rPr>
                <w:rFonts w:cs="Arial"/>
              </w:rPr>
            </w:pPr>
            <w:r>
              <w:t>Téléphone sans fil - Numérique</w:t>
            </w:r>
          </w:p>
        </w:tc>
        <w:tc>
          <w:tcPr>
            <w:tcW w:w="4860" w:type="dxa"/>
          </w:tcPr>
          <w:p w14:paraId="21AED6C1" w14:textId="77777777" w:rsidR="005F1BE8" w:rsidRDefault="005F1BE8" w:rsidP="004E534D">
            <w:pPr>
              <w:rPr>
                <w:rFonts w:cs="Arial"/>
              </w:rPr>
            </w:pPr>
            <w:r>
              <w:t>9 mètres/30 pieds</w:t>
            </w:r>
          </w:p>
        </w:tc>
      </w:tr>
      <w:tr w:rsidR="005F1BE8" w14:paraId="73845CA7" w14:textId="77777777" w:rsidTr="005F1BE8">
        <w:tc>
          <w:tcPr>
            <w:tcW w:w="2628" w:type="dxa"/>
          </w:tcPr>
          <w:p w14:paraId="592E43DC" w14:textId="77777777" w:rsidR="005F1BE8" w:rsidRDefault="005F1BE8" w:rsidP="004E534D">
            <w:pPr>
              <w:rPr>
                <w:rFonts w:cs="Arial"/>
              </w:rPr>
            </w:pPr>
            <w:r>
              <w:t>Appareil Bluetooth</w:t>
            </w:r>
          </w:p>
        </w:tc>
        <w:tc>
          <w:tcPr>
            <w:tcW w:w="4860" w:type="dxa"/>
          </w:tcPr>
          <w:p w14:paraId="5EEE356C" w14:textId="77777777" w:rsidR="005F1BE8" w:rsidRDefault="005F1BE8" w:rsidP="004E534D">
            <w:pPr>
              <w:rPr>
                <w:rFonts w:cs="Arial"/>
              </w:rPr>
            </w:pPr>
            <w:r>
              <w:t>6 mètres/20 pieds</w:t>
            </w:r>
          </w:p>
        </w:tc>
      </w:tr>
      <w:tr w:rsidR="005F1BE8" w14:paraId="153DF800" w14:textId="77777777" w:rsidTr="005F1BE8">
        <w:tc>
          <w:tcPr>
            <w:tcW w:w="2628" w:type="dxa"/>
          </w:tcPr>
          <w:p w14:paraId="37E36C81" w14:textId="77777777" w:rsidR="005F1BE8" w:rsidRDefault="005F1BE8" w:rsidP="004E534D">
            <w:pPr>
              <w:rPr>
                <w:rFonts w:cs="Arial"/>
              </w:rPr>
            </w:pPr>
            <w:proofErr w:type="spellStart"/>
            <w:r>
              <w:t>ZigBee</w:t>
            </w:r>
            <w:proofErr w:type="spellEnd"/>
          </w:p>
        </w:tc>
        <w:tc>
          <w:tcPr>
            <w:tcW w:w="4860" w:type="dxa"/>
          </w:tcPr>
          <w:p w14:paraId="2AC651D4" w14:textId="77777777" w:rsidR="005F1BE8" w:rsidRDefault="005F1BE8" w:rsidP="004E534D">
            <w:pPr>
              <w:rPr>
                <w:rFonts w:cs="Arial"/>
              </w:rPr>
            </w:pPr>
            <w:r>
              <w:t>6 mètres/20 pieds</w:t>
            </w:r>
          </w:p>
        </w:tc>
      </w:tr>
    </w:tbl>
    <w:p w14:paraId="14E6D1FC" w14:textId="77777777" w:rsidR="00AE4C00" w:rsidRDefault="00AE4C00" w:rsidP="00481C42">
      <w:pPr>
        <w:pStyle w:val="Titre1"/>
      </w:pPr>
      <w:bookmarkStart w:id="57" w:name="_Toc118886599"/>
      <w:r>
        <w:t>EXIGENCES D'ETIQUETAGE DE L'EMBALLAGE DES BATTERIES LITHIUM-ION ET LITHIUM-METAL</w:t>
      </w:r>
      <w:bookmarkEnd w:id="57"/>
      <w:r>
        <w:t xml:space="preserve"> </w:t>
      </w:r>
    </w:p>
    <w:p w14:paraId="76126632" w14:textId="77777777" w:rsidR="00AE4C00" w:rsidRPr="001B46B7" w:rsidRDefault="00AE4C00" w:rsidP="003B28A1">
      <w:pPr>
        <w:rPr>
          <w:color w:val="FF0000"/>
        </w:rPr>
      </w:pPr>
      <w:bookmarkStart w:id="58" w:name="_Toc387244359"/>
      <w:r>
        <w:t xml:space="preserve">En raison de problèmes concernant les produits expédiés avec des batteries Li-Ion et Li-métal, les Nations Unies ont élaboré des directives concernant les essais, le conditionnement et l'étiquetage appropriés de ces appareils. </w:t>
      </w:r>
    </w:p>
    <w:p w14:paraId="3AE7739A" w14:textId="77777777" w:rsidR="00F750E6" w:rsidRDefault="00F750E6" w:rsidP="00481C42">
      <w:pPr>
        <w:pStyle w:val="Titre3"/>
      </w:pPr>
      <w:bookmarkStart w:id="59" w:name="_Toc118886600"/>
      <w:r>
        <w:t>Batteries Li-Ion et Li-métal</w:t>
      </w:r>
      <w:bookmarkEnd w:id="58"/>
      <w:bookmarkEnd w:id="59"/>
    </w:p>
    <w:p w14:paraId="5C4ABEAC" w14:textId="77777777" w:rsidR="00AE4C00" w:rsidRDefault="00AE4C00" w:rsidP="003B28A1">
      <w:bookmarkStart w:id="60" w:name="_Toc387244360"/>
      <w:r>
        <w:t xml:space="preserve">Les batteries Li-Ion sont généralement rechargeables, tandis que les batteries Li-métal sont généralement non rechargeables. Ces deux types de batteries peuvent présenter un danger d'incendie si elles sont endommagées ou mal conditionnées. </w:t>
      </w:r>
    </w:p>
    <w:p w14:paraId="3A81C39F" w14:textId="1A3A6C0D" w:rsidR="00906EAF" w:rsidRDefault="00906EAF" w:rsidP="00481C42">
      <w:pPr>
        <w:pStyle w:val="Titre3"/>
      </w:pPr>
      <w:bookmarkStart w:id="61" w:name="_Toc118886601"/>
      <w:r>
        <w:t>Exigences d'étiquetage pour les batteries Li-Ion et Li-métal</w:t>
      </w:r>
      <w:bookmarkEnd w:id="60"/>
      <w:bookmarkEnd w:id="61"/>
    </w:p>
    <w:p w14:paraId="1F3A7D43" w14:textId="77777777" w:rsidR="00AE4C00" w:rsidRDefault="00AE4C00" w:rsidP="00906EAF">
      <w:r>
        <w:t>Les étiquettes requises doivent être présentes sur les palettes et le carton principal accompagné d'un document tel qu'une lettre de transport ou d'autres documents indiquant ce qui suit (document guide sur les batteries au lithium 2014) :</w:t>
      </w:r>
    </w:p>
    <w:p w14:paraId="21E4264B" w14:textId="77777777" w:rsidR="00AE4C00" w:rsidRDefault="00AE4C00" w:rsidP="00AE4C00">
      <w:pPr>
        <w:pStyle w:val="Paragraphedeliste"/>
        <w:numPr>
          <w:ilvl w:val="0"/>
          <w:numId w:val="23"/>
        </w:numPr>
      </w:pPr>
      <w:r>
        <w:t>L'emballage contient des piles ou des batteries au lithium-ion ;</w:t>
      </w:r>
    </w:p>
    <w:p w14:paraId="489DD281" w14:textId="77777777" w:rsidR="00AE4C00" w:rsidRDefault="00AE4C00" w:rsidP="00AE4C00">
      <w:pPr>
        <w:pStyle w:val="Paragraphedeliste"/>
        <w:numPr>
          <w:ilvl w:val="0"/>
          <w:numId w:val="23"/>
        </w:numPr>
      </w:pPr>
      <w:r>
        <w:t>L'emballage doit être manipulé avec précaution et il existe un risque d'inflammabilité si l'emballage est endommagé</w:t>
      </w:r>
    </w:p>
    <w:p w14:paraId="69A16EBC" w14:textId="77777777" w:rsidR="00AE4C00" w:rsidRDefault="00AE4C00" w:rsidP="00AE4C00">
      <w:pPr>
        <w:pStyle w:val="Paragraphedeliste"/>
        <w:numPr>
          <w:ilvl w:val="0"/>
          <w:numId w:val="23"/>
        </w:numPr>
      </w:pPr>
      <w:r>
        <w:t>Des procédures spéciales sont à suivre en cas d'endommagement de l'emballage</w:t>
      </w:r>
    </w:p>
    <w:p w14:paraId="71221443" w14:textId="77777777" w:rsidR="00AE4C00" w:rsidRDefault="00AE4C00" w:rsidP="00AE4C00">
      <w:pPr>
        <w:pStyle w:val="Paragraphedeliste"/>
        <w:numPr>
          <w:ilvl w:val="0"/>
          <w:numId w:val="23"/>
        </w:numPr>
      </w:pPr>
      <w:r>
        <w:t>Coordonnées</w:t>
      </w:r>
    </w:p>
    <w:p w14:paraId="437032BE" w14:textId="77777777" w:rsidR="00AE4C00" w:rsidRDefault="00AE4C00" w:rsidP="00AE4C00">
      <w:r>
        <w:t>Afin de respecter la réglementation pour le transport de marchandises dangereuses de l'IATA, des étiquettes différentes s'appliquent à des valeurs de Watt-heure différentes pour les batteries Li-Ion et à des masses différentes pour les batteries Li-métal. Le calcul du Watt-heure est le suivant :</w:t>
      </w:r>
    </w:p>
    <w:p w14:paraId="42578C26" w14:textId="77777777" w:rsidR="00AE4C00" w:rsidRDefault="00AE4C00" w:rsidP="00AE4C00">
      <w:pPr>
        <w:ind w:firstLine="720"/>
      </w:pPr>
      <w:r>
        <w:t>Tension nominale x capacité nominale (Ah) = Watt-heure</w:t>
      </w:r>
    </w:p>
    <w:p w14:paraId="33A86193" w14:textId="77777777" w:rsidR="00AE4C00" w:rsidRDefault="00AE4C00" w:rsidP="00AE4C00">
      <w:r>
        <w:t>Les volts et les ampères se trouvent dans la fiche technique des batteries.</w:t>
      </w:r>
    </w:p>
    <w:p w14:paraId="5DB42116" w14:textId="77777777" w:rsidR="004217DC" w:rsidRDefault="00AE4C00" w:rsidP="00906EAF">
      <w:r>
        <w:t>Reportez-vous au tableau ci-dessous pour connaître l'étiquette appropriée à utiliser.</w:t>
      </w:r>
    </w:p>
    <w:tbl>
      <w:tblPr>
        <w:tblW w:w="10736"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3134"/>
        <w:gridCol w:w="1841"/>
        <w:gridCol w:w="3103"/>
      </w:tblGrid>
      <w:tr w:rsidR="00AE4C00" w:rsidRPr="00906EAF" w14:paraId="0749C967" w14:textId="77777777" w:rsidTr="003F20E8">
        <w:trPr>
          <w:trHeight w:val="310"/>
        </w:trPr>
        <w:tc>
          <w:tcPr>
            <w:tcW w:w="10736" w:type="dxa"/>
            <w:gridSpan w:val="4"/>
            <w:shd w:val="clear" w:color="auto" w:fill="auto"/>
            <w:noWrap/>
            <w:hideMark/>
          </w:tcPr>
          <w:p w14:paraId="62663D47" w14:textId="77777777" w:rsidR="00AE4C00" w:rsidRPr="008554B1" w:rsidRDefault="00AE4C00" w:rsidP="00AE4C00">
            <w:r>
              <w:t>Etiquettes requises pour le transport de batteries (manuel d'épreuves et de critères des Nations Unies, partie III, sous-section 38.3)</w:t>
            </w:r>
          </w:p>
        </w:tc>
      </w:tr>
      <w:tr w:rsidR="00AE4C00" w:rsidRPr="00906EAF" w14:paraId="4B2BE956" w14:textId="77777777" w:rsidTr="003F20E8">
        <w:trPr>
          <w:trHeight w:val="296"/>
        </w:trPr>
        <w:tc>
          <w:tcPr>
            <w:tcW w:w="10736" w:type="dxa"/>
            <w:gridSpan w:val="4"/>
            <w:shd w:val="clear" w:color="auto" w:fill="auto"/>
            <w:noWrap/>
            <w:hideMark/>
          </w:tcPr>
          <w:p w14:paraId="34C02A84" w14:textId="77777777" w:rsidR="00AE4C00" w:rsidRDefault="00AE4C00" w:rsidP="00AE4C00">
            <w:pPr>
              <w:jc w:val="center"/>
            </w:pPr>
            <w:r>
              <w:t>Exigences pour les étiquettes des batteries au lithium-ion</w:t>
            </w:r>
          </w:p>
        </w:tc>
      </w:tr>
      <w:tr w:rsidR="00906EAF" w:rsidRPr="00906EAF" w14:paraId="6B16ACE7" w14:textId="77777777" w:rsidTr="003F20E8">
        <w:trPr>
          <w:trHeight w:val="296"/>
        </w:trPr>
        <w:tc>
          <w:tcPr>
            <w:tcW w:w="2658" w:type="dxa"/>
            <w:shd w:val="clear" w:color="auto" w:fill="auto"/>
            <w:noWrap/>
            <w:hideMark/>
          </w:tcPr>
          <w:p w14:paraId="6EA36AD8" w14:textId="77777777" w:rsidR="00906EAF" w:rsidRPr="00906EAF" w:rsidRDefault="00906EAF" w:rsidP="00AE4C00">
            <w:pPr>
              <w:rPr>
                <w:rFonts w:cs="Arial"/>
                <w:b/>
                <w:bCs/>
                <w:color w:val="000000"/>
                <w:szCs w:val="18"/>
              </w:rPr>
            </w:pPr>
            <w:r>
              <w:rPr>
                <w:b/>
                <w:color w:val="000000"/>
              </w:rPr>
              <w:lastRenderedPageBreak/>
              <w:t>Expédition de la batterie</w:t>
            </w:r>
          </w:p>
        </w:tc>
        <w:tc>
          <w:tcPr>
            <w:tcW w:w="3134" w:type="dxa"/>
            <w:shd w:val="clear" w:color="auto" w:fill="auto"/>
            <w:noWrap/>
            <w:hideMark/>
          </w:tcPr>
          <w:p w14:paraId="0E46E22C" w14:textId="77777777" w:rsidR="00906EAF" w:rsidRPr="00906EAF" w:rsidRDefault="00906EAF" w:rsidP="00AE4C00">
            <w:pPr>
              <w:rPr>
                <w:rFonts w:cs="Arial"/>
                <w:b/>
                <w:bCs/>
                <w:color w:val="000000"/>
                <w:szCs w:val="18"/>
              </w:rPr>
            </w:pPr>
            <w:r>
              <w:rPr>
                <w:b/>
                <w:color w:val="000000"/>
              </w:rPr>
              <w:t>Wh (Watt-heure)</w:t>
            </w:r>
          </w:p>
        </w:tc>
        <w:tc>
          <w:tcPr>
            <w:tcW w:w="1841" w:type="dxa"/>
            <w:shd w:val="clear" w:color="auto" w:fill="auto"/>
            <w:noWrap/>
            <w:hideMark/>
          </w:tcPr>
          <w:p w14:paraId="505F75A5" w14:textId="77777777" w:rsidR="00906EAF" w:rsidRPr="00906EAF" w:rsidRDefault="00906EAF" w:rsidP="00AE4C00">
            <w:pPr>
              <w:rPr>
                <w:rFonts w:cs="Arial"/>
                <w:b/>
                <w:bCs/>
                <w:color w:val="000000"/>
                <w:szCs w:val="18"/>
              </w:rPr>
            </w:pPr>
            <w:r>
              <w:rPr>
                <w:b/>
                <w:color w:val="000000"/>
              </w:rPr>
              <w:t>Etiquettes</w:t>
            </w:r>
          </w:p>
        </w:tc>
        <w:tc>
          <w:tcPr>
            <w:tcW w:w="3103" w:type="dxa"/>
            <w:shd w:val="clear" w:color="auto" w:fill="auto"/>
            <w:noWrap/>
            <w:hideMark/>
          </w:tcPr>
          <w:p w14:paraId="7931159A" w14:textId="77777777" w:rsidR="00906EAF" w:rsidRPr="00906EAF" w:rsidRDefault="00906EAF" w:rsidP="00AE4C00">
            <w:pPr>
              <w:rPr>
                <w:rFonts w:cs="Arial"/>
                <w:b/>
                <w:color w:val="000000"/>
                <w:szCs w:val="18"/>
              </w:rPr>
            </w:pPr>
            <w:r>
              <w:rPr>
                <w:b/>
                <w:color w:val="000000"/>
              </w:rPr>
              <w:t>Limite de poids de la batterie/du colis</w:t>
            </w:r>
          </w:p>
        </w:tc>
      </w:tr>
      <w:tr w:rsidR="00AE4C00" w:rsidRPr="00906EAF" w14:paraId="6239F90C" w14:textId="77777777" w:rsidTr="00DE7838">
        <w:trPr>
          <w:trHeight w:val="575"/>
        </w:trPr>
        <w:tc>
          <w:tcPr>
            <w:tcW w:w="2658" w:type="dxa"/>
            <w:shd w:val="clear" w:color="auto" w:fill="auto"/>
            <w:noWrap/>
            <w:hideMark/>
          </w:tcPr>
          <w:p w14:paraId="5FF412C7" w14:textId="77777777" w:rsidR="00AE4C00" w:rsidRPr="004B037D" w:rsidRDefault="00AE4C00" w:rsidP="00AE4C00">
            <w:r>
              <w:t>Contenu dans l'équipement (installé dans l'équipement)</w:t>
            </w:r>
          </w:p>
        </w:tc>
        <w:tc>
          <w:tcPr>
            <w:tcW w:w="3134" w:type="dxa"/>
            <w:shd w:val="clear" w:color="auto" w:fill="auto"/>
            <w:noWrap/>
            <w:hideMark/>
          </w:tcPr>
          <w:p w14:paraId="318135AF" w14:textId="77777777" w:rsidR="00AE4C00" w:rsidRPr="00D172DD" w:rsidRDefault="00DE7838" w:rsidP="00AE4C00">
            <w:r>
              <w:t>Inférieur ou égal à 100 Wh</w:t>
            </w:r>
          </w:p>
        </w:tc>
        <w:tc>
          <w:tcPr>
            <w:tcW w:w="1841" w:type="dxa"/>
            <w:shd w:val="clear" w:color="auto" w:fill="auto"/>
            <w:noWrap/>
            <w:hideMark/>
          </w:tcPr>
          <w:p w14:paraId="44F548CD" w14:textId="77777777" w:rsidR="00AE4C00" w:rsidRPr="005620DB" w:rsidRDefault="00DE7838" w:rsidP="00AE4C00">
            <w:r>
              <w:t>Figure 12 ou 13</w:t>
            </w:r>
          </w:p>
        </w:tc>
        <w:tc>
          <w:tcPr>
            <w:tcW w:w="3103" w:type="dxa"/>
            <w:shd w:val="clear" w:color="auto" w:fill="auto"/>
            <w:hideMark/>
          </w:tcPr>
          <w:p w14:paraId="10F6AC3A" w14:textId="77777777" w:rsidR="00AE4C00" w:rsidRPr="00906EAF" w:rsidRDefault="00816D3E" w:rsidP="00AE4C00">
            <w:pPr>
              <w:rPr>
                <w:rFonts w:cs="Arial"/>
                <w:color w:val="000000"/>
                <w:szCs w:val="18"/>
              </w:rPr>
            </w:pPr>
            <w:r>
              <w:rPr>
                <w:color w:val="000000"/>
              </w:rPr>
              <w:t>PAX = 5 kg</w:t>
            </w:r>
            <w:r>
              <w:rPr>
                <w:color w:val="000000"/>
              </w:rPr>
              <w:br/>
              <w:t>CAO = 5 kg</w:t>
            </w:r>
          </w:p>
        </w:tc>
      </w:tr>
      <w:tr w:rsidR="00AE4C00" w:rsidRPr="00906EAF" w14:paraId="103BF945" w14:textId="77777777" w:rsidTr="003F20E8">
        <w:trPr>
          <w:trHeight w:val="1259"/>
        </w:trPr>
        <w:tc>
          <w:tcPr>
            <w:tcW w:w="2658" w:type="dxa"/>
            <w:shd w:val="clear" w:color="auto" w:fill="auto"/>
            <w:noWrap/>
            <w:hideMark/>
          </w:tcPr>
          <w:p w14:paraId="6514223D" w14:textId="77777777" w:rsidR="00AE4C00" w:rsidRPr="004B037D" w:rsidRDefault="00AE4C00" w:rsidP="00AE4C00">
            <w:r>
              <w:t>Seul</w:t>
            </w:r>
          </w:p>
          <w:p w14:paraId="5072790B" w14:textId="77777777" w:rsidR="00AE4C00" w:rsidRPr="004B037D" w:rsidRDefault="00AE4C00" w:rsidP="00AE4C00"/>
        </w:tc>
        <w:tc>
          <w:tcPr>
            <w:tcW w:w="3134" w:type="dxa"/>
            <w:shd w:val="clear" w:color="auto" w:fill="auto"/>
            <w:noWrap/>
          </w:tcPr>
          <w:p w14:paraId="529A70A3" w14:textId="77777777" w:rsidR="00AE4C00" w:rsidRPr="00D172DD" w:rsidRDefault="00AE4C00" w:rsidP="00AE4C00">
            <w:r>
              <w:t>Inférieur ou égal à 100 Wh</w:t>
            </w:r>
          </w:p>
          <w:p w14:paraId="09E00EA9" w14:textId="77777777" w:rsidR="00AE4C00" w:rsidRPr="00D172DD" w:rsidRDefault="00AE4C00" w:rsidP="00AE4C00"/>
        </w:tc>
        <w:tc>
          <w:tcPr>
            <w:tcW w:w="1841" w:type="dxa"/>
            <w:shd w:val="clear" w:color="auto" w:fill="auto"/>
            <w:noWrap/>
            <w:hideMark/>
          </w:tcPr>
          <w:p w14:paraId="739F1D04" w14:textId="77777777" w:rsidR="00AE4C00" w:rsidRPr="005620DB" w:rsidRDefault="00AE4C00" w:rsidP="00AE4C00">
            <w:r>
              <w:t>Figure 12 ou 13</w:t>
            </w:r>
          </w:p>
          <w:p w14:paraId="3A29286D" w14:textId="77777777" w:rsidR="00AE4C00" w:rsidRPr="005620DB" w:rsidRDefault="00AE4C00" w:rsidP="00AE4C00"/>
        </w:tc>
        <w:tc>
          <w:tcPr>
            <w:tcW w:w="3103" w:type="dxa"/>
            <w:shd w:val="clear" w:color="auto" w:fill="auto"/>
            <w:hideMark/>
          </w:tcPr>
          <w:p w14:paraId="5800AEBE" w14:textId="77777777" w:rsidR="00AE4C00" w:rsidRPr="00AE4C00" w:rsidRDefault="00AE4C00" w:rsidP="00AE4C00">
            <w:pPr>
              <w:rPr>
                <w:rFonts w:cs="Arial"/>
                <w:color w:val="000000"/>
                <w:szCs w:val="18"/>
              </w:rPr>
            </w:pPr>
            <w:r>
              <w:rPr>
                <w:color w:val="000000"/>
              </w:rPr>
              <w:t>Inférieur ou égal à 2,7 Wh = 2,5 kg</w:t>
            </w:r>
          </w:p>
          <w:p w14:paraId="2D3CA45D" w14:textId="77777777" w:rsidR="00AE4C00" w:rsidRPr="00AE4C00" w:rsidRDefault="00AE4C00" w:rsidP="00AE4C00">
            <w:pPr>
              <w:rPr>
                <w:rFonts w:cs="Arial"/>
                <w:color w:val="000000"/>
                <w:szCs w:val="18"/>
              </w:rPr>
            </w:pPr>
            <w:proofErr w:type="gramStart"/>
            <w:r>
              <w:rPr>
                <w:color w:val="000000"/>
              </w:rPr>
              <w:t>OU</w:t>
            </w:r>
            <w:proofErr w:type="gramEnd"/>
          </w:p>
          <w:p w14:paraId="0A7A487F" w14:textId="77777777" w:rsidR="00AE4C00" w:rsidRPr="00906EAF" w:rsidRDefault="00AE4C00" w:rsidP="00AE4C00">
            <w:pPr>
              <w:rPr>
                <w:rFonts w:cs="Arial"/>
                <w:color w:val="000000"/>
                <w:szCs w:val="18"/>
              </w:rPr>
            </w:pPr>
            <w:r>
              <w:rPr>
                <w:color w:val="000000"/>
              </w:rPr>
              <w:t>Supérieur à 2,7 Wh mais inférieur ou égal à 100 Wh = 2 batteries</w:t>
            </w:r>
          </w:p>
        </w:tc>
      </w:tr>
      <w:tr w:rsidR="00AE4C00" w:rsidRPr="00906EAF" w14:paraId="3999BF4B" w14:textId="77777777" w:rsidTr="003F20E8">
        <w:trPr>
          <w:trHeight w:val="800"/>
        </w:trPr>
        <w:tc>
          <w:tcPr>
            <w:tcW w:w="2658" w:type="dxa"/>
            <w:shd w:val="clear" w:color="auto" w:fill="auto"/>
            <w:noWrap/>
            <w:hideMark/>
          </w:tcPr>
          <w:p w14:paraId="67D68A54" w14:textId="77777777" w:rsidR="00AE4C00" w:rsidRPr="004B037D" w:rsidRDefault="00AE4C00" w:rsidP="00AE4C00">
            <w:r>
              <w:t>Conditionné séparément avec l'équipement (non installé dans l'équipement)</w:t>
            </w:r>
          </w:p>
        </w:tc>
        <w:tc>
          <w:tcPr>
            <w:tcW w:w="3134" w:type="dxa"/>
            <w:shd w:val="clear" w:color="auto" w:fill="auto"/>
            <w:noWrap/>
            <w:hideMark/>
          </w:tcPr>
          <w:p w14:paraId="2C85B68C" w14:textId="77777777" w:rsidR="00AE4C00" w:rsidRPr="00D172DD" w:rsidRDefault="00AE4C00" w:rsidP="00AE4C00">
            <w:r>
              <w:t>Inférieur ou égal à 100 Wh</w:t>
            </w:r>
          </w:p>
        </w:tc>
        <w:tc>
          <w:tcPr>
            <w:tcW w:w="1841" w:type="dxa"/>
            <w:shd w:val="clear" w:color="auto" w:fill="auto"/>
            <w:noWrap/>
            <w:hideMark/>
          </w:tcPr>
          <w:p w14:paraId="20B8E045" w14:textId="77777777" w:rsidR="00AE4C00" w:rsidRPr="005620DB" w:rsidRDefault="00AE4C00" w:rsidP="00AE4C00">
            <w:r>
              <w:t>Figure 12 ou 13</w:t>
            </w:r>
          </w:p>
          <w:p w14:paraId="6F806E83" w14:textId="77777777" w:rsidR="00AE4C00" w:rsidRPr="005620DB" w:rsidRDefault="00AE4C00" w:rsidP="00AE4C00"/>
        </w:tc>
        <w:tc>
          <w:tcPr>
            <w:tcW w:w="3103" w:type="dxa"/>
            <w:shd w:val="clear" w:color="auto" w:fill="auto"/>
            <w:hideMark/>
          </w:tcPr>
          <w:p w14:paraId="2D1C8151" w14:textId="77777777" w:rsidR="00AE4C00" w:rsidRPr="00906EAF" w:rsidRDefault="00816D3E" w:rsidP="00AE4C00">
            <w:pPr>
              <w:rPr>
                <w:rFonts w:cs="Arial"/>
                <w:color w:val="000000"/>
                <w:szCs w:val="18"/>
              </w:rPr>
            </w:pPr>
            <w:r>
              <w:rPr>
                <w:color w:val="000000"/>
              </w:rPr>
              <w:t>PAX = 5 kg</w:t>
            </w:r>
            <w:r>
              <w:rPr>
                <w:color w:val="000000"/>
              </w:rPr>
              <w:br/>
              <w:t>CAO = 5 kg</w:t>
            </w:r>
          </w:p>
        </w:tc>
      </w:tr>
      <w:tr w:rsidR="00906EAF" w:rsidRPr="00DE7838" w14:paraId="3F7C37A0" w14:textId="77777777" w:rsidTr="003F20E8">
        <w:trPr>
          <w:trHeight w:val="296"/>
        </w:trPr>
        <w:tc>
          <w:tcPr>
            <w:tcW w:w="10736" w:type="dxa"/>
            <w:gridSpan w:val="4"/>
            <w:shd w:val="clear" w:color="auto" w:fill="auto"/>
            <w:noWrap/>
            <w:hideMark/>
          </w:tcPr>
          <w:p w14:paraId="5A4C62EE" w14:textId="77777777" w:rsidR="00906EAF" w:rsidRPr="00DE7838" w:rsidRDefault="00906EAF" w:rsidP="00906EAF">
            <w:pPr>
              <w:jc w:val="center"/>
              <w:rPr>
                <w:rFonts w:cs="Arial"/>
                <w:bCs/>
                <w:color w:val="000000"/>
                <w:szCs w:val="18"/>
              </w:rPr>
            </w:pPr>
            <w:r>
              <w:rPr>
                <w:color w:val="000000"/>
              </w:rPr>
              <w:t>Exigences pour les étiquettes des batteries Li-métal</w:t>
            </w:r>
          </w:p>
        </w:tc>
      </w:tr>
      <w:tr w:rsidR="00906EAF" w:rsidRPr="00906EAF" w14:paraId="05DEE4BF" w14:textId="77777777" w:rsidTr="003F20E8">
        <w:trPr>
          <w:trHeight w:val="296"/>
        </w:trPr>
        <w:tc>
          <w:tcPr>
            <w:tcW w:w="2658" w:type="dxa"/>
            <w:shd w:val="clear" w:color="auto" w:fill="auto"/>
            <w:noWrap/>
            <w:hideMark/>
          </w:tcPr>
          <w:p w14:paraId="1B6ED5EF" w14:textId="77777777" w:rsidR="00906EAF" w:rsidRPr="00906EAF" w:rsidRDefault="00906EAF" w:rsidP="00816D3E">
            <w:pPr>
              <w:rPr>
                <w:rFonts w:cs="Arial"/>
                <w:b/>
                <w:bCs/>
                <w:color w:val="000000"/>
                <w:szCs w:val="18"/>
              </w:rPr>
            </w:pPr>
            <w:r>
              <w:rPr>
                <w:b/>
                <w:color w:val="000000"/>
              </w:rPr>
              <w:t>Expédition de la batterie</w:t>
            </w:r>
          </w:p>
        </w:tc>
        <w:tc>
          <w:tcPr>
            <w:tcW w:w="3134" w:type="dxa"/>
            <w:shd w:val="clear" w:color="auto" w:fill="auto"/>
            <w:noWrap/>
            <w:hideMark/>
          </w:tcPr>
          <w:p w14:paraId="0611FF61" w14:textId="77777777" w:rsidR="00906EAF" w:rsidRPr="00906EAF" w:rsidRDefault="00816D3E" w:rsidP="00816D3E">
            <w:pPr>
              <w:rPr>
                <w:rFonts w:cs="Arial"/>
                <w:b/>
                <w:bCs/>
                <w:color w:val="000000"/>
                <w:szCs w:val="18"/>
              </w:rPr>
            </w:pPr>
            <w:r>
              <w:rPr>
                <w:b/>
                <w:color w:val="000000"/>
              </w:rPr>
              <w:t>Masse de lithium métal de la batterie</w:t>
            </w:r>
          </w:p>
        </w:tc>
        <w:tc>
          <w:tcPr>
            <w:tcW w:w="1841" w:type="dxa"/>
            <w:shd w:val="clear" w:color="auto" w:fill="auto"/>
            <w:noWrap/>
            <w:hideMark/>
          </w:tcPr>
          <w:p w14:paraId="7B7EDFA3" w14:textId="77777777" w:rsidR="00906EAF" w:rsidRPr="00906EAF" w:rsidRDefault="00906EAF" w:rsidP="00816D3E">
            <w:pPr>
              <w:rPr>
                <w:rFonts w:cs="Arial"/>
                <w:b/>
                <w:bCs/>
                <w:color w:val="000000"/>
                <w:szCs w:val="18"/>
              </w:rPr>
            </w:pPr>
            <w:r>
              <w:rPr>
                <w:b/>
                <w:color w:val="000000"/>
              </w:rPr>
              <w:t>Etiquettes</w:t>
            </w:r>
          </w:p>
        </w:tc>
        <w:tc>
          <w:tcPr>
            <w:tcW w:w="3103" w:type="dxa"/>
            <w:shd w:val="clear" w:color="auto" w:fill="auto"/>
            <w:noWrap/>
            <w:hideMark/>
          </w:tcPr>
          <w:p w14:paraId="4D566148" w14:textId="77777777" w:rsidR="00906EAF" w:rsidRPr="00906EAF" w:rsidRDefault="00906EAF" w:rsidP="00816D3E">
            <w:pPr>
              <w:rPr>
                <w:rFonts w:cs="Arial"/>
                <w:color w:val="000000"/>
                <w:szCs w:val="18"/>
              </w:rPr>
            </w:pPr>
            <w:r>
              <w:rPr>
                <w:b/>
                <w:color w:val="000000"/>
              </w:rPr>
              <w:t>Limite de poids de la batterie/du colis</w:t>
            </w:r>
          </w:p>
        </w:tc>
      </w:tr>
      <w:tr w:rsidR="00816D3E" w:rsidRPr="00906EAF" w14:paraId="4A389667" w14:textId="77777777" w:rsidTr="003F20E8">
        <w:trPr>
          <w:trHeight w:val="557"/>
        </w:trPr>
        <w:tc>
          <w:tcPr>
            <w:tcW w:w="2658" w:type="dxa"/>
            <w:shd w:val="clear" w:color="auto" w:fill="auto"/>
            <w:noWrap/>
            <w:hideMark/>
          </w:tcPr>
          <w:p w14:paraId="52FA21D7" w14:textId="77777777" w:rsidR="00816D3E" w:rsidRPr="00906EAF" w:rsidRDefault="00816D3E" w:rsidP="00816D3E">
            <w:pPr>
              <w:rPr>
                <w:rFonts w:cs="Arial"/>
                <w:color w:val="000000"/>
                <w:szCs w:val="18"/>
              </w:rPr>
            </w:pPr>
            <w:r>
              <w:rPr>
                <w:color w:val="000000"/>
              </w:rPr>
              <w:t>Contenu dans l'équipement (installé dans l'équipement)</w:t>
            </w:r>
          </w:p>
        </w:tc>
        <w:tc>
          <w:tcPr>
            <w:tcW w:w="3134" w:type="dxa"/>
            <w:shd w:val="clear" w:color="auto" w:fill="auto"/>
            <w:noWrap/>
            <w:hideMark/>
          </w:tcPr>
          <w:p w14:paraId="60F1269F" w14:textId="77777777" w:rsidR="00816D3E" w:rsidRPr="00522633" w:rsidRDefault="00816D3E" w:rsidP="00816D3E">
            <w:r>
              <w:t>Inférieur ou égal à 2 g</w:t>
            </w:r>
          </w:p>
        </w:tc>
        <w:tc>
          <w:tcPr>
            <w:tcW w:w="1841" w:type="dxa"/>
            <w:shd w:val="clear" w:color="auto" w:fill="auto"/>
            <w:noWrap/>
          </w:tcPr>
          <w:p w14:paraId="1E6382B9" w14:textId="77777777" w:rsidR="00816D3E" w:rsidRPr="00906EAF" w:rsidRDefault="00816D3E" w:rsidP="00816D3E">
            <w:pPr>
              <w:rPr>
                <w:rFonts w:cs="Arial"/>
                <w:color w:val="000000"/>
                <w:szCs w:val="18"/>
              </w:rPr>
            </w:pPr>
            <w:r>
              <w:rPr>
                <w:color w:val="000000"/>
              </w:rPr>
              <w:t>Figure 12 ou 13</w:t>
            </w:r>
          </w:p>
        </w:tc>
        <w:tc>
          <w:tcPr>
            <w:tcW w:w="3103" w:type="dxa"/>
            <w:shd w:val="clear" w:color="auto" w:fill="auto"/>
            <w:hideMark/>
          </w:tcPr>
          <w:p w14:paraId="6A9AA854" w14:textId="77777777" w:rsidR="00816D3E" w:rsidRPr="00906EAF" w:rsidRDefault="00816D3E" w:rsidP="00906EAF">
            <w:pPr>
              <w:jc w:val="center"/>
              <w:rPr>
                <w:rFonts w:cs="Arial"/>
                <w:color w:val="000000"/>
                <w:szCs w:val="18"/>
              </w:rPr>
            </w:pPr>
            <w:r>
              <w:rPr>
                <w:color w:val="000000"/>
              </w:rPr>
              <w:t>PAX = 5 kg</w:t>
            </w:r>
            <w:r>
              <w:rPr>
                <w:color w:val="000000"/>
              </w:rPr>
              <w:br/>
              <w:t>CAO = 5 kg</w:t>
            </w:r>
          </w:p>
        </w:tc>
      </w:tr>
      <w:tr w:rsidR="00DE7838" w:rsidRPr="00906EAF" w14:paraId="399BD684" w14:textId="77777777" w:rsidTr="00D92B98">
        <w:trPr>
          <w:trHeight w:val="296"/>
        </w:trPr>
        <w:tc>
          <w:tcPr>
            <w:tcW w:w="2658" w:type="dxa"/>
            <w:shd w:val="clear" w:color="auto" w:fill="auto"/>
            <w:noWrap/>
            <w:hideMark/>
          </w:tcPr>
          <w:p w14:paraId="77EEB8DE" w14:textId="77777777" w:rsidR="00DE7838" w:rsidRPr="00906EAF" w:rsidRDefault="00DE7838" w:rsidP="00D92B98">
            <w:pPr>
              <w:rPr>
                <w:rFonts w:cs="Arial"/>
                <w:b/>
                <w:bCs/>
                <w:color w:val="000000"/>
                <w:szCs w:val="18"/>
              </w:rPr>
            </w:pPr>
            <w:r>
              <w:rPr>
                <w:b/>
                <w:color w:val="000000"/>
              </w:rPr>
              <w:t>Expédition de la batterie</w:t>
            </w:r>
          </w:p>
        </w:tc>
        <w:tc>
          <w:tcPr>
            <w:tcW w:w="3134" w:type="dxa"/>
            <w:shd w:val="clear" w:color="auto" w:fill="auto"/>
            <w:noWrap/>
            <w:hideMark/>
          </w:tcPr>
          <w:p w14:paraId="1C37197B" w14:textId="77777777" w:rsidR="00DE7838" w:rsidRPr="00906EAF" w:rsidRDefault="00DE7838" w:rsidP="00D92B98">
            <w:pPr>
              <w:rPr>
                <w:rFonts w:cs="Arial"/>
                <w:b/>
                <w:bCs/>
                <w:color w:val="000000"/>
                <w:szCs w:val="18"/>
              </w:rPr>
            </w:pPr>
            <w:r>
              <w:rPr>
                <w:b/>
                <w:color w:val="000000"/>
              </w:rPr>
              <w:t>Masse de lithium métal de la batterie</w:t>
            </w:r>
          </w:p>
        </w:tc>
        <w:tc>
          <w:tcPr>
            <w:tcW w:w="1841" w:type="dxa"/>
            <w:shd w:val="clear" w:color="auto" w:fill="auto"/>
            <w:noWrap/>
            <w:hideMark/>
          </w:tcPr>
          <w:p w14:paraId="08D94ED7" w14:textId="77777777" w:rsidR="00DE7838" w:rsidRPr="00906EAF" w:rsidRDefault="00DE7838" w:rsidP="00D92B98">
            <w:pPr>
              <w:rPr>
                <w:rFonts w:cs="Arial"/>
                <w:b/>
                <w:bCs/>
                <w:color w:val="000000"/>
                <w:szCs w:val="18"/>
              </w:rPr>
            </w:pPr>
            <w:r>
              <w:rPr>
                <w:b/>
                <w:color w:val="000000"/>
              </w:rPr>
              <w:t>Etiquettes</w:t>
            </w:r>
          </w:p>
        </w:tc>
        <w:tc>
          <w:tcPr>
            <w:tcW w:w="3103" w:type="dxa"/>
            <w:shd w:val="clear" w:color="auto" w:fill="auto"/>
            <w:noWrap/>
            <w:hideMark/>
          </w:tcPr>
          <w:p w14:paraId="13B248B4" w14:textId="77777777" w:rsidR="00DE7838" w:rsidRPr="00906EAF" w:rsidRDefault="00DE7838" w:rsidP="00D92B98">
            <w:pPr>
              <w:rPr>
                <w:rFonts w:cs="Arial"/>
                <w:color w:val="000000"/>
                <w:szCs w:val="18"/>
              </w:rPr>
            </w:pPr>
            <w:r>
              <w:rPr>
                <w:b/>
                <w:color w:val="000000"/>
              </w:rPr>
              <w:t>Limite de poids de la batterie/du colis</w:t>
            </w:r>
          </w:p>
        </w:tc>
      </w:tr>
      <w:tr w:rsidR="00816D3E" w:rsidRPr="00906EAF" w14:paraId="1AC201ED" w14:textId="77777777" w:rsidTr="003F20E8">
        <w:trPr>
          <w:trHeight w:val="1430"/>
        </w:trPr>
        <w:tc>
          <w:tcPr>
            <w:tcW w:w="2658" w:type="dxa"/>
            <w:shd w:val="clear" w:color="auto" w:fill="auto"/>
            <w:noWrap/>
            <w:hideMark/>
          </w:tcPr>
          <w:p w14:paraId="2A81577A" w14:textId="77777777" w:rsidR="00816D3E" w:rsidRPr="00906EAF" w:rsidRDefault="00816D3E" w:rsidP="00816D3E">
            <w:pPr>
              <w:rPr>
                <w:rFonts w:cs="Arial"/>
                <w:color w:val="000000"/>
                <w:szCs w:val="18"/>
              </w:rPr>
            </w:pPr>
            <w:r>
              <w:rPr>
                <w:color w:val="000000"/>
              </w:rPr>
              <w:t>Seul</w:t>
            </w:r>
          </w:p>
        </w:tc>
        <w:tc>
          <w:tcPr>
            <w:tcW w:w="3134" w:type="dxa"/>
            <w:shd w:val="clear" w:color="auto" w:fill="auto"/>
            <w:noWrap/>
          </w:tcPr>
          <w:p w14:paraId="3F05AEC6" w14:textId="77777777" w:rsidR="00816D3E" w:rsidRPr="00522633" w:rsidRDefault="00816D3E" w:rsidP="00A5425C">
            <w:r>
              <w:t>Inférieur ou égal à 2 g</w:t>
            </w:r>
          </w:p>
        </w:tc>
        <w:tc>
          <w:tcPr>
            <w:tcW w:w="1841" w:type="dxa"/>
            <w:shd w:val="clear" w:color="auto" w:fill="auto"/>
            <w:noWrap/>
          </w:tcPr>
          <w:p w14:paraId="580EB865" w14:textId="77777777" w:rsidR="00816D3E" w:rsidRPr="00906EAF" w:rsidRDefault="00816D3E" w:rsidP="00816D3E">
            <w:pPr>
              <w:rPr>
                <w:rFonts w:cs="Arial"/>
                <w:color w:val="000000"/>
                <w:szCs w:val="18"/>
              </w:rPr>
            </w:pPr>
            <w:r>
              <w:rPr>
                <w:color w:val="000000"/>
              </w:rPr>
              <w:t>Figure 12 ou 13</w:t>
            </w:r>
          </w:p>
        </w:tc>
        <w:tc>
          <w:tcPr>
            <w:tcW w:w="3103" w:type="dxa"/>
            <w:shd w:val="clear" w:color="auto" w:fill="auto"/>
          </w:tcPr>
          <w:p w14:paraId="47C4EC0F" w14:textId="77777777" w:rsidR="00816D3E" w:rsidRPr="00816D3E" w:rsidRDefault="00816D3E" w:rsidP="00816D3E">
            <w:pPr>
              <w:rPr>
                <w:rFonts w:cs="Arial"/>
                <w:color w:val="000000"/>
                <w:szCs w:val="18"/>
              </w:rPr>
            </w:pPr>
            <w:r>
              <w:rPr>
                <w:color w:val="000000"/>
              </w:rPr>
              <w:t>Inférieur ou égal à 0,3 g = 2,5 kg</w:t>
            </w:r>
          </w:p>
          <w:p w14:paraId="68A0CE78" w14:textId="77777777" w:rsidR="00816D3E" w:rsidRPr="00816D3E" w:rsidRDefault="00816D3E" w:rsidP="00816D3E">
            <w:pPr>
              <w:rPr>
                <w:rFonts w:cs="Arial"/>
                <w:color w:val="000000"/>
                <w:szCs w:val="18"/>
              </w:rPr>
            </w:pPr>
            <w:proofErr w:type="gramStart"/>
            <w:r>
              <w:rPr>
                <w:color w:val="000000"/>
              </w:rPr>
              <w:t>OU</w:t>
            </w:r>
            <w:proofErr w:type="gramEnd"/>
          </w:p>
          <w:p w14:paraId="7C1DB552" w14:textId="77777777" w:rsidR="00816D3E" w:rsidRPr="00906EAF" w:rsidRDefault="00816D3E" w:rsidP="00816D3E">
            <w:pPr>
              <w:rPr>
                <w:rFonts w:cs="Arial"/>
                <w:color w:val="000000"/>
                <w:szCs w:val="18"/>
              </w:rPr>
            </w:pPr>
            <w:r>
              <w:rPr>
                <w:color w:val="000000"/>
              </w:rPr>
              <w:t>Supérieur à 0,3 g mais inférieur ou égal à 2 g = 2 batteries</w:t>
            </w:r>
          </w:p>
        </w:tc>
      </w:tr>
      <w:tr w:rsidR="00816D3E" w:rsidRPr="00906EAF" w14:paraId="6EA2B936" w14:textId="77777777" w:rsidTr="003F20E8">
        <w:trPr>
          <w:trHeight w:val="710"/>
        </w:trPr>
        <w:tc>
          <w:tcPr>
            <w:tcW w:w="2658" w:type="dxa"/>
            <w:shd w:val="clear" w:color="auto" w:fill="auto"/>
            <w:noWrap/>
            <w:hideMark/>
          </w:tcPr>
          <w:p w14:paraId="1FD0B3BF" w14:textId="77777777" w:rsidR="00816D3E" w:rsidRPr="00906EAF" w:rsidRDefault="00816D3E" w:rsidP="00816D3E">
            <w:pPr>
              <w:rPr>
                <w:rFonts w:cs="Arial"/>
                <w:color w:val="000000"/>
                <w:szCs w:val="18"/>
              </w:rPr>
            </w:pPr>
            <w:bookmarkStart w:id="62" w:name="_Hlk54192298"/>
            <w:r>
              <w:rPr>
                <w:color w:val="000000"/>
              </w:rPr>
              <w:t>Conditionné séparément avec l'équipement (non installé dans l'équipement)</w:t>
            </w:r>
          </w:p>
        </w:tc>
        <w:tc>
          <w:tcPr>
            <w:tcW w:w="3134" w:type="dxa"/>
            <w:shd w:val="clear" w:color="auto" w:fill="auto"/>
            <w:noWrap/>
          </w:tcPr>
          <w:p w14:paraId="248C6747" w14:textId="77777777" w:rsidR="00816D3E" w:rsidRPr="00522633" w:rsidRDefault="00816D3E" w:rsidP="00A5425C">
            <w:r>
              <w:t>Inférieur ou égal à 2 g</w:t>
            </w:r>
          </w:p>
        </w:tc>
        <w:tc>
          <w:tcPr>
            <w:tcW w:w="1841" w:type="dxa"/>
            <w:shd w:val="clear" w:color="auto" w:fill="auto"/>
            <w:noWrap/>
          </w:tcPr>
          <w:p w14:paraId="3962CDCF" w14:textId="77777777" w:rsidR="00816D3E" w:rsidRPr="00906EAF" w:rsidRDefault="00816D3E" w:rsidP="00816D3E">
            <w:pPr>
              <w:rPr>
                <w:rFonts w:cs="Arial"/>
                <w:color w:val="000000"/>
                <w:szCs w:val="18"/>
              </w:rPr>
            </w:pPr>
            <w:r>
              <w:rPr>
                <w:color w:val="000000"/>
              </w:rPr>
              <w:t>Figure 12 ou 13</w:t>
            </w:r>
          </w:p>
        </w:tc>
        <w:tc>
          <w:tcPr>
            <w:tcW w:w="3103" w:type="dxa"/>
            <w:shd w:val="clear" w:color="auto" w:fill="auto"/>
          </w:tcPr>
          <w:p w14:paraId="1E7E4ED3" w14:textId="77777777" w:rsidR="00816D3E" w:rsidRPr="00906EAF" w:rsidRDefault="00816D3E" w:rsidP="00906EAF">
            <w:pPr>
              <w:jc w:val="center"/>
              <w:rPr>
                <w:rFonts w:cs="Arial"/>
                <w:color w:val="000000"/>
                <w:szCs w:val="18"/>
              </w:rPr>
            </w:pPr>
            <w:r>
              <w:rPr>
                <w:color w:val="000000"/>
              </w:rPr>
              <w:t>PAX = 5 kg</w:t>
            </w:r>
            <w:r>
              <w:rPr>
                <w:color w:val="000000"/>
              </w:rPr>
              <w:br/>
              <w:t>CAO = 5 kg</w:t>
            </w:r>
          </w:p>
        </w:tc>
      </w:tr>
    </w:tbl>
    <w:p w14:paraId="73A82E2C" w14:textId="77777777" w:rsidR="00F750E6" w:rsidRDefault="00F750E6" w:rsidP="004A7BFA">
      <w:pPr>
        <w:rPr>
          <w:rFonts w:cs="Arial"/>
        </w:rPr>
      </w:pPr>
    </w:p>
    <w:p w14:paraId="16003B02" w14:textId="77777777" w:rsidR="00906EAF" w:rsidRDefault="00816D3E" w:rsidP="004A7BFA">
      <w:pPr>
        <w:rPr>
          <w:rFonts w:cs="Arial"/>
        </w:rPr>
      </w:pPr>
      <w:r>
        <w:t>Si la batterie au lithium-ion est supérieure à 100 Wh et que la batterie au lithium-métal dépasse les 2 g, veuillez consulter un ingénieur de conformité environnementale pour connaître l'étiquette appropriée à utiliser.</w:t>
      </w:r>
    </w:p>
    <w:p w14:paraId="21E47A4B" w14:textId="59904A9A" w:rsidR="00816D3E" w:rsidRDefault="005F5119" w:rsidP="004A7BFA">
      <w:pPr>
        <w:rPr>
          <w:rFonts w:cs="Arial"/>
        </w:rPr>
      </w:pPr>
      <w:r>
        <w:t xml:space="preserve">Figure 12 : Exigences relatives au contenu des étiquettes pour l'expédition des batteries : </w:t>
      </w:r>
    </w:p>
    <w:p w14:paraId="55345C6C" w14:textId="77777777" w:rsidR="00906EAF" w:rsidRDefault="00906EAF" w:rsidP="00816D3E">
      <w:pPr>
        <w:jc w:val="center"/>
        <w:rPr>
          <w:rFonts w:cs="Arial"/>
        </w:rPr>
      </w:pPr>
      <w:r>
        <w:rPr>
          <w:noProof/>
        </w:rPr>
        <w:lastRenderedPageBreak/>
        <w:drawing>
          <wp:inline distT="0" distB="0" distL="0" distR="0" wp14:anchorId="32C11796" wp14:editId="34B29748">
            <wp:extent cx="2375095" cy="2073275"/>
            <wp:effectExtent l="0" t="0" r="635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2532" cy="2079767"/>
                    </a:xfrm>
                    <a:prstGeom prst="rect">
                      <a:avLst/>
                    </a:prstGeom>
                    <a:noFill/>
                    <a:ln>
                      <a:noFill/>
                    </a:ln>
                  </pic:spPr>
                </pic:pic>
              </a:graphicData>
            </a:graphic>
          </wp:inline>
        </w:drawing>
      </w:r>
    </w:p>
    <w:p w14:paraId="54CA7885" w14:textId="70A4BE65" w:rsidR="00816D3E" w:rsidRDefault="005F5119" w:rsidP="00716A11">
      <w:r>
        <w:t xml:space="preserve">Figure 13 : Contenu de l'étiquette pour l'expédition de petits colis pour les batteries : </w:t>
      </w:r>
    </w:p>
    <w:p w14:paraId="767E659F" w14:textId="77777777" w:rsidR="00816D3E" w:rsidRDefault="00816D3E" w:rsidP="00816D3E">
      <w:pPr>
        <w:jc w:val="center"/>
      </w:pPr>
      <w:r>
        <w:rPr>
          <w:noProof/>
        </w:rPr>
        <w:drawing>
          <wp:inline distT="0" distB="0" distL="0" distR="0" wp14:anchorId="42626B11" wp14:editId="54B230B5">
            <wp:extent cx="2481103" cy="188636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09169" cy="1907700"/>
                    </a:xfrm>
                    <a:prstGeom prst="rect">
                      <a:avLst/>
                    </a:prstGeom>
                    <a:noFill/>
                    <a:ln>
                      <a:noFill/>
                    </a:ln>
                  </pic:spPr>
                </pic:pic>
              </a:graphicData>
            </a:graphic>
          </wp:inline>
        </w:drawing>
      </w:r>
    </w:p>
    <w:p w14:paraId="6A0D86C3" w14:textId="77777777" w:rsidR="005740B4" w:rsidRDefault="005740B4" w:rsidP="00481C42">
      <w:pPr>
        <w:pStyle w:val="Titre3"/>
        <w:rPr>
          <w:sz w:val="28"/>
        </w:rPr>
      </w:pPr>
      <w:bookmarkStart w:id="63" w:name="_Toc118886602"/>
      <w:r>
        <w:t>Exceptions d'étiquetage</w:t>
      </w:r>
      <w:bookmarkEnd w:id="63"/>
    </w:p>
    <w:bookmarkEnd w:id="62"/>
    <w:p w14:paraId="23F7C660" w14:textId="77777777" w:rsidR="003B28A1" w:rsidRDefault="003B28A1" w:rsidP="003B28A1">
      <w:r>
        <w:t>Une étiquette de manipulation de batterie lithium-ion n'est pas nécessaire lorsqu'un emballage ne contient pas plus de 2 batteries. Les batteries au lithium-métal contenues dans l'équipement n'ont pas besoin d'étiquette de manipulation de batterie au lithium.</w:t>
      </w:r>
    </w:p>
    <w:p w14:paraId="73821B0D" w14:textId="77777777" w:rsidR="009E043D" w:rsidRDefault="009E043D" w:rsidP="00481C42">
      <w:pPr>
        <w:pStyle w:val="Titre3"/>
      </w:pPr>
      <w:bookmarkStart w:id="64" w:name="_Toc118886603"/>
      <w:r>
        <w:t>Avertissement relatif à la mise au rebut des produits</w:t>
      </w:r>
      <w:bookmarkEnd w:id="64"/>
    </w:p>
    <w:p w14:paraId="6154BB2E" w14:textId="77777777" w:rsidR="009E043D" w:rsidRDefault="009E043D" w:rsidP="00BE0FAC">
      <w:pPr>
        <w:spacing w:after="0"/>
      </w:pPr>
      <w:r>
        <w:t xml:space="preserve">Les produits NETGEAR ne </w:t>
      </w:r>
      <w:proofErr w:type="gramStart"/>
      <w:r>
        <w:t>doivent</w:t>
      </w:r>
      <w:proofErr w:type="gramEnd"/>
      <w:r>
        <w:t xml:space="preserve"> pas être mis au rebut avec les ordures ménagères. Les produits NETGEAR </w:t>
      </w:r>
      <w:proofErr w:type="gramStart"/>
      <w:r>
        <w:t>doivent</w:t>
      </w:r>
      <w:proofErr w:type="gramEnd"/>
      <w:r>
        <w:t xml:space="preserve"> être mis au rebut dans un endroit autorisé aux fins du recyclage des appareils électriques et électroniques. En collectant et en recyclant les déchets, vous contribuez à économiser les ressources naturelles et à vous assurer que le produit est mis au rebut de manière écologique et saine.</w:t>
      </w:r>
    </w:p>
    <w:p w14:paraId="29E63D66" w14:textId="77777777" w:rsidR="00922A55" w:rsidRPr="009B16CB" w:rsidRDefault="00922A55" w:rsidP="00481C42">
      <w:pPr>
        <w:pStyle w:val="Titre1"/>
      </w:pPr>
      <w:bookmarkStart w:id="65" w:name="_Toc118886604"/>
      <w:r>
        <w:t>Informations relatives à la sécurité et à la CEM de l'appareil CPL et de la prise gigogne</w:t>
      </w:r>
      <w:bookmarkEnd w:id="65"/>
    </w:p>
    <w:p w14:paraId="00CE2DED" w14:textId="77777777" w:rsidR="00922A55" w:rsidRDefault="00922A55" w:rsidP="00922A55">
      <w:pPr>
        <w:rPr>
          <w:rFonts w:cs="Arial"/>
        </w:rPr>
      </w:pPr>
      <w:r>
        <w:t>Suivez ces consignes de sécurité pour assurer votre sécurité personnelle et protéger votre système contre les dommages potentiels :</w:t>
      </w:r>
    </w:p>
    <w:p w14:paraId="00C49599" w14:textId="77777777" w:rsidR="00922A55" w:rsidRDefault="00922A55" w:rsidP="00922A55">
      <w:pPr>
        <w:pStyle w:val="Paragraphedeliste"/>
        <w:numPr>
          <w:ilvl w:val="0"/>
          <w:numId w:val="15"/>
        </w:numPr>
        <w:rPr>
          <w:rFonts w:cs="Arial"/>
        </w:rPr>
      </w:pPr>
      <w:r>
        <w:t xml:space="preserve">Pour les homologations nationales (schémas non homologués par des organismes de certification), les normes nationales relatives aux branchements, aux prises de courant et aux blocs directement enfichables (par exemple, aux Etats-Unis) doivent être consultées au cours du test et de l'homologation des produits en fonction des normes nationales. </w:t>
      </w:r>
    </w:p>
    <w:p w14:paraId="10ABC06A" w14:textId="77777777" w:rsidR="00922A55" w:rsidRDefault="00922A55" w:rsidP="00922A55">
      <w:pPr>
        <w:pStyle w:val="Paragraphedeliste"/>
        <w:numPr>
          <w:ilvl w:val="0"/>
          <w:numId w:val="15"/>
        </w:numPr>
        <w:rPr>
          <w:rFonts w:cs="Arial"/>
        </w:rPr>
      </w:pPr>
      <w:r>
        <w:lastRenderedPageBreak/>
        <w:t>Vérifiez la puissance électrique pour chaque périphérique branché à une prise filtrée. Respectez la capacité nominale du produit et de votre domicile, ainsi que les exigences électriques.</w:t>
      </w:r>
    </w:p>
    <w:p w14:paraId="28015978" w14:textId="77777777" w:rsidR="00922A55" w:rsidRDefault="00922A55" w:rsidP="00922A55">
      <w:pPr>
        <w:pStyle w:val="Paragraphedeliste"/>
        <w:numPr>
          <w:ilvl w:val="0"/>
          <w:numId w:val="15"/>
        </w:numPr>
        <w:rPr>
          <w:rFonts w:cs="Arial"/>
        </w:rPr>
      </w:pPr>
      <w:r>
        <w:t>La prise de courant doit être installée près de l'équipement et être facilement accessible.</w:t>
      </w:r>
    </w:p>
    <w:p w14:paraId="56D20933" w14:textId="62C70373" w:rsidR="00922A55" w:rsidRDefault="00922A55" w:rsidP="00922A55">
      <w:pPr>
        <w:pStyle w:val="Paragraphedeliste"/>
        <w:numPr>
          <w:ilvl w:val="0"/>
          <w:numId w:val="15"/>
        </w:numPr>
        <w:rPr>
          <w:rFonts w:cs="Arial"/>
        </w:rPr>
      </w:pPr>
      <w:r>
        <w:t>Seuls les cordons d'alimentation peuvent être branchés à la prise filtrée. Aucun autre équipement doté d'une fiche directe n'est autorisé. Le produit ne doit pas être situé à plus de 1 m de hauteur de la surface de support et le cordon d'alimentation doit être d'une longueur minimale de 1 m et d'une surface transversale maximale de 1,5 mm².</w:t>
      </w:r>
    </w:p>
    <w:p w14:paraId="52B7DF5A" w14:textId="77777777" w:rsidR="00922A55" w:rsidRDefault="00922A55" w:rsidP="00922A55">
      <w:pPr>
        <w:pStyle w:val="Paragraphedeliste"/>
        <w:numPr>
          <w:ilvl w:val="0"/>
          <w:numId w:val="15"/>
        </w:numPr>
        <w:rPr>
          <w:rFonts w:cs="Arial"/>
        </w:rPr>
      </w:pPr>
      <w:r>
        <w:t>Ne branchez pas d'appareils dépassant la capacité nominale dans la prise secteur filtrée par l'adaptateur de passage CPL.  La tension de sortie de la prise secteur filtrée doit être identique à celle de la prise de branchement de l'adaptateur de passage CPL. Pour éviter d'endommager votre système, assurez-vous que les périphériques connectés sont électriquement réglés pour fonctionner avec le courant disponible dans votre région.</w:t>
      </w:r>
    </w:p>
    <w:p w14:paraId="73005E8D" w14:textId="77777777" w:rsidR="00922A55" w:rsidRDefault="00922A55" w:rsidP="00922A55">
      <w:pPr>
        <w:pStyle w:val="Paragraphedeliste"/>
        <w:numPr>
          <w:ilvl w:val="0"/>
          <w:numId w:val="15"/>
        </w:numPr>
        <w:rPr>
          <w:rFonts w:cs="Arial"/>
        </w:rPr>
      </w:pPr>
      <w:r>
        <w:t>Si la tension d'entrée est inférieure à 100 VCC, il se peut que l'appareil branché dans la prise filtrée de l'adaptateur de passage CPL ne fonctionne pas de manière optimale.</w:t>
      </w:r>
    </w:p>
    <w:p w14:paraId="703845C6" w14:textId="77777777" w:rsidR="00922A55" w:rsidRDefault="00922A55" w:rsidP="00922A55">
      <w:pPr>
        <w:pStyle w:val="Paragraphedeliste"/>
        <w:numPr>
          <w:ilvl w:val="0"/>
          <w:numId w:val="15"/>
        </w:numPr>
        <w:rPr>
          <w:rFonts w:cs="Arial"/>
        </w:rPr>
      </w:pPr>
      <w:r>
        <w:t xml:space="preserve">NE BRANCHEZ PAS DE GROS APPAREILS ELECTROMENAGERS dans la prise filtrée ou dans une rallonge connectée.  L'appareil n'est pas conçu pour être utilisé avec des appareils électroménagers comme des climatiseurs, des outils électriques, des radiateurs, des ventilateurs, des sèche-cheveux, des fours ou des réfrigérateurs. </w:t>
      </w:r>
    </w:p>
    <w:p w14:paraId="7FFCE16A" w14:textId="77777777" w:rsidR="00B2351F" w:rsidRDefault="00B2351F" w:rsidP="00B2351F">
      <w:pPr>
        <w:pStyle w:val="Paragraphedeliste"/>
        <w:numPr>
          <w:ilvl w:val="0"/>
          <w:numId w:val="15"/>
        </w:numPr>
        <w:rPr>
          <w:rFonts w:cs="Arial"/>
        </w:rPr>
      </w:pPr>
      <w:r>
        <w:t>Respectez les valeurs nominales de la rallonge et de la barrette d'alimentation.  Assurez-vous que l'ampérage total de tous les produits branchés sur le câble d'extension ou la multiprise ne dépasse pas 80 % de la limite d'ampérage pour le câble d'extension ou la multiprise.</w:t>
      </w:r>
    </w:p>
    <w:p w14:paraId="39D9B531" w14:textId="2360906D" w:rsidR="00922A55" w:rsidRDefault="00922A55" w:rsidP="00922A55">
      <w:pPr>
        <w:pStyle w:val="Paragraphedeliste"/>
        <w:numPr>
          <w:ilvl w:val="0"/>
          <w:numId w:val="15"/>
        </w:numPr>
        <w:rPr>
          <w:rFonts w:cs="Arial"/>
        </w:rPr>
      </w:pPr>
      <w:r>
        <w:t xml:space="preserve">Le débit réel varie. L'état du réseau et les conditions d'utilisation, notamment le volume du trafic réseau, les matériaux et la structure du bâtiment ainsi que le </w:t>
      </w:r>
      <w:proofErr w:type="spellStart"/>
      <w:r>
        <w:t>surdébit</w:t>
      </w:r>
      <w:proofErr w:type="spellEnd"/>
      <w:r>
        <w:t xml:space="preserve"> du réseau, réduisent la vitesse réelle de transmission des données. </w:t>
      </w:r>
    </w:p>
    <w:p w14:paraId="0D951C94" w14:textId="77777777" w:rsidR="00B2351F" w:rsidRDefault="00B2351F" w:rsidP="00B2351F">
      <w:pPr>
        <w:rPr>
          <w:rFonts w:cs="Arial"/>
        </w:rPr>
      </w:pPr>
      <w:r>
        <w:t>Les produits CPL NETGEAR constituent une manière alternative d'étendre le réseau à l'aide de votre réseau électrique existant. En cas de problèmes d'interférence, veuillez suivre les consignes suivantes :</w:t>
      </w:r>
    </w:p>
    <w:p w14:paraId="2C7614BC" w14:textId="77777777" w:rsidR="00B2351F" w:rsidRDefault="00B2351F" w:rsidP="00B2351F">
      <w:pPr>
        <w:pStyle w:val="Paragraphedeliste"/>
        <w:numPr>
          <w:ilvl w:val="0"/>
          <w:numId w:val="35"/>
        </w:numPr>
        <w:rPr>
          <w:rFonts w:cs="Arial"/>
        </w:rPr>
      </w:pPr>
      <w:r>
        <w:t>Branchez les adaptateurs CPL dans les prises situées à l'écart des chargeurs de téléphone mobile et des bases de téléphone sans fil</w:t>
      </w:r>
    </w:p>
    <w:p w14:paraId="49064843" w14:textId="77777777" w:rsidR="00B2351F" w:rsidRDefault="00B2351F" w:rsidP="00B2351F">
      <w:pPr>
        <w:pStyle w:val="Paragraphedeliste"/>
        <w:numPr>
          <w:ilvl w:val="0"/>
          <w:numId w:val="35"/>
        </w:numPr>
        <w:rPr>
          <w:rFonts w:cs="Arial"/>
        </w:rPr>
      </w:pPr>
      <w:r>
        <w:t>Assurez-vous que les adaptateurs CPL sont éloignés des équipements équipés d'un moteur (ventilateur, aspirateur, etc.)</w:t>
      </w:r>
    </w:p>
    <w:p w14:paraId="110F159F" w14:textId="77777777" w:rsidR="00B2351F" w:rsidRPr="00F205AA" w:rsidRDefault="00B2351F" w:rsidP="00B2351F">
      <w:pPr>
        <w:pStyle w:val="Paragraphedeliste"/>
        <w:numPr>
          <w:ilvl w:val="0"/>
          <w:numId w:val="35"/>
        </w:numPr>
        <w:rPr>
          <w:rFonts w:cs="Arial"/>
        </w:rPr>
      </w:pPr>
      <w:r>
        <w:t xml:space="preserve">Assurez-vous que les adaptateurs CPL sont éloignés </w:t>
      </w:r>
      <w:proofErr w:type="gramStart"/>
      <w:r>
        <w:t>des appareils audio</w:t>
      </w:r>
      <w:proofErr w:type="gramEnd"/>
      <w:r>
        <w:t xml:space="preserve"> comme les récepteurs radio</w:t>
      </w:r>
    </w:p>
    <w:p w14:paraId="4A91753F" w14:textId="2FFBDC7A" w:rsidR="00B2351F" w:rsidRPr="00B2351F" w:rsidRDefault="00B2351F" w:rsidP="00B2351F">
      <w:pPr>
        <w:pStyle w:val="Titre2"/>
      </w:pPr>
      <w:bookmarkStart w:id="66" w:name="_Toc118886605"/>
      <w:r>
        <w:t>Instructions générales</w:t>
      </w:r>
      <w:bookmarkEnd w:id="66"/>
    </w:p>
    <w:p w14:paraId="1EE3B1AA" w14:textId="77777777" w:rsidR="00922A55" w:rsidRDefault="00922A55" w:rsidP="00922A55">
      <w:pPr>
        <w:pStyle w:val="Paragraphedeliste"/>
        <w:numPr>
          <w:ilvl w:val="0"/>
          <w:numId w:val="15"/>
        </w:numPr>
        <w:rPr>
          <w:rFonts w:cs="Arial"/>
        </w:rPr>
      </w:pPr>
      <w:r>
        <w:t>Utilisez le produit uniquement avec un équipement approuvé.</w:t>
      </w:r>
    </w:p>
    <w:p w14:paraId="2023888C" w14:textId="77777777" w:rsidR="00922A55" w:rsidRDefault="00922A55" w:rsidP="00922A55">
      <w:pPr>
        <w:pStyle w:val="Paragraphedeliste"/>
        <w:numPr>
          <w:ilvl w:val="0"/>
          <w:numId w:val="15"/>
        </w:numPr>
        <w:rPr>
          <w:rFonts w:cs="Arial"/>
        </w:rPr>
      </w:pPr>
      <w:r>
        <w:t>Laissez les produits refroidir avant de retirer les capots ou de toucher les composants internes.</w:t>
      </w:r>
    </w:p>
    <w:p w14:paraId="0E3A28C5" w14:textId="77777777" w:rsidR="00922A55" w:rsidRDefault="00922A55" w:rsidP="00922A55">
      <w:pPr>
        <w:pStyle w:val="Paragraphedeliste"/>
        <w:numPr>
          <w:ilvl w:val="0"/>
          <w:numId w:val="15"/>
        </w:numPr>
        <w:rPr>
          <w:rFonts w:cs="Arial"/>
        </w:rPr>
      </w:pPr>
      <w:r>
        <w:t>Pour éviter d'endommager votre système, assurez-vous que le commutateur de sélection de tension (le cas échéant) du bloc d'alimentation est réglé sur l'alimentation disponible dans votre région :</w:t>
      </w:r>
    </w:p>
    <w:p w14:paraId="683AD319" w14:textId="77777777" w:rsidR="00922A55" w:rsidRDefault="00922A55" w:rsidP="00922A55">
      <w:pPr>
        <w:pStyle w:val="Paragraphedeliste"/>
        <w:numPr>
          <w:ilvl w:val="1"/>
          <w:numId w:val="15"/>
        </w:numPr>
        <w:rPr>
          <w:rFonts w:cs="Arial"/>
        </w:rPr>
      </w:pPr>
      <w:r>
        <w:t>110 volts (V), 60 hertz (Hz) dans la plupart des pays d'Amérique du Nord et du Sud et dans certains pays asiatiques comme la Corée du Sud et Taïwan</w:t>
      </w:r>
    </w:p>
    <w:p w14:paraId="33C15580" w14:textId="77777777" w:rsidR="00922A55" w:rsidRDefault="00922A55" w:rsidP="00922A55">
      <w:pPr>
        <w:pStyle w:val="Paragraphedeliste"/>
        <w:numPr>
          <w:ilvl w:val="1"/>
          <w:numId w:val="15"/>
        </w:numPr>
        <w:rPr>
          <w:rFonts w:cs="Arial"/>
        </w:rPr>
      </w:pPr>
      <w:r>
        <w:t>100, 50 Hz dans l'est du Japon et 100, 60 Hz dans l'ouest du Japon</w:t>
      </w:r>
    </w:p>
    <w:p w14:paraId="1AF9ED2A" w14:textId="77777777" w:rsidR="00922A55" w:rsidRDefault="00922A55" w:rsidP="00922A55">
      <w:pPr>
        <w:pStyle w:val="Paragraphedeliste"/>
        <w:numPr>
          <w:ilvl w:val="1"/>
          <w:numId w:val="15"/>
        </w:numPr>
        <w:rPr>
          <w:rFonts w:cs="Arial"/>
        </w:rPr>
      </w:pPr>
      <w:r>
        <w:t>230 V, 50 Hz dans la plupart des pays d'Europe, du Moyen-Orient et de l'Extrême-Orient</w:t>
      </w:r>
    </w:p>
    <w:p w14:paraId="2A43BCA5" w14:textId="2B8D643D" w:rsidR="00AA5A71" w:rsidRDefault="00922A55" w:rsidP="008A30EE">
      <w:pPr>
        <w:pStyle w:val="Paragraphedeliste"/>
        <w:numPr>
          <w:ilvl w:val="0"/>
          <w:numId w:val="15"/>
        </w:numPr>
        <w:rPr>
          <w:rFonts w:cs="Arial"/>
        </w:rPr>
      </w:pPr>
      <w:r>
        <w:t>Pour protéger votre système contre les augmentations et les diminutions soudaines et transitoires de l'alimentation électrique, utilisez un parasurtenseur, un conditionneur de ligne ou un onduleur.</w:t>
      </w:r>
    </w:p>
    <w:p w14:paraId="13100612" w14:textId="77777777" w:rsidR="00B2351F" w:rsidRDefault="00B2351F" w:rsidP="00B2351F">
      <w:pPr>
        <w:pStyle w:val="Paragraphedeliste"/>
        <w:numPr>
          <w:ilvl w:val="0"/>
          <w:numId w:val="15"/>
        </w:numPr>
        <w:rPr>
          <w:rFonts w:cs="Arial"/>
        </w:rPr>
      </w:pPr>
      <w:r>
        <w:t>Les câbles d'alimentation périphériques sont équipés de prises à trois broches afin d'assurer une bonne mise à la terre.  N'utilisez pas d'adaptateurs pour prises et ne retirez pas la broche de terre d'un câble.</w:t>
      </w:r>
    </w:p>
    <w:p w14:paraId="084EADB5" w14:textId="77777777" w:rsidR="00B2351F" w:rsidRDefault="00B2351F" w:rsidP="00B2351F">
      <w:pPr>
        <w:pStyle w:val="Paragraphedeliste"/>
        <w:numPr>
          <w:ilvl w:val="0"/>
          <w:numId w:val="15"/>
        </w:numPr>
        <w:rPr>
          <w:rFonts w:cs="Arial"/>
        </w:rPr>
      </w:pPr>
      <w:r>
        <w:t>L'ouverture ou le retrait des capots marqués du symbole triangulaire avec un éclair peut vous exposer à un choc électrique.  Seul un technicien de maintenance qualifié est habilité à réparer les composants à l'intérieur de ces compartiments.</w:t>
      </w:r>
    </w:p>
    <w:p w14:paraId="6A4B3227" w14:textId="3766ED00" w:rsidR="000747E1" w:rsidRPr="000747E1" w:rsidRDefault="000747E1" w:rsidP="000747E1">
      <w:pPr>
        <w:pStyle w:val="Paragraphedeliste"/>
        <w:numPr>
          <w:ilvl w:val="0"/>
          <w:numId w:val="15"/>
        </w:numPr>
        <w:rPr>
          <w:rFonts w:cs="Arial"/>
        </w:rPr>
      </w:pPr>
      <w:r>
        <w:t xml:space="preserve">Ne procédez à aucune intervention sur un produit, sauf dans les cas décrits dans la documentation de votre système. </w:t>
      </w:r>
    </w:p>
    <w:p w14:paraId="4AA3B7F9" w14:textId="52ECD6F6" w:rsidR="0082382E" w:rsidRPr="0082382E" w:rsidRDefault="0082382E" w:rsidP="00E63B27">
      <w:pPr>
        <w:pStyle w:val="Titre1"/>
        <w:rPr>
          <w:rStyle w:val="Lienhypertexte"/>
          <w:rFonts w:eastAsia="PMingLiU" w:cstheme="minorBidi"/>
          <w:b w:val="0"/>
          <w:bCs w:val="0"/>
          <w:color w:val="000000" w:themeColor="text1"/>
          <w:sz w:val="18"/>
          <w:szCs w:val="22"/>
          <w:u w:val="none"/>
        </w:rPr>
      </w:pPr>
      <w:bookmarkStart w:id="67" w:name="_Toc118886606"/>
      <w:r>
        <w:rPr>
          <w:rStyle w:val="Lienhypertexte"/>
          <w:color w:val="000000" w:themeColor="text1"/>
          <w:u w:val="none"/>
        </w:rPr>
        <w:lastRenderedPageBreak/>
        <w:t>Conformité à la Proposition 65 de la Californie (Prop 65)</w:t>
      </w:r>
      <w:bookmarkEnd w:id="67"/>
      <w:r>
        <w:rPr>
          <w:rStyle w:val="Lienhypertexte"/>
          <w:color w:val="000000" w:themeColor="text1"/>
          <w:u w:val="none"/>
        </w:rPr>
        <w:t xml:space="preserve"> </w:t>
      </w:r>
    </w:p>
    <w:p w14:paraId="62FF7820" w14:textId="34FC1A48" w:rsidR="0082382E" w:rsidRPr="0082382E" w:rsidRDefault="0082382E" w:rsidP="00E63B27">
      <w:r>
        <w:t>Les produits NETGEAR sont conformes à la Prop 65. Nous déclarons que nos produits ne contiennent aucune des dernières substances répertoriées par l'OEHHA ou qu'ils se situent dans la limite du seuil de sécurité de l'OEHHA en Californie, si ledit seuil a été adopté.</w:t>
      </w:r>
    </w:p>
    <w:p w14:paraId="3AFC4B28" w14:textId="305F4BD4" w:rsidR="0040534E" w:rsidRDefault="0006746B" w:rsidP="0082382E">
      <w:pPr>
        <w:pStyle w:val="Titre1"/>
      </w:pPr>
      <w:bookmarkStart w:id="68" w:name="_Toc118886607"/>
      <w:r>
        <w:t>Instructions de sécurité pour la fixation sur bâti</w:t>
      </w:r>
      <w:bookmarkEnd w:id="68"/>
    </w:p>
    <w:p w14:paraId="7BDC0EFA" w14:textId="77777777" w:rsidR="0040534E" w:rsidRDefault="00D8195F" w:rsidP="0040534E">
      <w:pPr>
        <w:rPr>
          <w:rFonts w:cs="Arial"/>
        </w:rPr>
      </w:pPr>
      <w:r>
        <w:t>Ces informations s'appliquent à l'installation des produits NETGEAR à fixation sur bâti</w:t>
      </w:r>
    </w:p>
    <w:p w14:paraId="443777AB" w14:textId="77777777" w:rsidR="0040534E" w:rsidRPr="0040534E" w:rsidRDefault="0040534E" w:rsidP="0040534E">
      <w:pPr>
        <w:pStyle w:val="Paragraphedeliste"/>
        <w:numPr>
          <w:ilvl w:val="0"/>
          <w:numId w:val="15"/>
        </w:numPr>
        <w:rPr>
          <w:rFonts w:cs="Arial"/>
        </w:rPr>
      </w:pPr>
      <w:r>
        <w:rPr>
          <w:b/>
        </w:rPr>
        <w:t>Température ambiante de fonctionnement</w:t>
      </w:r>
      <w:r>
        <w:t>. Si vous installez le commutateur sur un bâti fermé ou à plusieurs unités, la température ambiante de fonctionnement de l'environnement du bâti peut être supérieure à la température ambiante de la pièce. Vous devez donc veiller à installer l'équipement dans un environnement compatible avec les spécifications de température ambiante nominale maximale.</w:t>
      </w:r>
    </w:p>
    <w:p w14:paraId="1EF6B5DD" w14:textId="77777777" w:rsidR="0040534E" w:rsidRPr="0040534E" w:rsidRDefault="0040534E" w:rsidP="0040534E">
      <w:pPr>
        <w:pStyle w:val="Paragraphedeliste"/>
        <w:numPr>
          <w:ilvl w:val="0"/>
          <w:numId w:val="15"/>
        </w:numPr>
        <w:rPr>
          <w:rFonts w:cs="Arial"/>
        </w:rPr>
      </w:pPr>
      <w:r>
        <w:rPr>
          <w:b/>
        </w:rPr>
        <w:t>Circulation d'air réduite</w:t>
      </w:r>
      <w:r>
        <w:t>. Fixez l'équipement sur un bâti en respectant la quantité de circulation d'air requise pour un fonctionnement sécurisé.</w:t>
      </w:r>
    </w:p>
    <w:p w14:paraId="79AB917C" w14:textId="77777777" w:rsidR="0040534E" w:rsidRPr="0040534E" w:rsidRDefault="0040534E" w:rsidP="0040534E">
      <w:pPr>
        <w:pStyle w:val="Paragraphedeliste"/>
        <w:numPr>
          <w:ilvl w:val="0"/>
          <w:numId w:val="15"/>
        </w:numPr>
        <w:rPr>
          <w:rFonts w:cs="Arial"/>
        </w:rPr>
      </w:pPr>
      <w:r>
        <w:rPr>
          <w:b/>
        </w:rPr>
        <w:t>Chargement mécanique</w:t>
      </w:r>
      <w:r>
        <w:t>. Fixez l'équipement sur un bâti en veillant à ce que le chargement mécanique soit à niveau afin d'éviter toute situation dangereuse.</w:t>
      </w:r>
    </w:p>
    <w:p w14:paraId="45F936B6" w14:textId="77777777" w:rsidR="0040534E" w:rsidRPr="0040534E" w:rsidRDefault="0040534E" w:rsidP="0040534E">
      <w:pPr>
        <w:pStyle w:val="Paragraphedeliste"/>
        <w:numPr>
          <w:ilvl w:val="0"/>
          <w:numId w:val="15"/>
        </w:numPr>
        <w:rPr>
          <w:rFonts w:cs="Arial"/>
        </w:rPr>
      </w:pPr>
      <w:r>
        <w:rPr>
          <w:b/>
        </w:rPr>
        <w:t>Surcharge du circuit</w:t>
      </w:r>
      <w:r>
        <w:t>. Réfléchissez à la manière dont l'équipement est connecté aux circuits d'alimentation et à l'effet que pourrait avoir toute surcharge potentielle des circuits sur la protection contre la surintensité et sur le câblage d'alimentation. Dans cette optique, prenez en considération les caractéristiques assignées de l'équipement.</w:t>
      </w:r>
    </w:p>
    <w:p w14:paraId="04B4B6EB" w14:textId="77777777" w:rsidR="0040534E" w:rsidRPr="0040534E" w:rsidRDefault="0040534E" w:rsidP="0040534E">
      <w:pPr>
        <w:pStyle w:val="Paragraphedeliste"/>
        <w:numPr>
          <w:ilvl w:val="0"/>
          <w:numId w:val="15"/>
        </w:numPr>
        <w:rPr>
          <w:rFonts w:cs="Arial"/>
        </w:rPr>
      </w:pPr>
      <w:r>
        <w:rPr>
          <w:b/>
        </w:rPr>
        <w:t>Mise à la terre fiable</w:t>
      </w:r>
      <w:r>
        <w:t>. Ce produit nécessite qu'une mise à la terre fiable soit maintenue à tout moment. Pour ce faire, mettez à la terre le bâti même. Portez une attention particulière aux connexions d'alimentation autres que les branchements directs au circuit de dérivation (rallonges électriques, par exemple).</w:t>
      </w:r>
    </w:p>
    <w:p w14:paraId="23D9FDD6" w14:textId="77777777" w:rsidR="0026043D" w:rsidRDefault="0040534E" w:rsidP="008A30EE">
      <w:pPr>
        <w:pStyle w:val="Paragraphedeliste"/>
        <w:numPr>
          <w:ilvl w:val="0"/>
          <w:numId w:val="15"/>
        </w:numPr>
        <w:rPr>
          <w:rFonts w:cs="Arial"/>
        </w:rPr>
      </w:pPr>
      <w:r>
        <w:rPr>
          <w:b/>
        </w:rPr>
        <w:t>Espace libre</w:t>
      </w:r>
      <w:r>
        <w:t>. Laissez suffisamment d'espace libre à l'avant du bâti (64 cm environ) de sorte à pouvoir ouvrir complètement la porte avant, ainsi qu'à l'arrière du bâti (76 cm environ) pour permettre une circulation d'air suffisante et faciliter l'entretien.</w:t>
      </w:r>
    </w:p>
    <w:p w14:paraId="25E1FB58" w14:textId="77777777" w:rsidR="007747FD" w:rsidRDefault="00F55C63" w:rsidP="007747FD">
      <w:pPr>
        <w:rPr>
          <w:rFonts w:cs="Arial"/>
        </w:rPr>
      </w:pPr>
      <w:r>
        <w:pict w14:anchorId="2ABF7066">
          <v:rect id="_x0000_i1025" style="width:468pt;height:1pt" o:hralign="center" o:hrstd="t" o:hrnoshade="t" o:hr="t" fillcolor="#7030a0" stroked="f"/>
        </w:pict>
      </w:r>
    </w:p>
    <w:p w14:paraId="69742600" w14:textId="77777777" w:rsidR="007747FD" w:rsidRDefault="007747FD" w:rsidP="007747FD">
      <w:pPr>
        <w:jc w:val="center"/>
      </w:pPr>
      <w:r>
        <w:t xml:space="preserve">NETGEAR, Inc., 350 E. </w:t>
      </w:r>
      <w:proofErr w:type="spellStart"/>
      <w:r>
        <w:t>Plumeria</w:t>
      </w:r>
      <w:proofErr w:type="spellEnd"/>
      <w:r>
        <w:t xml:space="preserve"> Drive, San Jose, CA 95134 Etats-Unis</w:t>
      </w:r>
    </w:p>
    <w:p w14:paraId="38FDB602" w14:textId="77777777" w:rsidR="00D55649" w:rsidRDefault="00D55649" w:rsidP="00DE7838">
      <w:pPr>
        <w:jc w:val="center"/>
        <w:rPr>
          <w:noProof/>
        </w:rPr>
      </w:pPr>
    </w:p>
    <w:p w14:paraId="27E2AF55" w14:textId="1D861FE9" w:rsidR="00E62611" w:rsidRDefault="00E62611" w:rsidP="00D55649">
      <w:pPr>
        <w:jc w:val="center"/>
      </w:pPr>
    </w:p>
    <w:sectPr w:rsidR="00E62611" w:rsidSect="00AE4C00">
      <w:headerReference w:type="even" r:id="rId34"/>
      <w:headerReference w:type="default" r:id="rId35"/>
      <w:footerReference w:type="even" r:id="rId36"/>
      <w:footerReference w:type="default" r:id="rId37"/>
      <w:headerReference w:type="first" r:id="rId38"/>
      <w:footerReference w:type="first" r:id="rId3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0EB0C" w14:textId="77777777" w:rsidR="00887D9B" w:rsidRDefault="00887D9B" w:rsidP="007747FD">
      <w:pPr>
        <w:spacing w:after="0" w:line="240" w:lineRule="auto"/>
      </w:pPr>
      <w:r>
        <w:separator/>
      </w:r>
    </w:p>
  </w:endnote>
  <w:endnote w:type="continuationSeparator" w:id="0">
    <w:p w14:paraId="31F73FD8" w14:textId="77777777" w:rsidR="00887D9B" w:rsidRDefault="00887D9B" w:rsidP="00774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undry Sterling Bold">
    <w:altName w:val="Calibri"/>
    <w:panose1 w:val="00000000000000000000"/>
    <w:charset w:val="00"/>
    <w:family w:val="swiss"/>
    <w:notTrueType/>
    <w:pitch w:val="default"/>
    <w:sig w:usb0="00000003" w:usb1="00000000" w:usb2="00000000" w:usb3="00000000" w:csb0="00000001" w:csb1="00000000"/>
  </w:font>
  <w:font w:name="Foundry Sterling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432A" w14:textId="77777777" w:rsidR="00E93EA7" w:rsidRDefault="00E93E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4CD2" w14:textId="40F3B2E2" w:rsidR="00887D9B" w:rsidRDefault="00887D9B" w:rsidP="000B1672">
    <w:pPr>
      <w:jc w:val="center"/>
    </w:pPr>
    <w:r>
      <w:t>Notifications de conformité NETGEAR v36</w:t>
    </w:r>
    <w:r>
      <w:ptab w:relativeTo="margin" w:alignment="center" w:leader="none"/>
    </w:r>
    <w:r>
      <w:t xml:space="preserve"> Révision du 07/</w:t>
    </w:r>
    <w:r w:rsidR="00E93EA7">
      <w:t>11</w:t>
    </w:r>
    <w:r>
      <w:t>//2022</w:t>
    </w:r>
    <w:r>
      <w:ptab w:relativeTo="margin" w:alignment="right" w:leader="none"/>
    </w:r>
    <w:r>
      <w:t>Page </w:t>
    </w:r>
    <w:r w:rsidRPr="00AD5A34">
      <w:fldChar w:fldCharType="begin"/>
    </w:r>
    <w:r w:rsidRPr="00AD5A34">
      <w:instrText xml:space="preserve"> PAGE   \* MERGEFORMAT </w:instrText>
    </w:r>
    <w:r w:rsidRPr="00AD5A34">
      <w:fldChar w:fldCharType="separate"/>
    </w:r>
    <w:r>
      <w:t>21</w:t>
    </w:r>
    <w:r w:rsidRPr="00AD5A3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3016" w14:textId="77777777" w:rsidR="00E93EA7" w:rsidRDefault="00E93E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CF26B" w14:textId="77777777" w:rsidR="00887D9B" w:rsidRDefault="00887D9B" w:rsidP="007747FD">
      <w:pPr>
        <w:spacing w:after="0" w:line="240" w:lineRule="auto"/>
      </w:pPr>
      <w:r>
        <w:separator/>
      </w:r>
    </w:p>
  </w:footnote>
  <w:footnote w:type="continuationSeparator" w:id="0">
    <w:p w14:paraId="49D3B117" w14:textId="77777777" w:rsidR="00887D9B" w:rsidRDefault="00887D9B" w:rsidP="00774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249E" w14:textId="77777777" w:rsidR="00E93EA7" w:rsidRDefault="00E93E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0790" w14:textId="77777777" w:rsidR="00E93EA7" w:rsidRDefault="00E93EA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9CC2" w14:textId="77777777" w:rsidR="00E93EA7" w:rsidRDefault="00E93E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0B2CE"/>
    <w:multiLevelType w:val="hybridMultilevel"/>
    <w:tmpl w:val="660B67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9793AB"/>
    <w:multiLevelType w:val="hybridMultilevel"/>
    <w:tmpl w:val="F23066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770098"/>
    <w:multiLevelType w:val="hybridMultilevel"/>
    <w:tmpl w:val="065D6E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E40B07E"/>
    <w:multiLevelType w:val="hybridMultilevel"/>
    <w:tmpl w:val="0333FA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7C"/>
    <w:multiLevelType w:val="singleLevel"/>
    <w:tmpl w:val="93127C38"/>
    <w:lvl w:ilvl="0">
      <w:start w:val="1"/>
      <w:numFmt w:val="decimal"/>
      <w:lvlText w:val="%1."/>
      <w:lvlJc w:val="left"/>
      <w:pPr>
        <w:tabs>
          <w:tab w:val="num" w:pos="1800"/>
        </w:tabs>
        <w:ind w:left="1800" w:hanging="360"/>
      </w:pPr>
    </w:lvl>
  </w:abstractNum>
  <w:abstractNum w:abstractNumId="5" w15:restartNumberingAfterBreak="0">
    <w:nsid w:val="FFFFFF7D"/>
    <w:multiLevelType w:val="singleLevel"/>
    <w:tmpl w:val="E14A8D50"/>
    <w:lvl w:ilvl="0">
      <w:start w:val="1"/>
      <w:numFmt w:val="decimal"/>
      <w:lvlText w:val="%1."/>
      <w:lvlJc w:val="left"/>
      <w:pPr>
        <w:tabs>
          <w:tab w:val="num" w:pos="1440"/>
        </w:tabs>
        <w:ind w:left="1440" w:hanging="360"/>
      </w:pPr>
    </w:lvl>
  </w:abstractNum>
  <w:abstractNum w:abstractNumId="6" w15:restartNumberingAfterBreak="0">
    <w:nsid w:val="FFFFFF7E"/>
    <w:multiLevelType w:val="singleLevel"/>
    <w:tmpl w:val="F0A4694E"/>
    <w:lvl w:ilvl="0">
      <w:start w:val="1"/>
      <w:numFmt w:val="decimal"/>
      <w:lvlText w:val="%1."/>
      <w:lvlJc w:val="left"/>
      <w:pPr>
        <w:tabs>
          <w:tab w:val="num" w:pos="1080"/>
        </w:tabs>
        <w:ind w:left="1080" w:hanging="360"/>
      </w:pPr>
    </w:lvl>
  </w:abstractNum>
  <w:abstractNum w:abstractNumId="7" w15:restartNumberingAfterBreak="0">
    <w:nsid w:val="FFFFFF7F"/>
    <w:multiLevelType w:val="singleLevel"/>
    <w:tmpl w:val="596A9952"/>
    <w:lvl w:ilvl="0">
      <w:start w:val="1"/>
      <w:numFmt w:val="decimal"/>
      <w:lvlText w:val="%1."/>
      <w:lvlJc w:val="left"/>
      <w:pPr>
        <w:tabs>
          <w:tab w:val="num" w:pos="720"/>
        </w:tabs>
        <w:ind w:left="720" w:hanging="360"/>
      </w:pPr>
    </w:lvl>
  </w:abstractNum>
  <w:abstractNum w:abstractNumId="8" w15:restartNumberingAfterBreak="0">
    <w:nsid w:val="FFFFFF80"/>
    <w:multiLevelType w:val="singleLevel"/>
    <w:tmpl w:val="264C8FDC"/>
    <w:lvl w:ilvl="0">
      <w:start w:val="1"/>
      <w:numFmt w:val="bullet"/>
      <w:lvlText w:val=""/>
      <w:lvlJc w:val="left"/>
      <w:pPr>
        <w:tabs>
          <w:tab w:val="num" w:pos="1800"/>
        </w:tabs>
        <w:ind w:left="1800" w:hanging="360"/>
      </w:pPr>
      <w:rPr>
        <w:rFonts w:ascii="Symbol" w:hAnsi="Symbol" w:hint="default"/>
      </w:rPr>
    </w:lvl>
  </w:abstractNum>
  <w:abstractNum w:abstractNumId="9" w15:restartNumberingAfterBreak="0">
    <w:nsid w:val="FFFFFF81"/>
    <w:multiLevelType w:val="singleLevel"/>
    <w:tmpl w:val="D0C81EDA"/>
    <w:lvl w:ilvl="0">
      <w:start w:val="1"/>
      <w:numFmt w:val="bullet"/>
      <w:lvlText w:val=""/>
      <w:lvlJc w:val="left"/>
      <w:pPr>
        <w:tabs>
          <w:tab w:val="num" w:pos="1440"/>
        </w:tabs>
        <w:ind w:left="1440" w:hanging="360"/>
      </w:pPr>
      <w:rPr>
        <w:rFonts w:ascii="Symbol" w:hAnsi="Symbol" w:hint="default"/>
      </w:rPr>
    </w:lvl>
  </w:abstractNum>
  <w:abstractNum w:abstractNumId="10" w15:restartNumberingAfterBreak="0">
    <w:nsid w:val="FFFFFF82"/>
    <w:multiLevelType w:val="singleLevel"/>
    <w:tmpl w:val="722435F2"/>
    <w:lvl w:ilvl="0">
      <w:start w:val="1"/>
      <w:numFmt w:val="bullet"/>
      <w:lvlText w:val=""/>
      <w:lvlJc w:val="left"/>
      <w:pPr>
        <w:tabs>
          <w:tab w:val="num" w:pos="1080"/>
        </w:tabs>
        <w:ind w:left="1080" w:hanging="360"/>
      </w:pPr>
      <w:rPr>
        <w:rFonts w:ascii="Symbol" w:hAnsi="Symbol" w:hint="default"/>
      </w:rPr>
    </w:lvl>
  </w:abstractNum>
  <w:abstractNum w:abstractNumId="11" w15:restartNumberingAfterBreak="0">
    <w:nsid w:val="FFFFFF83"/>
    <w:multiLevelType w:val="singleLevel"/>
    <w:tmpl w:val="4B56AFA8"/>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FFFFFF88"/>
    <w:multiLevelType w:val="singleLevel"/>
    <w:tmpl w:val="F7B681AC"/>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387EC08C"/>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0041816"/>
    <w:multiLevelType w:val="hybridMultilevel"/>
    <w:tmpl w:val="7530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F05009"/>
    <w:multiLevelType w:val="hybridMultilevel"/>
    <w:tmpl w:val="AFEEECE6"/>
    <w:lvl w:ilvl="0" w:tplc="7690F5C2">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4468FE"/>
    <w:multiLevelType w:val="hybridMultilevel"/>
    <w:tmpl w:val="2ECA4D8C"/>
    <w:lvl w:ilvl="0" w:tplc="9B8846F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A03E56"/>
    <w:multiLevelType w:val="hybridMultilevel"/>
    <w:tmpl w:val="AF4C8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C21918"/>
    <w:multiLevelType w:val="hybridMultilevel"/>
    <w:tmpl w:val="11F62B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31522B3"/>
    <w:multiLevelType w:val="hybridMultilevel"/>
    <w:tmpl w:val="B3B2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FE4F0A"/>
    <w:multiLevelType w:val="hybridMultilevel"/>
    <w:tmpl w:val="D3FC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25283"/>
    <w:multiLevelType w:val="hybridMultilevel"/>
    <w:tmpl w:val="FECC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B3858"/>
    <w:multiLevelType w:val="hybridMultilevel"/>
    <w:tmpl w:val="78D0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6D5834"/>
    <w:multiLevelType w:val="hybridMultilevel"/>
    <w:tmpl w:val="2B3C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4B7A85"/>
    <w:multiLevelType w:val="hybridMultilevel"/>
    <w:tmpl w:val="99D2BA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0C94D4D"/>
    <w:multiLevelType w:val="hybridMultilevel"/>
    <w:tmpl w:val="8A4E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0CAE1A"/>
    <w:multiLevelType w:val="hybridMultilevel"/>
    <w:tmpl w:val="DE63D9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49564AC"/>
    <w:multiLevelType w:val="hybridMultilevel"/>
    <w:tmpl w:val="BDE4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0D5022"/>
    <w:multiLevelType w:val="hybridMultilevel"/>
    <w:tmpl w:val="BD60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896329"/>
    <w:multiLevelType w:val="multilevel"/>
    <w:tmpl w:val="E790F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982E48"/>
    <w:multiLevelType w:val="hybridMultilevel"/>
    <w:tmpl w:val="5804F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D3B08CC"/>
    <w:multiLevelType w:val="hybridMultilevel"/>
    <w:tmpl w:val="67F456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EE85880"/>
    <w:multiLevelType w:val="hybridMultilevel"/>
    <w:tmpl w:val="E31AFBB2"/>
    <w:lvl w:ilvl="0" w:tplc="71C295AA">
      <w:numFmt w:val="bullet"/>
      <w:lvlText w:val=""/>
      <w:lvlJc w:val="left"/>
      <w:pPr>
        <w:ind w:left="1800" w:hanging="360"/>
      </w:pPr>
      <w:rPr>
        <w:rFonts w:ascii="Wingdings" w:eastAsiaTheme="minorHAnsi" w:hAnsi="Wingding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384269B"/>
    <w:multiLevelType w:val="hybridMultilevel"/>
    <w:tmpl w:val="7994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9919B5"/>
    <w:multiLevelType w:val="hybridMultilevel"/>
    <w:tmpl w:val="DDB2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F235DC"/>
    <w:multiLevelType w:val="hybridMultilevel"/>
    <w:tmpl w:val="E476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0768AC"/>
    <w:multiLevelType w:val="hybridMultilevel"/>
    <w:tmpl w:val="CC52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A440C"/>
    <w:multiLevelType w:val="hybridMultilevel"/>
    <w:tmpl w:val="AC2EC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1F1114"/>
    <w:multiLevelType w:val="hybridMultilevel"/>
    <w:tmpl w:val="72AA8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556129"/>
    <w:multiLevelType w:val="hybridMultilevel"/>
    <w:tmpl w:val="C502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082176"/>
    <w:multiLevelType w:val="hybridMultilevel"/>
    <w:tmpl w:val="A2401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5F25EA"/>
    <w:multiLevelType w:val="hybridMultilevel"/>
    <w:tmpl w:val="E7AE8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53103C"/>
    <w:multiLevelType w:val="hybridMultilevel"/>
    <w:tmpl w:val="816222AA"/>
    <w:lvl w:ilvl="0" w:tplc="229637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7682659">
    <w:abstractNumId w:val="13"/>
  </w:num>
  <w:num w:numId="2" w16cid:durableId="2087532495">
    <w:abstractNumId w:val="11"/>
  </w:num>
  <w:num w:numId="3" w16cid:durableId="581183130">
    <w:abstractNumId w:val="10"/>
  </w:num>
  <w:num w:numId="4" w16cid:durableId="1014460139">
    <w:abstractNumId w:val="9"/>
  </w:num>
  <w:num w:numId="5" w16cid:durableId="1050031314">
    <w:abstractNumId w:val="8"/>
  </w:num>
  <w:num w:numId="6" w16cid:durableId="1245259427">
    <w:abstractNumId w:val="12"/>
  </w:num>
  <w:num w:numId="7" w16cid:durableId="1547571066">
    <w:abstractNumId w:val="7"/>
  </w:num>
  <w:num w:numId="8" w16cid:durableId="1502625334">
    <w:abstractNumId w:val="6"/>
  </w:num>
  <w:num w:numId="9" w16cid:durableId="1495995229">
    <w:abstractNumId w:val="5"/>
  </w:num>
  <w:num w:numId="10" w16cid:durableId="1178038896">
    <w:abstractNumId w:val="4"/>
  </w:num>
  <w:num w:numId="11" w16cid:durableId="706640680">
    <w:abstractNumId w:val="38"/>
  </w:num>
  <w:num w:numId="12" w16cid:durableId="1393458525">
    <w:abstractNumId w:val="39"/>
  </w:num>
  <w:num w:numId="13" w16cid:durableId="1403795062">
    <w:abstractNumId w:val="28"/>
  </w:num>
  <w:num w:numId="14" w16cid:durableId="871070712">
    <w:abstractNumId w:val="36"/>
  </w:num>
  <w:num w:numId="15" w16cid:durableId="1886210414">
    <w:abstractNumId w:val="17"/>
  </w:num>
  <w:num w:numId="16" w16cid:durableId="22174156">
    <w:abstractNumId w:val="32"/>
  </w:num>
  <w:num w:numId="17" w16cid:durableId="284627299">
    <w:abstractNumId w:val="31"/>
  </w:num>
  <w:num w:numId="18" w16cid:durableId="1806463460">
    <w:abstractNumId w:val="27"/>
  </w:num>
  <w:num w:numId="19" w16cid:durableId="1032729492">
    <w:abstractNumId w:val="30"/>
  </w:num>
  <w:num w:numId="20" w16cid:durableId="20770522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1718071">
    <w:abstractNumId w:val="24"/>
  </w:num>
  <w:num w:numId="22" w16cid:durableId="624042049">
    <w:abstractNumId w:val="19"/>
  </w:num>
  <w:num w:numId="23" w16cid:durableId="2056347578">
    <w:abstractNumId w:val="40"/>
  </w:num>
  <w:num w:numId="24" w16cid:durableId="2012563041">
    <w:abstractNumId w:val="33"/>
  </w:num>
  <w:num w:numId="25" w16cid:durableId="1841192404">
    <w:abstractNumId w:val="41"/>
  </w:num>
  <w:num w:numId="26" w16cid:durableId="1631202524">
    <w:abstractNumId w:val="42"/>
  </w:num>
  <w:num w:numId="27" w16cid:durableId="2009668504">
    <w:abstractNumId w:val="20"/>
  </w:num>
  <w:num w:numId="28" w16cid:durableId="1264538377">
    <w:abstractNumId w:val="14"/>
  </w:num>
  <w:num w:numId="29" w16cid:durableId="1235240006">
    <w:abstractNumId w:val="29"/>
  </w:num>
  <w:num w:numId="30" w16cid:durableId="2039507768">
    <w:abstractNumId w:val="37"/>
  </w:num>
  <w:num w:numId="31" w16cid:durableId="137311296">
    <w:abstractNumId w:val="34"/>
  </w:num>
  <w:num w:numId="32" w16cid:durableId="1550914332">
    <w:abstractNumId w:val="21"/>
  </w:num>
  <w:num w:numId="33" w16cid:durableId="1075736078">
    <w:abstractNumId w:val="22"/>
  </w:num>
  <w:num w:numId="34" w16cid:durableId="498152544">
    <w:abstractNumId w:val="15"/>
  </w:num>
  <w:num w:numId="35" w16cid:durableId="2019193219">
    <w:abstractNumId w:val="25"/>
  </w:num>
  <w:num w:numId="36" w16cid:durableId="2047756860">
    <w:abstractNumId w:val="23"/>
  </w:num>
  <w:num w:numId="37" w16cid:durableId="1288395324">
    <w:abstractNumId w:val="35"/>
  </w:num>
  <w:num w:numId="38" w16cid:durableId="1302271489">
    <w:abstractNumId w:val="16"/>
  </w:num>
  <w:num w:numId="39" w16cid:durableId="933901825">
    <w:abstractNumId w:val="2"/>
  </w:num>
  <w:num w:numId="40" w16cid:durableId="1182431286">
    <w:abstractNumId w:val="26"/>
  </w:num>
  <w:num w:numId="41" w16cid:durableId="938952793">
    <w:abstractNumId w:val="0"/>
  </w:num>
  <w:num w:numId="42" w16cid:durableId="208343604">
    <w:abstractNumId w:val="1"/>
  </w:num>
  <w:num w:numId="43" w16cid:durableId="698313538">
    <w:abstractNumId w:val="3"/>
  </w:num>
  <w:num w:numId="44" w16cid:durableId="11741074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E0D"/>
    <w:rsid w:val="0000101F"/>
    <w:rsid w:val="0000477A"/>
    <w:rsid w:val="0000533D"/>
    <w:rsid w:val="00010328"/>
    <w:rsid w:val="00011236"/>
    <w:rsid w:val="00011C22"/>
    <w:rsid w:val="000127AA"/>
    <w:rsid w:val="000147B6"/>
    <w:rsid w:val="00014818"/>
    <w:rsid w:val="000212EE"/>
    <w:rsid w:val="000215AE"/>
    <w:rsid w:val="00022466"/>
    <w:rsid w:val="00027449"/>
    <w:rsid w:val="00031FFF"/>
    <w:rsid w:val="00037752"/>
    <w:rsid w:val="00042C67"/>
    <w:rsid w:val="000435D6"/>
    <w:rsid w:val="00045A55"/>
    <w:rsid w:val="000477B3"/>
    <w:rsid w:val="00047F4D"/>
    <w:rsid w:val="00054A73"/>
    <w:rsid w:val="00063563"/>
    <w:rsid w:val="0006445B"/>
    <w:rsid w:val="0006746B"/>
    <w:rsid w:val="00067D7F"/>
    <w:rsid w:val="000747E1"/>
    <w:rsid w:val="00075F96"/>
    <w:rsid w:val="00086ECA"/>
    <w:rsid w:val="000A40D1"/>
    <w:rsid w:val="000A4825"/>
    <w:rsid w:val="000A4B34"/>
    <w:rsid w:val="000A51B1"/>
    <w:rsid w:val="000B1672"/>
    <w:rsid w:val="000B36AE"/>
    <w:rsid w:val="000B6C98"/>
    <w:rsid w:val="000B6C9C"/>
    <w:rsid w:val="000C0C1B"/>
    <w:rsid w:val="000C20D9"/>
    <w:rsid w:val="000C411E"/>
    <w:rsid w:val="000C42DE"/>
    <w:rsid w:val="000D203C"/>
    <w:rsid w:val="000D6A99"/>
    <w:rsid w:val="000D7E4D"/>
    <w:rsid w:val="000E14ED"/>
    <w:rsid w:val="000E23B5"/>
    <w:rsid w:val="000E2515"/>
    <w:rsid w:val="000E301F"/>
    <w:rsid w:val="000E6B64"/>
    <w:rsid w:val="000E7882"/>
    <w:rsid w:val="000F03DC"/>
    <w:rsid w:val="000F251E"/>
    <w:rsid w:val="000F2CE9"/>
    <w:rsid w:val="000F304C"/>
    <w:rsid w:val="000F395D"/>
    <w:rsid w:val="000F4A86"/>
    <w:rsid w:val="000F644C"/>
    <w:rsid w:val="001035C0"/>
    <w:rsid w:val="00104BC3"/>
    <w:rsid w:val="00124B98"/>
    <w:rsid w:val="00124BAD"/>
    <w:rsid w:val="0012607E"/>
    <w:rsid w:val="001263C7"/>
    <w:rsid w:val="0012644D"/>
    <w:rsid w:val="00130A80"/>
    <w:rsid w:val="00132062"/>
    <w:rsid w:val="0013300D"/>
    <w:rsid w:val="00142EC6"/>
    <w:rsid w:val="0014339D"/>
    <w:rsid w:val="00145201"/>
    <w:rsid w:val="00145868"/>
    <w:rsid w:val="0015149C"/>
    <w:rsid w:val="00151917"/>
    <w:rsid w:val="00152F10"/>
    <w:rsid w:val="00155080"/>
    <w:rsid w:val="00157F81"/>
    <w:rsid w:val="001619F2"/>
    <w:rsid w:val="00164A46"/>
    <w:rsid w:val="0017180B"/>
    <w:rsid w:val="001748E9"/>
    <w:rsid w:val="00174B99"/>
    <w:rsid w:val="00176244"/>
    <w:rsid w:val="00180FB9"/>
    <w:rsid w:val="00187888"/>
    <w:rsid w:val="00190050"/>
    <w:rsid w:val="001903FF"/>
    <w:rsid w:val="00194876"/>
    <w:rsid w:val="001A41EA"/>
    <w:rsid w:val="001A4C46"/>
    <w:rsid w:val="001A514C"/>
    <w:rsid w:val="001A59A6"/>
    <w:rsid w:val="001B46B7"/>
    <w:rsid w:val="001B5599"/>
    <w:rsid w:val="001B7ECA"/>
    <w:rsid w:val="001C4B14"/>
    <w:rsid w:val="001D77A4"/>
    <w:rsid w:val="001E0784"/>
    <w:rsid w:val="001E4EB5"/>
    <w:rsid w:val="001E54B9"/>
    <w:rsid w:val="001E6007"/>
    <w:rsid w:val="001E6DA5"/>
    <w:rsid w:val="001F2CF2"/>
    <w:rsid w:val="001F3313"/>
    <w:rsid w:val="001F3F1D"/>
    <w:rsid w:val="001F54C4"/>
    <w:rsid w:val="00201E44"/>
    <w:rsid w:val="00201F29"/>
    <w:rsid w:val="002044E6"/>
    <w:rsid w:val="00204A14"/>
    <w:rsid w:val="002064B6"/>
    <w:rsid w:val="002145BB"/>
    <w:rsid w:val="00217BC8"/>
    <w:rsid w:val="00217EFE"/>
    <w:rsid w:val="0023008B"/>
    <w:rsid w:val="002330C5"/>
    <w:rsid w:val="00233A1F"/>
    <w:rsid w:val="00234A05"/>
    <w:rsid w:val="002414BE"/>
    <w:rsid w:val="00250F36"/>
    <w:rsid w:val="00251B7C"/>
    <w:rsid w:val="0026043D"/>
    <w:rsid w:val="00260503"/>
    <w:rsid w:val="00260B0E"/>
    <w:rsid w:val="00260B39"/>
    <w:rsid w:val="00263213"/>
    <w:rsid w:val="00263361"/>
    <w:rsid w:val="00263DC2"/>
    <w:rsid w:val="00266E54"/>
    <w:rsid w:val="00276750"/>
    <w:rsid w:val="00276868"/>
    <w:rsid w:val="00277065"/>
    <w:rsid w:val="00277177"/>
    <w:rsid w:val="00281A17"/>
    <w:rsid w:val="00281B31"/>
    <w:rsid w:val="00284AF5"/>
    <w:rsid w:val="00290AEF"/>
    <w:rsid w:val="00293858"/>
    <w:rsid w:val="00294042"/>
    <w:rsid w:val="00294208"/>
    <w:rsid w:val="002A1D67"/>
    <w:rsid w:val="002A2D30"/>
    <w:rsid w:val="002A6434"/>
    <w:rsid w:val="002A7E78"/>
    <w:rsid w:val="002B2473"/>
    <w:rsid w:val="002B3585"/>
    <w:rsid w:val="002B58BB"/>
    <w:rsid w:val="002C4B56"/>
    <w:rsid w:val="002C73E9"/>
    <w:rsid w:val="002C7415"/>
    <w:rsid w:val="002D60EB"/>
    <w:rsid w:val="002D6D64"/>
    <w:rsid w:val="002E0621"/>
    <w:rsid w:val="002E361F"/>
    <w:rsid w:val="002E5510"/>
    <w:rsid w:val="002E6629"/>
    <w:rsid w:val="002F0CAE"/>
    <w:rsid w:val="002F1C2F"/>
    <w:rsid w:val="002F2D23"/>
    <w:rsid w:val="002F32A0"/>
    <w:rsid w:val="002F3CBE"/>
    <w:rsid w:val="00307134"/>
    <w:rsid w:val="00312797"/>
    <w:rsid w:val="00313BAD"/>
    <w:rsid w:val="00314CF3"/>
    <w:rsid w:val="00315028"/>
    <w:rsid w:val="00315237"/>
    <w:rsid w:val="00315929"/>
    <w:rsid w:val="0031607B"/>
    <w:rsid w:val="003177A8"/>
    <w:rsid w:val="003200B1"/>
    <w:rsid w:val="00320D63"/>
    <w:rsid w:val="003343D9"/>
    <w:rsid w:val="003413AE"/>
    <w:rsid w:val="00341846"/>
    <w:rsid w:val="00342297"/>
    <w:rsid w:val="0034553B"/>
    <w:rsid w:val="00346382"/>
    <w:rsid w:val="00346F97"/>
    <w:rsid w:val="00351260"/>
    <w:rsid w:val="00354B5B"/>
    <w:rsid w:val="00354E7E"/>
    <w:rsid w:val="00354FF9"/>
    <w:rsid w:val="00356269"/>
    <w:rsid w:val="003572CF"/>
    <w:rsid w:val="00371A57"/>
    <w:rsid w:val="00375F22"/>
    <w:rsid w:val="00375FF8"/>
    <w:rsid w:val="0037608F"/>
    <w:rsid w:val="00382666"/>
    <w:rsid w:val="0038724B"/>
    <w:rsid w:val="00387A5A"/>
    <w:rsid w:val="00391C39"/>
    <w:rsid w:val="00394F1F"/>
    <w:rsid w:val="003A0DA1"/>
    <w:rsid w:val="003A6025"/>
    <w:rsid w:val="003B01F9"/>
    <w:rsid w:val="003B05E3"/>
    <w:rsid w:val="003B1754"/>
    <w:rsid w:val="003B28A1"/>
    <w:rsid w:val="003B293C"/>
    <w:rsid w:val="003B3DC6"/>
    <w:rsid w:val="003B3E0A"/>
    <w:rsid w:val="003B5C5E"/>
    <w:rsid w:val="003C35E7"/>
    <w:rsid w:val="003C44A0"/>
    <w:rsid w:val="003C6B77"/>
    <w:rsid w:val="003D2494"/>
    <w:rsid w:val="003D5457"/>
    <w:rsid w:val="003D7795"/>
    <w:rsid w:val="003E066C"/>
    <w:rsid w:val="003E0CCE"/>
    <w:rsid w:val="003E0E35"/>
    <w:rsid w:val="003E2EC0"/>
    <w:rsid w:val="003E5064"/>
    <w:rsid w:val="003F09B3"/>
    <w:rsid w:val="003F20E8"/>
    <w:rsid w:val="003F3A5A"/>
    <w:rsid w:val="003F4F06"/>
    <w:rsid w:val="003F7B59"/>
    <w:rsid w:val="00401B39"/>
    <w:rsid w:val="00404C25"/>
    <w:rsid w:val="0040534E"/>
    <w:rsid w:val="004053EC"/>
    <w:rsid w:val="00406A5B"/>
    <w:rsid w:val="00410A44"/>
    <w:rsid w:val="00413E95"/>
    <w:rsid w:val="00417F27"/>
    <w:rsid w:val="00420559"/>
    <w:rsid w:val="00421319"/>
    <w:rsid w:val="004217DC"/>
    <w:rsid w:val="00423270"/>
    <w:rsid w:val="00423F6A"/>
    <w:rsid w:val="00424412"/>
    <w:rsid w:val="00424989"/>
    <w:rsid w:val="00430601"/>
    <w:rsid w:val="00431D4F"/>
    <w:rsid w:val="00434EC6"/>
    <w:rsid w:val="00434FDD"/>
    <w:rsid w:val="004354C0"/>
    <w:rsid w:val="0044027B"/>
    <w:rsid w:val="00440354"/>
    <w:rsid w:val="00441C80"/>
    <w:rsid w:val="00442E7F"/>
    <w:rsid w:val="004437D2"/>
    <w:rsid w:val="0044582A"/>
    <w:rsid w:val="00445F96"/>
    <w:rsid w:val="00447B86"/>
    <w:rsid w:val="004570E2"/>
    <w:rsid w:val="0046104C"/>
    <w:rsid w:val="00463A8D"/>
    <w:rsid w:val="0048171C"/>
    <w:rsid w:val="0048177F"/>
    <w:rsid w:val="00481C42"/>
    <w:rsid w:val="00482369"/>
    <w:rsid w:val="00485B89"/>
    <w:rsid w:val="004874C5"/>
    <w:rsid w:val="0049001A"/>
    <w:rsid w:val="00491C10"/>
    <w:rsid w:val="00494D1A"/>
    <w:rsid w:val="00496277"/>
    <w:rsid w:val="004A7BFA"/>
    <w:rsid w:val="004A7D3F"/>
    <w:rsid w:val="004B1640"/>
    <w:rsid w:val="004B22D1"/>
    <w:rsid w:val="004B2951"/>
    <w:rsid w:val="004B319D"/>
    <w:rsid w:val="004B4F57"/>
    <w:rsid w:val="004C163F"/>
    <w:rsid w:val="004C3A6A"/>
    <w:rsid w:val="004C712D"/>
    <w:rsid w:val="004D2019"/>
    <w:rsid w:val="004D3CB2"/>
    <w:rsid w:val="004D74B1"/>
    <w:rsid w:val="004E30A8"/>
    <w:rsid w:val="004E534D"/>
    <w:rsid w:val="004E5CDC"/>
    <w:rsid w:val="004E6865"/>
    <w:rsid w:val="004F02A8"/>
    <w:rsid w:val="004F0B55"/>
    <w:rsid w:val="004F497D"/>
    <w:rsid w:val="004F5457"/>
    <w:rsid w:val="00502E0D"/>
    <w:rsid w:val="0050414C"/>
    <w:rsid w:val="00504C13"/>
    <w:rsid w:val="00507E03"/>
    <w:rsid w:val="00510C1B"/>
    <w:rsid w:val="00510FD6"/>
    <w:rsid w:val="00512C32"/>
    <w:rsid w:val="00516FEC"/>
    <w:rsid w:val="00523081"/>
    <w:rsid w:val="00523200"/>
    <w:rsid w:val="0052662C"/>
    <w:rsid w:val="0052671E"/>
    <w:rsid w:val="00527ADC"/>
    <w:rsid w:val="00530C71"/>
    <w:rsid w:val="00530F29"/>
    <w:rsid w:val="00531789"/>
    <w:rsid w:val="005322BD"/>
    <w:rsid w:val="00540578"/>
    <w:rsid w:val="005426C2"/>
    <w:rsid w:val="00542BAE"/>
    <w:rsid w:val="00544635"/>
    <w:rsid w:val="00546238"/>
    <w:rsid w:val="00553FB4"/>
    <w:rsid w:val="00554260"/>
    <w:rsid w:val="005546E5"/>
    <w:rsid w:val="0055539B"/>
    <w:rsid w:val="0055706F"/>
    <w:rsid w:val="0056586B"/>
    <w:rsid w:val="005740B4"/>
    <w:rsid w:val="005749B5"/>
    <w:rsid w:val="005756BD"/>
    <w:rsid w:val="005778CF"/>
    <w:rsid w:val="005806E0"/>
    <w:rsid w:val="00583B2A"/>
    <w:rsid w:val="005860FE"/>
    <w:rsid w:val="00590123"/>
    <w:rsid w:val="0059065D"/>
    <w:rsid w:val="00591F7C"/>
    <w:rsid w:val="00593BB7"/>
    <w:rsid w:val="00594E54"/>
    <w:rsid w:val="005A3EBA"/>
    <w:rsid w:val="005A5077"/>
    <w:rsid w:val="005B1993"/>
    <w:rsid w:val="005C121F"/>
    <w:rsid w:val="005C4A60"/>
    <w:rsid w:val="005C6860"/>
    <w:rsid w:val="005D17AE"/>
    <w:rsid w:val="005D389D"/>
    <w:rsid w:val="005E602B"/>
    <w:rsid w:val="005F1BE8"/>
    <w:rsid w:val="005F214C"/>
    <w:rsid w:val="005F3CE1"/>
    <w:rsid w:val="005F5119"/>
    <w:rsid w:val="00603489"/>
    <w:rsid w:val="00604F74"/>
    <w:rsid w:val="0060535B"/>
    <w:rsid w:val="0060625B"/>
    <w:rsid w:val="006067D1"/>
    <w:rsid w:val="006078D0"/>
    <w:rsid w:val="006110E2"/>
    <w:rsid w:val="006114AF"/>
    <w:rsid w:val="00611E9C"/>
    <w:rsid w:val="00612DC5"/>
    <w:rsid w:val="00615AFF"/>
    <w:rsid w:val="00620D32"/>
    <w:rsid w:val="00620E05"/>
    <w:rsid w:val="00621AAC"/>
    <w:rsid w:val="006239CE"/>
    <w:rsid w:val="00623EEA"/>
    <w:rsid w:val="0062527A"/>
    <w:rsid w:val="00627781"/>
    <w:rsid w:val="00631365"/>
    <w:rsid w:val="006314A6"/>
    <w:rsid w:val="00635055"/>
    <w:rsid w:val="00642DE3"/>
    <w:rsid w:val="00643CD4"/>
    <w:rsid w:val="006464D3"/>
    <w:rsid w:val="006465B0"/>
    <w:rsid w:val="006473A7"/>
    <w:rsid w:val="00650BE1"/>
    <w:rsid w:val="00653370"/>
    <w:rsid w:val="006611D6"/>
    <w:rsid w:val="00665F5B"/>
    <w:rsid w:val="00667738"/>
    <w:rsid w:val="00667B8A"/>
    <w:rsid w:val="00675A65"/>
    <w:rsid w:val="00676CC8"/>
    <w:rsid w:val="00682E9D"/>
    <w:rsid w:val="00683FD5"/>
    <w:rsid w:val="006840DB"/>
    <w:rsid w:val="0068435A"/>
    <w:rsid w:val="00684CF1"/>
    <w:rsid w:val="00686CE9"/>
    <w:rsid w:val="00695862"/>
    <w:rsid w:val="0069591F"/>
    <w:rsid w:val="00697549"/>
    <w:rsid w:val="0069788A"/>
    <w:rsid w:val="006A0246"/>
    <w:rsid w:val="006A070C"/>
    <w:rsid w:val="006A18D5"/>
    <w:rsid w:val="006A663D"/>
    <w:rsid w:val="006B01B8"/>
    <w:rsid w:val="006B124E"/>
    <w:rsid w:val="006B3862"/>
    <w:rsid w:val="006B4956"/>
    <w:rsid w:val="006B51C6"/>
    <w:rsid w:val="006C1A5E"/>
    <w:rsid w:val="006C3E49"/>
    <w:rsid w:val="006C7F36"/>
    <w:rsid w:val="006D0E42"/>
    <w:rsid w:val="006D1744"/>
    <w:rsid w:val="006D178B"/>
    <w:rsid w:val="006D5780"/>
    <w:rsid w:val="006D6E83"/>
    <w:rsid w:val="006E6F0E"/>
    <w:rsid w:val="006E714A"/>
    <w:rsid w:val="006F2801"/>
    <w:rsid w:val="006F292F"/>
    <w:rsid w:val="006F32B8"/>
    <w:rsid w:val="006F503A"/>
    <w:rsid w:val="006F52BA"/>
    <w:rsid w:val="006F6302"/>
    <w:rsid w:val="007000CC"/>
    <w:rsid w:val="00711C6D"/>
    <w:rsid w:val="00716A11"/>
    <w:rsid w:val="007230FA"/>
    <w:rsid w:val="00727A09"/>
    <w:rsid w:val="0073303E"/>
    <w:rsid w:val="00742C88"/>
    <w:rsid w:val="00742D36"/>
    <w:rsid w:val="00743DE1"/>
    <w:rsid w:val="007456AA"/>
    <w:rsid w:val="00745F46"/>
    <w:rsid w:val="007465B2"/>
    <w:rsid w:val="00751520"/>
    <w:rsid w:val="007541C3"/>
    <w:rsid w:val="00756B28"/>
    <w:rsid w:val="007576CC"/>
    <w:rsid w:val="00763931"/>
    <w:rsid w:val="007647B0"/>
    <w:rsid w:val="00765625"/>
    <w:rsid w:val="007747FD"/>
    <w:rsid w:val="00775411"/>
    <w:rsid w:val="00775DC6"/>
    <w:rsid w:val="00782DCC"/>
    <w:rsid w:val="00782EDA"/>
    <w:rsid w:val="007836E8"/>
    <w:rsid w:val="00785CF6"/>
    <w:rsid w:val="00790898"/>
    <w:rsid w:val="007A2880"/>
    <w:rsid w:val="007A37BA"/>
    <w:rsid w:val="007A7DC9"/>
    <w:rsid w:val="007B2983"/>
    <w:rsid w:val="007B4860"/>
    <w:rsid w:val="007C0A5A"/>
    <w:rsid w:val="007C4FD1"/>
    <w:rsid w:val="007C5FA2"/>
    <w:rsid w:val="007C6C8A"/>
    <w:rsid w:val="007D04AC"/>
    <w:rsid w:val="007D0D27"/>
    <w:rsid w:val="007D1EBC"/>
    <w:rsid w:val="007D277E"/>
    <w:rsid w:val="007D5B99"/>
    <w:rsid w:val="007E040C"/>
    <w:rsid w:val="007E389D"/>
    <w:rsid w:val="007E573C"/>
    <w:rsid w:val="007E5B60"/>
    <w:rsid w:val="007F284C"/>
    <w:rsid w:val="007F359B"/>
    <w:rsid w:val="007F3816"/>
    <w:rsid w:val="007F5C80"/>
    <w:rsid w:val="0080229A"/>
    <w:rsid w:val="00807DED"/>
    <w:rsid w:val="008122A0"/>
    <w:rsid w:val="0081235B"/>
    <w:rsid w:val="008127FD"/>
    <w:rsid w:val="0081445F"/>
    <w:rsid w:val="00814F87"/>
    <w:rsid w:val="00816B70"/>
    <w:rsid w:val="00816D3E"/>
    <w:rsid w:val="008172B1"/>
    <w:rsid w:val="00820802"/>
    <w:rsid w:val="00820C84"/>
    <w:rsid w:val="00821506"/>
    <w:rsid w:val="0082382E"/>
    <w:rsid w:val="008244B2"/>
    <w:rsid w:val="00824F64"/>
    <w:rsid w:val="00832DE1"/>
    <w:rsid w:val="00833B0F"/>
    <w:rsid w:val="008341C9"/>
    <w:rsid w:val="008345D0"/>
    <w:rsid w:val="00834D53"/>
    <w:rsid w:val="008350C8"/>
    <w:rsid w:val="008370E7"/>
    <w:rsid w:val="00844B44"/>
    <w:rsid w:val="008509C9"/>
    <w:rsid w:val="00856E11"/>
    <w:rsid w:val="008626B5"/>
    <w:rsid w:val="00863997"/>
    <w:rsid w:val="00864319"/>
    <w:rsid w:val="0086630F"/>
    <w:rsid w:val="00866A38"/>
    <w:rsid w:val="008707F9"/>
    <w:rsid w:val="00874AD2"/>
    <w:rsid w:val="00875031"/>
    <w:rsid w:val="00877E6D"/>
    <w:rsid w:val="00880428"/>
    <w:rsid w:val="00880523"/>
    <w:rsid w:val="008824E6"/>
    <w:rsid w:val="0088639A"/>
    <w:rsid w:val="00887D9B"/>
    <w:rsid w:val="00892279"/>
    <w:rsid w:val="008944C4"/>
    <w:rsid w:val="0089506E"/>
    <w:rsid w:val="008A1173"/>
    <w:rsid w:val="008A152F"/>
    <w:rsid w:val="008A30EE"/>
    <w:rsid w:val="008A3B83"/>
    <w:rsid w:val="008B4430"/>
    <w:rsid w:val="008C2049"/>
    <w:rsid w:val="008C2AC8"/>
    <w:rsid w:val="008C3C9C"/>
    <w:rsid w:val="008C4E60"/>
    <w:rsid w:val="008C6680"/>
    <w:rsid w:val="008C77FA"/>
    <w:rsid w:val="008D3F45"/>
    <w:rsid w:val="008D3F8E"/>
    <w:rsid w:val="008D49D2"/>
    <w:rsid w:val="008D4B1D"/>
    <w:rsid w:val="008E0AE0"/>
    <w:rsid w:val="008E1045"/>
    <w:rsid w:val="008F23C9"/>
    <w:rsid w:val="008F2752"/>
    <w:rsid w:val="00900D23"/>
    <w:rsid w:val="009016A7"/>
    <w:rsid w:val="00906EAF"/>
    <w:rsid w:val="00921BE7"/>
    <w:rsid w:val="00922A55"/>
    <w:rsid w:val="0092333D"/>
    <w:rsid w:val="009246CD"/>
    <w:rsid w:val="00931EEB"/>
    <w:rsid w:val="00933F34"/>
    <w:rsid w:val="00935050"/>
    <w:rsid w:val="00936F79"/>
    <w:rsid w:val="009441F4"/>
    <w:rsid w:val="00944A3B"/>
    <w:rsid w:val="009450E0"/>
    <w:rsid w:val="00952395"/>
    <w:rsid w:val="00956AB1"/>
    <w:rsid w:val="00956C18"/>
    <w:rsid w:val="00957030"/>
    <w:rsid w:val="00957073"/>
    <w:rsid w:val="0096116C"/>
    <w:rsid w:val="00964B33"/>
    <w:rsid w:val="0097006B"/>
    <w:rsid w:val="00990AC1"/>
    <w:rsid w:val="009913BA"/>
    <w:rsid w:val="00991CB7"/>
    <w:rsid w:val="00995943"/>
    <w:rsid w:val="009A054E"/>
    <w:rsid w:val="009A1357"/>
    <w:rsid w:val="009A22C9"/>
    <w:rsid w:val="009A5C72"/>
    <w:rsid w:val="009A675F"/>
    <w:rsid w:val="009A769B"/>
    <w:rsid w:val="009B16CB"/>
    <w:rsid w:val="009B5DC2"/>
    <w:rsid w:val="009C105E"/>
    <w:rsid w:val="009C1BEF"/>
    <w:rsid w:val="009C202A"/>
    <w:rsid w:val="009C2166"/>
    <w:rsid w:val="009C27BE"/>
    <w:rsid w:val="009E043D"/>
    <w:rsid w:val="009E16C7"/>
    <w:rsid w:val="009E172B"/>
    <w:rsid w:val="009E1A24"/>
    <w:rsid w:val="009F10BF"/>
    <w:rsid w:val="009F1EF2"/>
    <w:rsid w:val="009F3130"/>
    <w:rsid w:val="009F4584"/>
    <w:rsid w:val="009F4DAB"/>
    <w:rsid w:val="00A00538"/>
    <w:rsid w:val="00A00D27"/>
    <w:rsid w:val="00A03195"/>
    <w:rsid w:val="00A12B63"/>
    <w:rsid w:val="00A23CD2"/>
    <w:rsid w:val="00A254E8"/>
    <w:rsid w:val="00A26F22"/>
    <w:rsid w:val="00A3605E"/>
    <w:rsid w:val="00A360FC"/>
    <w:rsid w:val="00A36BD1"/>
    <w:rsid w:val="00A40B93"/>
    <w:rsid w:val="00A413BA"/>
    <w:rsid w:val="00A42825"/>
    <w:rsid w:val="00A443D6"/>
    <w:rsid w:val="00A44B0E"/>
    <w:rsid w:val="00A44D85"/>
    <w:rsid w:val="00A44DF9"/>
    <w:rsid w:val="00A5425C"/>
    <w:rsid w:val="00A5567C"/>
    <w:rsid w:val="00A56306"/>
    <w:rsid w:val="00A57D4F"/>
    <w:rsid w:val="00A61106"/>
    <w:rsid w:val="00A622E2"/>
    <w:rsid w:val="00A670DE"/>
    <w:rsid w:val="00A70FE2"/>
    <w:rsid w:val="00A72112"/>
    <w:rsid w:val="00A77C50"/>
    <w:rsid w:val="00A81D71"/>
    <w:rsid w:val="00A83AC9"/>
    <w:rsid w:val="00A86E9B"/>
    <w:rsid w:val="00A87C82"/>
    <w:rsid w:val="00A87FFB"/>
    <w:rsid w:val="00A92061"/>
    <w:rsid w:val="00A95388"/>
    <w:rsid w:val="00AA0DDA"/>
    <w:rsid w:val="00AA1A53"/>
    <w:rsid w:val="00AA1C70"/>
    <w:rsid w:val="00AA30D0"/>
    <w:rsid w:val="00AA4EED"/>
    <w:rsid w:val="00AA5A71"/>
    <w:rsid w:val="00AA5B25"/>
    <w:rsid w:val="00AA7FAE"/>
    <w:rsid w:val="00AC1FC9"/>
    <w:rsid w:val="00AC23E2"/>
    <w:rsid w:val="00AC5A02"/>
    <w:rsid w:val="00AD1E97"/>
    <w:rsid w:val="00AD3F79"/>
    <w:rsid w:val="00AD5A34"/>
    <w:rsid w:val="00AD5F1E"/>
    <w:rsid w:val="00AE18DC"/>
    <w:rsid w:val="00AE299A"/>
    <w:rsid w:val="00AE2A18"/>
    <w:rsid w:val="00AE2CB6"/>
    <w:rsid w:val="00AE3A05"/>
    <w:rsid w:val="00AE49FB"/>
    <w:rsid w:val="00AE4C00"/>
    <w:rsid w:val="00AE72FE"/>
    <w:rsid w:val="00AE7BC2"/>
    <w:rsid w:val="00AF5D93"/>
    <w:rsid w:val="00AF5E7F"/>
    <w:rsid w:val="00AF6B26"/>
    <w:rsid w:val="00B04F75"/>
    <w:rsid w:val="00B07032"/>
    <w:rsid w:val="00B0726F"/>
    <w:rsid w:val="00B12215"/>
    <w:rsid w:val="00B15620"/>
    <w:rsid w:val="00B2351F"/>
    <w:rsid w:val="00B24349"/>
    <w:rsid w:val="00B26FC8"/>
    <w:rsid w:val="00B30C34"/>
    <w:rsid w:val="00B36BA1"/>
    <w:rsid w:val="00B37C78"/>
    <w:rsid w:val="00B402FA"/>
    <w:rsid w:val="00B41119"/>
    <w:rsid w:val="00B437EA"/>
    <w:rsid w:val="00B45971"/>
    <w:rsid w:val="00B45C4B"/>
    <w:rsid w:val="00B5301B"/>
    <w:rsid w:val="00B62030"/>
    <w:rsid w:val="00B62416"/>
    <w:rsid w:val="00B647AA"/>
    <w:rsid w:val="00B654CA"/>
    <w:rsid w:val="00B76660"/>
    <w:rsid w:val="00B76D27"/>
    <w:rsid w:val="00B83F48"/>
    <w:rsid w:val="00B85660"/>
    <w:rsid w:val="00B85AB4"/>
    <w:rsid w:val="00B86893"/>
    <w:rsid w:val="00B90FD7"/>
    <w:rsid w:val="00BA03CE"/>
    <w:rsid w:val="00BA1B27"/>
    <w:rsid w:val="00BA29B1"/>
    <w:rsid w:val="00BB1CE3"/>
    <w:rsid w:val="00BB2455"/>
    <w:rsid w:val="00BB2623"/>
    <w:rsid w:val="00BB2B5E"/>
    <w:rsid w:val="00BB3188"/>
    <w:rsid w:val="00BB37EA"/>
    <w:rsid w:val="00BB5581"/>
    <w:rsid w:val="00BB66B4"/>
    <w:rsid w:val="00BB6EF9"/>
    <w:rsid w:val="00BC631F"/>
    <w:rsid w:val="00BC7AC3"/>
    <w:rsid w:val="00BD564C"/>
    <w:rsid w:val="00BD5A7D"/>
    <w:rsid w:val="00BD613A"/>
    <w:rsid w:val="00BE0FAC"/>
    <w:rsid w:val="00BE4392"/>
    <w:rsid w:val="00BE4923"/>
    <w:rsid w:val="00BE55C8"/>
    <w:rsid w:val="00BE7D6F"/>
    <w:rsid w:val="00BF07F1"/>
    <w:rsid w:val="00BF4BEC"/>
    <w:rsid w:val="00BF6C07"/>
    <w:rsid w:val="00C01830"/>
    <w:rsid w:val="00C03A95"/>
    <w:rsid w:val="00C06C76"/>
    <w:rsid w:val="00C1193F"/>
    <w:rsid w:val="00C11FB5"/>
    <w:rsid w:val="00C12422"/>
    <w:rsid w:val="00C151FA"/>
    <w:rsid w:val="00C1670E"/>
    <w:rsid w:val="00C243AA"/>
    <w:rsid w:val="00C3268C"/>
    <w:rsid w:val="00C34109"/>
    <w:rsid w:val="00C3537F"/>
    <w:rsid w:val="00C37937"/>
    <w:rsid w:val="00C41C95"/>
    <w:rsid w:val="00C4207D"/>
    <w:rsid w:val="00C46159"/>
    <w:rsid w:val="00C509BF"/>
    <w:rsid w:val="00C5342C"/>
    <w:rsid w:val="00C610D9"/>
    <w:rsid w:val="00C63A0C"/>
    <w:rsid w:val="00C64D3E"/>
    <w:rsid w:val="00C759EA"/>
    <w:rsid w:val="00C77FC0"/>
    <w:rsid w:val="00C801F8"/>
    <w:rsid w:val="00C831B1"/>
    <w:rsid w:val="00C9195E"/>
    <w:rsid w:val="00C9341D"/>
    <w:rsid w:val="00C9766E"/>
    <w:rsid w:val="00CA049C"/>
    <w:rsid w:val="00CA4328"/>
    <w:rsid w:val="00CA4343"/>
    <w:rsid w:val="00CA5893"/>
    <w:rsid w:val="00CA5926"/>
    <w:rsid w:val="00CA613A"/>
    <w:rsid w:val="00CB192D"/>
    <w:rsid w:val="00CB6A33"/>
    <w:rsid w:val="00CD6361"/>
    <w:rsid w:val="00CE7E5B"/>
    <w:rsid w:val="00CF0E11"/>
    <w:rsid w:val="00CF1108"/>
    <w:rsid w:val="00CF561C"/>
    <w:rsid w:val="00CF6217"/>
    <w:rsid w:val="00D06CFB"/>
    <w:rsid w:val="00D07607"/>
    <w:rsid w:val="00D07CD7"/>
    <w:rsid w:val="00D10A71"/>
    <w:rsid w:val="00D11E03"/>
    <w:rsid w:val="00D1216D"/>
    <w:rsid w:val="00D144BF"/>
    <w:rsid w:val="00D14AE9"/>
    <w:rsid w:val="00D16C69"/>
    <w:rsid w:val="00D16F43"/>
    <w:rsid w:val="00D17572"/>
    <w:rsid w:val="00D23AB7"/>
    <w:rsid w:val="00D32267"/>
    <w:rsid w:val="00D33BCF"/>
    <w:rsid w:val="00D372FF"/>
    <w:rsid w:val="00D40296"/>
    <w:rsid w:val="00D47193"/>
    <w:rsid w:val="00D477EB"/>
    <w:rsid w:val="00D54FF3"/>
    <w:rsid w:val="00D55649"/>
    <w:rsid w:val="00D55B2D"/>
    <w:rsid w:val="00D56971"/>
    <w:rsid w:val="00D57181"/>
    <w:rsid w:val="00D62739"/>
    <w:rsid w:val="00D709AB"/>
    <w:rsid w:val="00D72E30"/>
    <w:rsid w:val="00D74E6B"/>
    <w:rsid w:val="00D76DE3"/>
    <w:rsid w:val="00D76E4A"/>
    <w:rsid w:val="00D80416"/>
    <w:rsid w:val="00D8195F"/>
    <w:rsid w:val="00D83744"/>
    <w:rsid w:val="00D92B98"/>
    <w:rsid w:val="00D93A87"/>
    <w:rsid w:val="00D94F27"/>
    <w:rsid w:val="00DA0C40"/>
    <w:rsid w:val="00DA2340"/>
    <w:rsid w:val="00DA2909"/>
    <w:rsid w:val="00DA35FB"/>
    <w:rsid w:val="00DA3F88"/>
    <w:rsid w:val="00DA4579"/>
    <w:rsid w:val="00DA7671"/>
    <w:rsid w:val="00DB1424"/>
    <w:rsid w:val="00DB1C21"/>
    <w:rsid w:val="00DB2383"/>
    <w:rsid w:val="00DC19C1"/>
    <w:rsid w:val="00DC4207"/>
    <w:rsid w:val="00DC500E"/>
    <w:rsid w:val="00DC5EAA"/>
    <w:rsid w:val="00DC7558"/>
    <w:rsid w:val="00DD32FC"/>
    <w:rsid w:val="00DD4A52"/>
    <w:rsid w:val="00DE7200"/>
    <w:rsid w:val="00DE7838"/>
    <w:rsid w:val="00DF0D4A"/>
    <w:rsid w:val="00DF1FE9"/>
    <w:rsid w:val="00DF3F22"/>
    <w:rsid w:val="00DF5D73"/>
    <w:rsid w:val="00E02734"/>
    <w:rsid w:val="00E105BF"/>
    <w:rsid w:val="00E109AA"/>
    <w:rsid w:val="00E1333B"/>
    <w:rsid w:val="00E13347"/>
    <w:rsid w:val="00E13934"/>
    <w:rsid w:val="00E15178"/>
    <w:rsid w:val="00E230E0"/>
    <w:rsid w:val="00E2422A"/>
    <w:rsid w:val="00E244D6"/>
    <w:rsid w:val="00E252AF"/>
    <w:rsid w:val="00E253EC"/>
    <w:rsid w:val="00E26579"/>
    <w:rsid w:val="00E320CF"/>
    <w:rsid w:val="00E36D9F"/>
    <w:rsid w:val="00E3743F"/>
    <w:rsid w:val="00E37662"/>
    <w:rsid w:val="00E545E9"/>
    <w:rsid w:val="00E555C8"/>
    <w:rsid w:val="00E57E48"/>
    <w:rsid w:val="00E62611"/>
    <w:rsid w:val="00E63B27"/>
    <w:rsid w:val="00E7107C"/>
    <w:rsid w:val="00E72EE4"/>
    <w:rsid w:val="00E82C94"/>
    <w:rsid w:val="00E85723"/>
    <w:rsid w:val="00E862C9"/>
    <w:rsid w:val="00E90731"/>
    <w:rsid w:val="00E93EA7"/>
    <w:rsid w:val="00EA5DA3"/>
    <w:rsid w:val="00EB009A"/>
    <w:rsid w:val="00EB1502"/>
    <w:rsid w:val="00EB52B4"/>
    <w:rsid w:val="00EC019B"/>
    <w:rsid w:val="00EC0F3B"/>
    <w:rsid w:val="00EC14AE"/>
    <w:rsid w:val="00EC1D55"/>
    <w:rsid w:val="00EC52DA"/>
    <w:rsid w:val="00EC6BD6"/>
    <w:rsid w:val="00EC7353"/>
    <w:rsid w:val="00ED0A66"/>
    <w:rsid w:val="00ED150C"/>
    <w:rsid w:val="00ED31F0"/>
    <w:rsid w:val="00ED54D5"/>
    <w:rsid w:val="00ED6388"/>
    <w:rsid w:val="00ED6E9F"/>
    <w:rsid w:val="00EE08C6"/>
    <w:rsid w:val="00EE0CE4"/>
    <w:rsid w:val="00EE2620"/>
    <w:rsid w:val="00EE4C24"/>
    <w:rsid w:val="00EE5249"/>
    <w:rsid w:val="00EE552E"/>
    <w:rsid w:val="00EE61BC"/>
    <w:rsid w:val="00EE7148"/>
    <w:rsid w:val="00EF352A"/>
    <w:rsid w:val="00EF48A7"/>
    <w:rsid w:val="00EF535E"/>
    <w:rsid w:val="00EF5A92"/>
    <w:rsid w:val="00EF6A6C"/>
    <w:rsid w:val="00F02BB1"/>
    <w:rsid w:val="00F07353"/>
    <w:rsid w:val="00F1393D"/>
    <w:rsid w:val="00F17B8B"/>
    <w:rsid w:val="00F205AA"/>
    <w:rsid w:val="00F21D50"/>
    <w:rsid w:val="00F36D72"/>
    <w:rsid w:val="00F409B7"/>
    <w:rsid w:val="00F41C2F"/>
    <w:rsid w:val="00F4773E"/>
    <w:rsid w:val="00F52ECD"/>
    <w:rsid w:val="00F550FF"/>
    <w:rsid w:val="00F55878"/>
    <w:rsid w:val="00F55C63"/>
    <w:rsid w:val="00F60757"/>
    <w:rsid w:val="00F61886"/>
    <w:rsid w:val="00F61B01"/>
    <w:rsid w:val="00F7291E"/>
    <w:rsid w:val="00F74373"/>
    <w:rsid w:val="00F750E6"/>
    <w:rsid w:val="00F76120"/>
    <w:rsid w:val="00F77478"/>
    <w:rsid w:val="00F77DDD"/>
    <w:rsid w:val="00F80C52"/>
    <w:rsid w:val="00F8221B"/>
    <w:rsid w:val="00FA27C1"/>
    <w:rsid w:val="00FA3B94"/>
    <w:rsid w:val="00FA3EFF"/>
    <w:rsid w:val="00FA4693"/>
    <w:rsid w:val="00FA5DA3"/>
    <w:rsid w:val="00FB3140"/>
    <w:rsid w:val="00FB5B24"/>
    <w:rsid w:val="00FB72F4"/>
    <w:rsid w:val="00FC00C7"/>
    <w:rsid w:val="00FC5C60"/>
    <w:rsid w:val="00FC7A0D"/>
    <w:rsid w:val="00FC7E78"/>
    <w:rsid w:val="00FD236E"/>
    <w:rsid w:val="00FD37C7"/>
    <w:rsid w:val="00FD41BE"/>
    <w:rsid w:val="00FD43BB"/>
    <w:rsid w:val="00FD441D"/>
    <w:rsid w:val="00FD7329"/>
    <w:rsid w:val="00FD781F"/>
    <w:rsid w:val="00FE06D9"/>
    <w:rsid w:val="00FE7064"/>
    <w:rsid w:val="00FF1ADF"/>
    <w:rsid w:val="00FF1D6C"/>
    <w:rsid w:val="00FF45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D810F6"/>
  <w15:docId w15:val="{66AC59ED-D454-4938-B6A4-7AF4DC71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3E9"/>
    <w:rPr>
      <w:rFonts w:ascii="Arial" w:hAnsi="Arial"/>
      <w:sz w:val="18"/>
    </w:rPr>
  </w:style>
  <w:style w:type="paragraph" w:styleId="Titre1">
    <w:name w:val="heading 1"/>
    <w:basedOn w:val="Normal"/>
    <w:next w:val="Normal"/>
    <w:link w:val="Titre1Car"/>
    <w:uiPriority w:val="9"/>
    <w:qFormat/>
    <w:rsid w:val="00481C42"/>
    <w:pPr>
      <w:keepNext/>
      <w:keepLines/>
      <w:spacing w:before="480" w:after="60"/>
      <w:outlineLvl w:val="0"/>
    </w:pPr>
    <w:rPr>
      <w:rFonts w:eastAsiaTheme="majorEastAsia" w:cstheme="majorBidi"/>
      <w:b/>
      <w:bCs/>
      <w:color w:val="000000" w:themeColor="text1"/>
      <w:sz w:val="28"/>
      <w:szCs w:val="28"/>
    </w:rPr>
  </w:style>
  <w:style w:type="paragraph" w:styleId="Titre2">
    <w:name w:val="heading 2"/>
    <w:basedOn w:val="Normal"/>
    <w:next w:val="Normal"/>
    <w:link w:val="Titre2Car"/>
    <w:uiPriority w:val="9"/>
    <w:unhideWhenUsed/>
    <w:qFormat/>
    <w:rsid w:val="00481C42"/>
    <w:pPr>
      <w:keepNext/>
      <w:keepLines/>
      <w:spacing w:before="200" w:after="60"/>
      <w:outlineLvl w:val="1"/>
    </w:pPr>
    <w:rPr>
      <w:rFonts w:eastAsiaTheme="majorEastAsia" w:cstheme="majorBidi"/>
      <w:b/>
      <w:bCs/>
      <w:color w:val="000000" w:themeColor="text1"/>
      <w:sz w:val="26"/>
      <w:szCs w:val="26"/>
    </w:rPr>
  </w:style>
  <w:style w:type="paragraph" w:styleId="Titre3">
    <w:name w:val="heading 3"/>
    <w:basedOn w:val="Normal"/>
    <w:next w:val="Normal"/>
    <w:link w:val="Titre3Car"/>
    <w:autoRedefine/>
    <w:uiPriority w:val="9"/>
    <w:unhideWhenUsed/>
    <w:qFormat/>
    <w:rsid w:val="00481C42"/>
    <w:pPr>
      <w:keepNext/>
      <w:keepLines/>
      <w:spacing w:before="200" w:after="60"/>
      <w:outlineLvl w:val="2"/>
    </w:pPr>
    <w:rPr>
      <w:rFonts w:eastAsiaTheme="majorEastAsia" w:cstheme="majorBidi"/>
      <w:b/>
      <w:bCs/>
      <w:color w:val="000000" w:themeColor="text1"/>
    </w:rPr>
  </w:style>
  <w:style w:type="paragraph" w:styleId="Titre4">
    <w:name w:val="heading 4"/>
    <w:basedOn w:val="Normal"/>
    <w:next w:val="Normal"/>
    <w:link w:val="Titre4Car"/>
    <w:uiPriority w:val="9"/>
    <w:unhideWhenUsed/>
    <w:qFormat/>
    <w:rsid w:val="008122A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02E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2E0D"/>
    <w:rPr>
      <w:rFonts w:ascii="Tahoma" w:hAnsi="Tahoma" w:cs="Tahoma"/>
      <w:sz w:val="16"/>
      <w:szCs w:val="16"/>
    </w:rPr>
  </w:style>
  <w:style w:type="paragraph" w:styleId="Titre">
    <w:name w:val="Title"/>
    <w:basedOn w:val="Normal"/>
    <w:next w:val="Normal"/>
    <w:link w:val="TitreCar"/>
    <w:autoRedefine/>
    <w:uiPriority w:val="10"/>
    <w:qFormat/>
    <w:rsid w:val="009F10BF"/>
    <w:pPr>
      <w:pBdr>
        <w:bottom w:val="single" w:sz="8" w:space="1" w:color="7030A0"/>
      </w:pBdr>
      <w:spacing w:after="300" w:line="240" w:lineRule="auto"/>
      <w:contextualSpacing/>
    </w:pPr>
    <w:rPr>
      <w:rFonts w:eastAsiaTheme="majorEastAsia" w:cstheme="majorBidi"/>
      <w:color w:val="000000" w:themeColor="text1"/>
      <w:spacing w:val="5"/>
      <w:kern w:val="28"/>
      <w:sz w:val="40"/>
      <w:szCs w:val="52"/>
    </w:rPr>
  </w:style>
  <w:style w:type="character" w:customStyle="1" w:styleId="TitreCar">
    <w:name w:val="Titre Car"/>
    <w:basedOn w:val="Policepardfaut"/>
    <w:link w:val="Titre"/>
    <w:uiPriority w:val="10"/>
    <w:rsid w:val="009F10BF"/>
    <w:rPr>
      <w:rFonts w:ascii="Arial" w:eastAsiaTheme="majorEastAsia" w:hAnsi="Arial" w:cstheme="majorBidi"/>
      <w:color w:val="000000" w:themeColor="text1"/>
      <w:spacing w:val="5"/>
      <w:kern w:val="28"/>
      <w:sz w:val="40"/>
      <w:szCs w:val="52"/>
    </w:rPr>
  </w:style>
  <w:style w:type="paragraph" w:styleId="Textebrut">
    <w:name w:val="Plain Text"/>
    <w:basedOn w:val="Normal"/>
    <w:link w:val="TextebrutCar"/>
    <w:uiPriority w:val="99"/>
    <w:unhideWhenUsed/>
    <w:rsid w:val="00502E0D"/>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502E0D"/>
    <w:rPr>
      <w:rFonts w:ascii="Consolas" w:hAnsi="Consolas" w:cs="Consolas"/>
      <w:sz w:val="21"/>
      <w:szCs w:val="21"/>
    </w:rPr>
  </w:style>
  <w:style w:type="character" w:customStyle="1" w:styleId="Titre1Car">
    <w:name w:val="Titre 1 Car"/>
    <w:basedOn w:val="Policepardfaut"/>
    <w:link w:val="Titre1"/>
    <w:uiPriority w:val="9"/>
    <w:rsid w:val="00481C42"/>
    <w:rPr>
      <w:rFonts w:ascii="Arial" w:eastAsiaTheme="majorEastAsia" w:hAnsi="Arial" w:cstheme="majorBidi"/>
      <w:b/>
      <w:bCs/>
      <w:color w:val="000000" w:themeColor="text1"/>
      <w:sz w:val="28"/>
      <w:szCs w:val="28"/>
    </w:rPr>
  </w:style>
  <w:style w:type="paragraph" w:styleId="Paragraphedeliste">
    <w:name w:val="List Paragraph"/>
    <w:basedOn w:val="Normal"/>
    <w:uiPriority w:val="34"/>
    <w:qFormat/>
    <w:rsid w:val="004E534D"/>
    <w:pPr>
      <w:ind w:left="720"/>
      <w:contextualSpacing/>
    </w:pPr>
  </w:style>
  <w:style w:type="character" w:customStyle="1" w:styleId="Titre2Car">
    <w:name w:val="Titre 2 Car"/>
    <w:basedOn w:val="Policepardfaut"/>
    <w:link w:val="Titre2"/>
    <w:uiPriority w:val="9"/>
    <w:rsid w:val="00481C42"/>
    <w:rPr>
      <w:rFonts w:ascii="Arial" w:eastAsiaTheme="majorEastAsia" w:hAnsi="Arial" w:cstheme="majorBidi"/>
      <w:b/>
      <w:bCs/>
      <w:color w:val="000000" w:themeColor="text1"/>
      <w:sz w:val="26"/>
      <w:szCs w:val="26"/>
    </w:rPr>
  </w:style>
  <w:style w:type="table" w:styleId="Grilledutableau">
    <w:name w:val="Table Grid"/>
    <w:basedOn w:val="TableauNormal"/>
    <w:rsid w:val="005F1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
    <w:name w:val="Light List"/>
    <w:basedOn w:val="TableauNormal"/>
    <w:uiPriority w:val="61"/>
    <w:rsid w:val="005F1BE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lev">
    <w:name w:val="Strong"/>
    <w:basedOn w:val="Policepardfaut"/>
    <w:uiPriority w:val="22"/>
    <w:qFormat/>
    <w:rsid w:val="005F1BE8"/>
    <w:rPr>
      <w:rFonts w:ascii="Arial" w:hAnsi="Arial"/>
      <w:b/>
      <w:bCs/>
      <w:sz w:val="18"/>
    </w:rPr>
  </w:style>
  <w:style w:type="character" w:customStyle="1" w:styleId="Titre3Car">
    <w:name w:val="Titre 3 Car"/>
    <w:basedOn w:val="Policepardfaut"/>
    <w:link w:val="Titre3"/>
    <w:uiPriority w:val="9"/>
    <w:rsid w:val="00481C42"/>
    <w:rPr>
      <w:rFonts w:ascii="Arial" w:eastAsiaTheme="majorEastAsia" w:hAnsi="Arial" w:cstheme="majorBidi"/>
      <w:b/>
      <w:bCs/>
      <w:color w:val="000000" w:themeColor="text1"/>
      <w:sz w:val="18"/>
    </w:rPr>
  </w:style>
  <w:style w:type="paragraph" w:styleId="En-tte">
    <w:name w:val="header"/>
    <w:basedOn w:val="Normal"/>
    <w:link w:val="En-tteCar"/>
    <w:uiPriority w:val="99"/>
    <w:unhideWhenUsed/>
    <w:rsid w:val="007747FD"/>
    <w:pPr>
      <w:tabs>
        <w:tab w:val="center" w:pos="4680"/>
        <w:tab w:val="right" w:pos="9360"/>
      </w:tabs>
      <w:spacing w:after="0" w:line="240" w:lineRule="auto"/>
    </w:pPr>
  </w:style>
  <w:style w:type="character" w:customStyle="1" w:styleId="En-tteCar">
    <w:name w:val="En-tête Car"/>
    <w:basedOn w:val="Policepardfaut"/>
    <w:link w:val="En-tte"/>
    <w:uiPriority w:val="99"/>
    <w:rsid w:val="007747FD"/>
    <w:rPr>
      <w:rFonts w:ascii="Arial" w:hAnsi="Arial"/>
      <w:sz w:val="18"/>
    </w:rPr>
  </w:style>
  <w:style w:type="paragraph" w:styleId="Pieddepage">
    <w:name w:val="footer"/>
    <w:basedOn w:val="Normal"/>
    <w:link w:val="PieddepageCar"/>
    <w:uiPriority w:val="99"/>
    <w:unhideWhenUsed/>
    <w:rsid w:val="007747F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747FD"/>
    <w:rPr>
      <w:rFonts w:ascii="Arial" w:hAnsi="Arial"/>
      <w:sz w:val="18"/>
    </w:rPr>
  </w:style>
  <w:style w:type="paragraph" w:customStyle="1" w:styleId="SP241826">
    <w:name w:val="SP241826"/>
    <w:basedOn w:val="Normal"/>
    <w:next w:val="Normal"/>
    <w:uiPriority w:val="99"/>
    <w:rsid w:val="00C243AA"/>
    <w:pPr>
      <w:autoSpaceDE w:val="0"/>
      <w:autoSpaceDN w:val="0"/>
      <w:adjustRightInd w:val="0"/>
      <w:spacing w:after="0" w:line="240" w:lineRule="auto"/>
    </w:pPr>
    <w:rPr>
      <w:rFonts w:ascii="Times New Roman" w:hAnsi="Times New Roman" w:cs="Times New Roman"/>
      <w:sz w:val="24"/>
      <w:szCs w:val="24"/>
    </w:rPr>
  </w:style>
  <w:style w:type="paragraph" w:customStyle="1" w:styleId="SP241705">
    <w:name w:val="SP241705"/>
    <w:basedOn w:val="Normal"/>
    <w:next w:val="Normal"/>
    <w:uiPriority w:val="99"/>
    <w:rsid w:val="00C243AA"/>
    <w:pPr>
      <w:autoSpaceDE w:val="0"/>
      <w:autoSpaceDN w:val="0"/>
      <w:adjustRightInd w:val="0"/>
      <w:spacing w:after="0" w:line="240" w:lineRule="auto"/>
    </w:pPr>
    <w:rPr>
      <w:rFonts w:ascii="Times New Roman" w:hAnsi="Times New Roman" w:cs="Times New Roman"/>
      <w:sz w:val="24"/>
      <w:szCs w:val="24"/>
    </w:rPr>
  </w:style>
  <w:style w:type="character" w:customStyle="1" w:styleId="SC1512">
    <w:name w:val="SC1512"/>
    <w:uiPriority w:val="99"/>
    <w:rsid w:val="00C243AA"/>
    <w:rPr>
      <w:color w:val="000000"/>
      <w:sz w:val="20"/>
      <w:szCs w:val="20"/>
    </w:rPr>
  </w:style>
  <w:style w:type="paragraph" w:customStyle="1" w:styleId="Default">
    <w:name w:val="Default"/>
    <w:rsid w:val="00AE2A18"/>
    <w:pPr>
      <w:autoSpaceDE w:val="0"/>
      <w:autoSpaceDN w:val="0"/>
      <w:adjustRightInd w:val="0"/>
      <w:spacing w:after="0" w:line="240" w:lineRule="auto"/>
    </w:pPr>
    <w:rPr>
      <w:rFonts w:ascii="Verdana" w:hAnsi="Verdana" w:cs="Verdana"/>
      <w:color w:val="000000"/>
      <w:sz w:val="24"/>
      <w:szCs w:val="24"/>
    </w:rPr>
  </w:style>
  <w:style w:type="character" w:customStyle="1" w:styleId="shorttext">
    <w:name w:val="short_text"/>
    <w:basedOn w:val="Policepardfaut"/>
    <w:rsid w:val="007D5B99"/>
  </w:style>
  <w:style w:type="character" w:customStyle="1" w:styleId="hps">
    <w:name w:val="hps"/>
    <w:basedOn w:val="Policepardfaut"/>
    <w:rsid w:val="007D5B99"/>
  </w:style>
  <w:style w:type="paragraph" w:customStyle="1" w:styleId="SP5282723">
    <w:name w:val="SP.5.282723"/>
    <w:basedOn w:val="Normal"/>
    <w:uiPriority w:val="99"/>
    <w:rsid w:val="0040534E"/>
    <w:pPr>
      <w:autoSpaceDE w:val="0"/>
      <w:autoSpaceDN w:val="0"/>
      <w:spacing w:after="0" w:line="240" w:lineRule="auto"/>
    </w:pPr>
    <w:rPr>
      <w:rFonts w:cs="Arial"/>
      <w:sz w:val="24"/>
      <w:szCs w:val="24"/>
    </w:rPr>
  </w:style>
  <w:style w:type="character" w:customStyle="1" w:styleId="SC5188495">
    <w:name w:val="SC.5.188495"/>
    <w:basedOn w:val="Policepardfaut"/>
    <w:uiPriority w:val="99"/>
    <w:rsid w:val="0040534E"/>
    <w:rPr>
      <w:b/>
      <w:bCs/>
      <w:color w:val="211D1E"/>
    </w:rPr>
  </w:style>
  <w:style w:type="paragraph" w:customStyle="1" w:styleId="Special">
    <w:name w:val="Special"/>
    <w:basedOn w:val="Normal"/>
    <w:rsid w:val="004570E2"/>
    <w:pPr>
      <w:spacing w:after="0" w:line="240" w:lineRule="auto"/>
      <w:jc w:val="center"/>
    </w:pPr>
    <w:rPr>
      <w:rFonts w:eastAsia="SimSun" w:cs="Arial"/>
      <w:sz w:val="20"/>
      <w:szCs w:val="20"/>
      <w:lang w:eastAsia="zh-CN"/>
    </w:rPr>
  </w:style>
  <w:style w:type="paragraph" w:styleId="PrformatHTML">
    <w:name w:val="HTML Preformatted"/>
    <w:basedOn w:val="Normal"/>
    <w:link w:val="PrformatHTMLCar"/>
    <w:uiPriority w:val="99"/>
    <w:semiHidden/>
    <w:unhideWhenUsed/>
    <w:rsid w:val="00FD4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FD41BE"/>
    <w:rPr>
      <w:rFonts w:ascii="Courier New" w:eastAsia="Times New Roman" w:hAnsi="Courier New" w:cs="Courier New"/>
      <w:sz w:val="20"/>
      <w:szCs w:val="20"/>
    </w:rPr>
  </w:style>
  <w:style w:type="character" w:styleId="Lienhypertexte">
    <w:name w:val="Hyperlink"/>
    <w:basedOn w:val="Policepardfaut"/>
    <w:uiPriority w:val="99"/>
    <w:unhideWhenUsed/>
    <w:rsid w:val="00B76660"/>
    <w:rPr>
      <w:color w:val="0000FF" w:themeColor="hyperlink"/>
      <w:u w:val="single"/>
    </w:rPr>
  </w:style>
  <w:style w:type="character" w:customStyle="1" w:styleId="Titre4Car">
    <w:name w:val="Titre 4 Car"/>
    <w:basedOn w:val="Policepardfaut"/>
    <w:link w:val="Titre4"/>
    <w:uiPriority w:val="9"/>
    <w:rsid w:val="008122A0"/>
    <w:rPr>
      <w:rFonts w:asciiTheme="majorHAnsi" w:eastAsiaTheme="majorEastAsia" w:hAnsiTheme="majorHAnsi" w:cstheme="majorBidi"/>
      <w:i/>
      <w:iCs/>
      <w:color w:val="365F91" w:themeColor="accent1" w:themeShade="BF"/>
      <w:sz w:val="18"/>
    </w:rPr>
  </w:style>
  <w:style w:type="paragraph" w:styleId="Rvision">
    <w:name w:val="Revision"/>
    <w:hidden/>
    <w:uiPriority w:val="99"/>
    <w:semiHidden/>
    <w:rsid w:val="00EE61BC"/>
    <w:pPr>
      <w:spacing w:after="0" w:line="240" w:lineRule="auto"/>
    </w:pPr>
    <w:rPr>
      <w:rFonts w:ascii="Arial" w:hAnsi="Arial"/>
      <w:sz w:val="18"/>
    </w:rPr>
  </w:style>
  <w:style w:type="character" w:customStyle="1" w:styleId="UnresolvedMention1">
    <w:name w:val="Unresolved Mention1"/>
    <w:basedOn w:val="Policepardfaut"/>
    <w:uiPriority w:val="99"/>
    <w:semiHidden/>
    <w:unhideWhenUsed/>
    <w:rsid w:val="00B654CA"/>
    <w:rPr>
      <w:color w:val="605E5C"/>
      <w:shd w:val="clear" w:color="auto" w:fill="E1DFDD"/>
    </w:rPr>
  </w:style>
  <w:style w:type="character" w:styleId="Marquedecommentaire">
    <w:name w:val="annotation reference"/>
    <w:basedOn w:val="Policepardfaut"/>
    <w:uiPriority w:val="99"/>
    <w:semiHidden/>
    <w:unhideWhenUsed/>
    <w:rsid w:val="007C5FA2"/>
    <w:rPr>
      <w:sz w:val="16"/>
      <w:szCs w:val="16"/>
    </w:rPr>
  </w:style>
  <w:style w:type="paragraph" w:styleId="Commentaire">
    <w:name w:val="annotation text"/>
    <w:basedOn w:val="Normal"/>
    <w:link w:val="CommentaireCar"/>
    <w:uiPriority w:val="99"/>
    <w:semiHidden/>
    <w:unhideWhenUsed/>
    <w:rsid w:val="007C5FA2"/>
    <w:pPr>
      <w:spacing w:line="240" w:lineRule="auto"/>
    </w:pPr>
    <w:rPr>
      <w:sz w:val="20"/>
      <w:szCs w:val="20"/>
    </w:rPr>
  </w:style>
  <w:style w:type="character" w:customStyle="1" w:styleId="CommentaireCar">
    <w:name w:val="Commentaire Car"/>
    <w:basedOn w:val="Policepardfaut"/>
    <w:link w:val="Commentaire"/>
    <w:uiPriority w:val="99"/>
    <w:semiHidden/>
    <w:rsid w:val="007C5FA2"/>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7C5FA2"/>
    <w:rPr>
      <w:b/>
      <w:bCs/>
    </w:rPr>
  </w:style>
  <w:style w:type="character" w:customStyle="1" w:styleId="ObjetducommentaireCar">
    <w:name w:val="Objet du commentaire Car"/>
    <w:basedOn w:val="CommentaireCar"/>
    <w:link w:val="Objetducommentaire"/>
    <w:uiPriority w:val="99"/>
    <w:semiHidden/>
    <w:rsid w:val="007C5FA2"/>
    <w:rPr>
      <w:rFonts w:ascii="Arial" w:hAnsi="Arial"/>
      <w:b/>
      <w:bCs/>
      <w:sz w:val="20"/>
      <w:szCs w:val="20"/>
    </w:rPr>
  </w:style>
  <w:style w:type="paragraph" w:styleId="En-ttedetabledesmatires">
    <w:name w:val="TOC Heading"/>
    <w:basedOn w:val="Titre1"/>
    <w:next w:val="Normal"/>
    <w:uiPriority w:val="39"/>
    <w:unhideWhenUsed/>
    <w:qFormat/>
    <w:rsid w:val="00B45971"/>
    <w:pPr>
      <w:spacing w:before="240" w:line="259" w:lineRule="auto"/>
      <w:outlineLvl w:val="9"/>
    </w:pPr>
    <w:rPr>
      <w:rFonts w:asciiTheme="majorHAnsi" w:hAnsiTheme="majorHAnsi"/>
      <w:b w:val="0"/>
      <w:bCs w:val="0"/>
      <w:color w:val="365F91" w:themeColor="accent1" w:themeShade="BF"/>
      <w:sz w:val="32"/>
      <w:szCs w:val="32"/>
    </w:rPr>
  </w:style>
  <w:style w:type="paragraph" w:styleId="TM1">
    <w:name w:val="toc 1"/>
    <w:basedOn w:val="Normal"/>
    <w:next w:val="Normal"/>
    <w:autoRedefine/>
    <w:uiPriority w:val="39"/>
    <w:unhideWhenUsed/>
    <w:rsid w:val="00B45971"/>
    <w:pPr>
      <w:tabs>
        <w:tab w:val="right" w:leader="dot" w:pos="9350"/>
      </w:tabs>
      <w:spacing w:after="60"/>
    </w:pPr>
  </w:style>
  <w:style w:type="paragraph" w:styleId="TM2">
    <w:name w:val="toc 2"/>
    <w:basedOn w:val="Normal"/>
    <w:next w:val="Normal"/>
    <w:autoRedefine/>
    <w:uiPriority w:val="39"/>
    <w:unhideWhenUsed/>
    <w:rsid w:val="00B45971"/>
    <w:pPr>
      <w:spacing w:after="100"/>
      <w:ind w:left="180"/>
    </w:pPr>
  </w:style>
  <w:style w:type="paragraph" w:styleId="TM3">
    <w:name w:val="toc 3"/>
    <w:basedOn w:val="Normal"/>
    <w:next w:val="Normal"/>
    <w:autoRedefine/>
    <w:uiPriority w:val="39"/>
    <w:unhideWhenUsed/>
    <w:rsid w:val="00164A46"/>
    <w:pPr>
      <w:tabs>
        <w:tab w:val="right" w:leader="dot" w:pos="9350"/>
      </w:tabs>
      <w:spacing w:after="100"/>
      <w:ind w:left="360"/>
    </w:pPr>
  </w:style>
  <w:style w:type="character" w:customStyle="1" w:styleId="flagicon">
    <w:name w:val="flagicon"/>
    <w:basedOn w:val="Policepardfaut"/>
    <w:rsid w:val="00313BAD"/>
  </w:style>
  <w:style w:type="character" w:styleId="Mentionnonrsolue">
    <w:name w:val="Unresolved Mention"/>
    <w:basedOn w:val="Policepardfaut"/>
    <w:uiPriority w:val="99"/>
    <w:semiHidden/>
    <w:unhideWhenUsed/>
    <w:rsid w:val="00394F1F"/>
    <w:rPr>
      <w:color w:val="605E5C"/>
      <w:shd w:val="clear" w:color="auto" w:fill="E1DFDD"/>
    </w:rPr>
  </w:style>
  <w:style w:type="character" w:styleId="Lienhypertextesuivivisit">
    <w:name w:val="FollowedHyperlink"/>
    <w:basedOn w:val="Policepardfaut"/>
    <w:uiPriority w:val="99"/>
    <w:semiHidden/>
    <w:unhideWhenUsed/>
    <w:rsid w:val="00394F1F"/>
    <w:rPr>
      <w:color w:val="800080" w:themeColor="followedHyperlink"/>
      <w:u w:val="single"/>
    </w:rPr>
  </w:style>
  <w:style w:type="character" w:customStyle="1" w:styleId="A0">
    <w:name w:val="A0"/>
    <w:uiPriority w:val="99"/>
    <w:rsid w:val="002C7415"/>
    <w:rPr>
      <w:rFonts w:cs="Foundry Sterling Bold"/>
      <w:b/>
      <w:bCs/>
      <w:color w:val="000000"/>
      <w:sz w:val="14"/>
      <w:szCs w:val="14"/>
    </w:rPr>
  </w:style>
  <w:style w:type="character" w:customStyle="1" w:styleId="sc-hjhjly">
    <w:name w:val="sc-hjhjly"/>
    <w:basedOn w:val="Policepardfaut"/>
    <w:rsid w:val="001B5599"/>
  </w:style>
  <w:style w:type="character" w:customStyle="1" w:styleId="y2iqfc">
    <w:name w:val="y2iqfc"/>
    <w:basedOn w:val="Policepardfaut"/>
    <w:rsid w:val="00AD3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3818">
      <w:bodyDiv w:val="1"/>
      <w:marLeft w:val="0"/>
      <w:marRight w:val="0"/>
      <w:marTop w:val="0"/>
      <w:marBottom w:val="0"/>
      <w:divBdr>
        <w:top w:val="none" w:sz="0" w:space="0" w:color="auto"/>
        <w:left w:val="none" w:sz="0" w:space="0" w:color="auto"/>
        <w:bottom w:val="none" w:sz="0" w:space="0" w:color="auto"/>
        <w:right w:val="none" w:sz="0" w:space="0" w:color="auto"/>
      </w:divBdr>
    </w:div>
    <w:div w:id="145518545">
      <w:bodyDiv w:val="1"/>
      <w:marLeft w:val="0"/>
      <w:marRight w:val="0"/>
      <w:marTop w:val="0"/>
      <w:marBottom w:val="0"/>
      <w:divBdr>
        <w:top w:val="none" w:sz="0" w:space="0" w:color="auto"/>
        <w:left w:val="none" w:sz="0" w:space="0" w:color="auto"/>
        <w:bottom w:val="none" w:sz="0" w:space="0" w:color="auto"/>
        <w:right w:val="none" w:sz="0" w:space="0" w:color="auto"/>
      </w:divBdr>
    </w:div>
    <w:div w:id="164709810">
      <w:bodyDiv w:val="1"/>
      <w:marLeft w:val="0"/>
      <w:marRight w:val="0"/>
      <w:marTop w:val="0"/>
      <w:marBottom w:val="0"/>
      <w:divBdr>
        <w:top w:val="none" w:sz="0" w:space="0" w:color="auto"/>
        <w:left w:val="none" w:sz="0" w:space="0" w:color="auto"/>
        <w:bottom w:val="none" w:sz="0" w:space="0" w:color="auto"/>
        <w:right w:val="none" w:sz="0" w:space="0" w:color="auto"/>
      </w:divBdr>
    </w:div>
    <w:div w:id="180977510">
      <w:bodyDiv w:val="1"/>
      <w:marLeft w:val="0"/>
      <w:marRight w:val="0"/>
      <w:marTop w:val="0"/>
      <w:marBottom w:val="0"/>
      <w:divBdr>
        <w:top w:val="none" w:sz="0" w:space="0" w:color="auto"/>
        <w:left w:val="none" w:sz="0" w:space="0" w:color="auto"/>
        <w:bottom w:val="none" w:sz="0" w:space="0" w:color="auto"/>
        <w:right w:val="none" w:sz="0" w:space="0" w:color="auto"/>
      </w:divBdr>
    </w:div>
    <w:div w:id="219481985">
      <w:bodyDiv w:val="1"/>
      <w:marLeft w:val="0"/>
      <w:marRight w:val="0"/>
      <w:marTop w:val="0"/>
      <w:marBottom w:val="0"/>
      <w:divBdr>
        <w:top w:val="none" w:sz="0" w:space="0" w:color="auto"/>
        <w:left w:val="none" w:sz="0" w:space="0" w:color="auto"/>
        <w:bottom w:val="none" w:sz="0" w:space="0" w:color="auto"/>
        <w:right w:val="none" w:sz="0" w:space="0" w:color="auto"/>
      </w:divBdr>
    </w:div>
    <w:div w:id="263806124">
      <w:bodyDiv w:val="1"/>
      <w:marLeft w:val="0"/>
      <w:marRight w:val="0"/>
      <w:marTop w:val="0"/>
      <w:marBottom w:val="0"/>
      <w:divBdr>
        <w:top w:val="none" w:sz="0" w:space="0" w:color="auto"/>
        <w:left w:val="none" w:sz="0" w:space="0" w:color="auto"/>
        <w:bottom w:val="none" w:sz="0" w:space="0" w:color="auto"/>
        <w:right w:val="none" w:sz="0" w:space="0" w:color="auto"/>
      </w:divBdr>
    </w:div>
    <w:div w:id="283001754">
      <w:bodyDiv w:val="1"/>
      <w:marLeft w:val="0"/>
      <w:marRight w:val="0"/>
      <w:marTop w:val="0"/>
      <w:marBottom w:val="0"/>
      <w:divBdr>
        <w:top w:val="none" w:sz="0" w:space="0" w:color="auto"/>
        <w:left w:val="none" w:sz="0" w:space="0" w:color="auto"/>
        <w:bottom w:val="none" w:sz="0" w:space="0" w:color="auto"/>
        <w:right w:val="none" w:sz="0" w:space="0" w:color="auto"/>
      </w:divBdr>
    </w:div>
    <w:div w:id="438063538">
      <w:bodyDiv w:val="1"/>
      <w:marLeft w:val="0"/>
      <w:marRight w:val="0"/>
      <w:marTop w:val="0"/>
      <w:marBottom w:val="0"/>
      <w:divBdr>
        <w:top w:val="none" w:sz="0" w:space="0" w:color="auto"/>
        <w:left w:val="none" w:sz="0" w:space="0" w:color="auto"/>
        <w:bottom w:val="none" w:sz="0" w:space="0" w:color="auto"/>
        <w:right w:val="none" w:sz="0" w:space="0" w:color="auto"/>
      </w:divBdr>
    </w:div>
    <w:div w:id="480460606">
      <w:bodyDiv w:val="1"/>
      <w:marLeft w:val="0"/>
      <w:marRight w:val="0"/>
      <w:marTop w:val="0"/>
      <w:marBottom w:val="0"/>
      <w:divBdr>
        <w:top w:val="none" w:sz="0" w:space="0" w:color="auto"/>
        <w:left w:val="none" w:sz="0" w:space="0" w:color="auto"/>
        <w:bottom w:val="none" w:sz="0" w:space="0" w:color="auto"/>
        <w:right w:val="none" w:sz="0" w:space="0" w:color="auto"/>
      </w:divBdr>
    </w:div>
    <w:div w:id="489097072">
      <w:bodyDiv w:val="1"/>
      <w:marLeft w:val="0"/>
      <w:marRight w:val="0"/>
      <w:marTop w:val="0"/>
      <w:marBottom w:val="0"/>
      <w:divBdr>
        <w:top w:val="none" w:sz="0" w:space="0" w:color="auto"/>
        <w:left w:val="none" w:sz="0" w:space="0" w:color="auto"/>
        <w:bottom w:val="none" w:sz="0" w:space="0" w:color="auto"/>
        <w:right w:val="none" w:sz="0" w:space="0" w:color="auto"/>
      </w:divBdr>
    </w:div>
    <w:div w:id="515775712">
      <w:bodyDiv w:val="1"/>
      <w:marLeft w:val="0"/>
      <w:marRight w:val="0"/>
      <w:marTop w:val="0"/>
      <w:marBottom w:val="0"/>
      <w:divBdr>
        <w:top w:val="none" w:sz="0" w:space="0" w:color="auto"/>
        <w:left w:val="none" w:sz="0" w:space="0" w:color="auto"/>
        <w:bottom w:val="none" w:sz="0" w:space="0" w:color="auto"/>
        <w:right w:val="none" w:sz="0" w:space="0" w:color="auto"/>
      </w:divBdr>
    </w:div>
    <w:div w:id="575553824">
      <w:bodyDiv w:val="1"/>
      <w:marLeft w:val="0"/>
      <w:marRight w:val="0"/>
      <w:marTop w:val="0"/>
      <w:marBottom w:val="0"/>
      <w:divBdr>
        <w:top w:val="none" w:sz="0" w:space="0" w:color="auto"/>
        <w:left w:val="none" w:sz="0" w:space="0" w:color="auto"/>
        <w:bottom w:val="none" w:sz="0" w:space="0" w:color="auto"/>
        <w:right w:val="none" w:sz="0" w:space="0" w:color="auto"/>
      </w:divBdr>
    </w:div>
    <w:div w:id="607394447">
      <w:bodyDiv w:val="1"/>
      <w:marLeft w:val="0"/>
      <w:marRight w:val="0"/>
      <w:marTop w:val="0"/>
      <w:marBottom w:val="0"/>
      <w:divBdr>
        <w:top w:val="none" w:sz="0" w:space="0" w:color="auto"/>
        <w:left w:val="none" w:sz="0" w:space="0" w:color="auto"/>
        <w:bottom w:val="none" w:sz="0" w:space="0" w:color="auto"/>
        <w:right w:val="none" w:sz="0" w:space="0" w:color="auto"/>
      </w:divBdr>
    </w:div>
    <w:div w:id="623119421">
      <w:bodyDiv w:val="1"/>
      <w:marLeft w:val="0"/>
      <w:marRight w:val="0"/>
      <w:marTop w:val="0"/>
      <w:marBottom w:val="0"/>
      <w:divBdr>
        <w:top w:val="none" w:sz="0" w:space="0" w:color="auto"/>
        <w:left w:val="none" w:sz="0" w:space="0" w:color="auto"/>
        <w:bottom w:val="none" w:sz="0" w:space="0" w:color="auto"/>
        <w:right w:val="none" w:sz="0" w:space="0" w:color="auto"/>
      </w:divBdr>
    </w:div>
    <w:div w:id="623658188">
      <w:bodyDiv w:val="1"/>
      <w:marLeft w:val="0"/>
      <w:marRight w:val="0"/>
      <w:marTop w:val="0"/>
      <w:marBottom w:val="0"/>
      <w:divBdr>
        <w:top w:val="none" w:sz="0" w:space="0" w:color="auto"/>
        <w:left w:val="none" w:sz="0" w:space="0" w:color="auto"/>
        <w:bottom w:val="none" w:sz="0" w:space="0" w:color="auto"/>
        <w:right w:val="none" w:sz="0" w:space="0" w:color="auto"/>
      </w:divBdr>
    </w:div>
    <w:div w:id="659583222">
      <w:bodyDiv w:val="1"/>
      <w:marLeft w:val="0"/>
      <w:marRight w:val="0"/>
      <w:marTop w:val="0"/>
      <w:marBottom w:val="0"/>
      <w:divBdr>
        <w:top w:val="none" w:sz="0" w:space="0" w:color="auto"/>
        <w:left w:val="none" w:sz="0" w:space="0" w:color="auto"/>
        <w:bottom w:val="none" w:sz="0" w:space="0" w:color="auto"/>
        <w:right w:val="none" w:sz="0" w:space="0" w:color="auto"/>
      </w:divBdr>
    </w:div>
    <w:div w:id="758865888">
      <w:bodyDiv w:val="1"/>
      <w:marLeft w:val="0"/>
      <w:marRight w:val="0"/>
      <w:marTop w:val="0"/>
      <w:marBottom w:val="0"/>
      <w:divBdr>
        <w:top w:val="none" w:sz="0" w:space="0" w:color="auto"/>
        <w:left w:val="none" w:sz="0" w:space="0" w:color="auto"/>
        <w:bottom w:val="none" w:sz="0" w:space="0" w:color="auto"/>
        <w:right w:val="none" w:sz="0" w:space="0" w:color="auto"/>
      </w:divBdr>
    </w:div>
    <w:div w:id="1031765060">
      <w:bodyDiv w:val="1"/>
      <w:marLeft w:val="0"/>
      <w:marRight w:val="0"/>
      <w:marTop w:val="0"/>
      <w:marBottom w:val="0"/>
      <w:divBdr>
        <w:top w:val="none" w:sz="0" w:space="0" w:color="auto"/>
        <w:left w:val="none" w:sz="0" w:space="0" w:color="auto"/>
        <w:bottom w:val="none" w:sz="0" w:space="0" w:color="auto"/>
        <w:right w:val="none" w:sz="0" w:space="0" w:color="auto"/>
      </w:divBdr>
    </w:div>
    <w:div w:id="1064523845">
      <w:bodyDiv w:val="1"/>
      <w:marLeft w:val="0"/>
      <w:marRight w:val="0"/>
      <w:marTop w:val="0"/>
      <w:marBottom w:val="0"/>
      <w:divBdr>
        <w:top w:val="none" w:sz="0" w:space="0" w:color="auto"/>
        <w:left w:val="none" w:sz="0" w:space="0" w:color="auto"/>
        <w:bottom w:val="none" w:sz="0" w:space="0" w:color="auto"/>
        <w:right w:val="none" w:sz="0" w:space="0" w:color="auto"/>
      </w:divBdr>
    </w:div>
    <w:div w:id="1175803610">
      <w:bodyDiv w:val="1"/>
      <w:marLeft w:val="0"/>
      <w:marRight w:val="0"/>
      <w:marTop w:val="0"/>
      <w:marBottom w:val="0"/>
      <w:divBdr>
        <w:top w:val="none" w:sz="0" w:space="0" w:color="auto"/>
        <w:left w:val="none" w:sz="0" w:space="0" w:color="auto"/>
        <w:bottom w:val="none" w:sz="0" w:space="0" w:color="auto"/>
        <w:right w:val="none" w:sz="0" w:space="0" w:color="auto"/>
      </w:divBdr>
    </w:div>
    <w:div w:id="1257247352">
      <w:bodyDiv w:val="1"/>
      <w:marLeft w:val="0"/>
      <w:marRight w:val="0"/>
      <w:marTop w:val="0"/>
      <w:marBottom w:val="0"/>
      <w:divBdr>
        <w:top w:val="none" w:sz="0" w:space="0" w:color="auto"/>
        <w:left w:val="none" w:sz="0" w:space="0" w:color="auto"/>
        <w:bottom w:val="none" w:sz="0" w:space="0" w:color="auto"/>
        <w:right w:val="none" w:sz="0" w:space="0" w:color="auto"/>
      </w:divBdr>
    </w:div>
    <w:div w:id="1297370213">
      <w:bodyDiv w:val="1"/>
      <w:marLeft w:val="0"/>
      <w:marRight w:val="0"/>
      <w:marTop w:val="0"/>
      <w:marBottom w:val="0"/>
      <w:divBdr>
        <w:top w:val="none" w:sz="0" w:space="0" w:color="auto"/>
        <w:left w:val="none" w:sz="0" w:space="0" w:color="auto"/>
        <w:bottom w:val="none" w:sz="0" w:space="0" w:color="auto"/>
        <w:right w:val="none" w:sz="0" w:space="0" w:color="auto"/>
      </w:divBdr>
    </w:div>
    <w:div w:id="1333800805">
      <w:bodyDiv w:val="1"/>
      <w:marLeft w:val="0"/>
      <w:marRight w:val="0"/>
      <w:marTop w:val="0"/>
      <w:marBottom w:val="0"/>
      <w:divBdr>
        <w:top w:val="none" w:sz="0" w:space="0" w:color="auto"/>
        <w:left w:val="none" w:sz="0" w:space="0" w:color="auto"/>
        <w:bottom w:val="none" w:sz="0" w:space="0" w:color="auto"/>
        <w:right w:val="none" w:sz="0" w:space="0" w:color="auto"/>
      </w:divBdr>
    </w:div>
    <w:div w:id="1436438910">
      <w:bodyDiv w:val="1"/>
      <w:marLeft w:val="0"/>
      <w:marRight w:val="0"/>
      <w:marTop w:val="0"/>
      <w:marBottom w:val="0"/>
      <w:divBdr>
        <w:top w:val="none" w:sz="0" w:space="0" w:color="auto"/>
        <w:left w:val="none" w:sz="0" w:space="0" w:color="auto"/>
        <w:bottom w:val="none" w:sz="0" w:space="0" w:color="auto"/>
        <w:right w:val="none" w:sz="0" w:space="0" w:color="auto"/>
      </w:divBdr>
    </w:div>
    <w:div w:id="1496611380">
      <w:bodyDiv w:val="1"/>
      <w:marLeft w:val="0"/>
      <w:marRight w:val="0"/>
      <w:marTop w:val="0"/>
      <w:marBottom w:val="0"/>
      <w:divBdr>
        <w:top w:val="none" w:sz="0" w:space="0" w:color="auto"/>
        <w:left w:val="none" w:sz="0" w:space="0" w:color="auto"/>
        <w:bottom w:val="none" w:sz="0" w:space="0" w:color="auto"/>
        <w:right w:val="none" w:sz="0" w:space="0" w:color="auto"/>
      </w:divBdr>
    </w:div>
    <w:div w:id="1497770396">
      <w:bodyDiv w:val="1"/>
      <w:marLeft w:val="0"/>
      <w:marRight w:val="0"/>
      <w:marTop w:val="0"/>
      <w:marBottom w:val="0"/>
      <w:divBdr>
        <w:top w:val="none" w:sz="0" w:space="0" w:color="auto"/>
        <w:left w:val="none" w:sz="0" w:space="0" w:color="auto"/>
        <w:bottom w:val="none" w:sz="0" w:space="0" w:color="auto"/>
        <w:right w:val="none" w:sz="0" w:space="0" w:color="auto"/>
      </w:divBdr>
    </w:div>
    <w:div w:id="1534416934">
      <w:bodyDiv w:val="1"/>
      <w:marLeft w:val="0"/>
      <w:marRight w:val="0"/>
      <w:marTop w:val="0"/>
      <w:marBottom w:val="0"/>
      <w:divBdr>
        <w:top w:val="none" w:sz="0" w:space="0" w:color="auto"/>
        <w:left w:val="none" w:sz="0" w:space="0" w:color="auto"/>
        <w:bottom w:val="none" w:sz="0" w:space="0" w:color="auto"/>
        <w:right w:val="none" w:sz="0" w:space="0" w:color="auto"/>
      </w:divBdr>
    </w:div>
    <w:div w:id="1606302102">
      <w:bodyDiv w:val="1"/>
      <w:marLeft w:val="0"/>
      <w:marRight w:val="0"/>
      <w:marTop w:val="0"/>
      <w:marBottom w:val="0"/>
      <w:divBdr>
        <w:top w:val="none" w:sz="0" w:space="0" w:color="auto"/>
        <w:left w:val="none" w:sz="0" w:space="0" w:color="auto"/>
        <w:bottom w:val="none" w:sz="0" w:space="0" w:color="auto"/>
        <w:right w:val="none" w:sz="0" w:space="0" w:color="auto"/>
      </w:divBdr>
    </w:div>
    <w:div w:id="1615095388">
      <w:bodyDiv w:val="1"/>
      <w:marLeft w:val="0"/>
      <w:marRight w:val="0"/>
      <w:marTop w:val="0"/>
      <w:marBottom w:val="0"/>
      <w:divBdr>
        <w:top w:val="none" w:sz="0" w:space="0" w:color="auto"/>
        <w:left w:val="none" w:sz="0" w:space="0" w:color="auto"/>
        <w:bottom w:val="none" w:sz="0" w:space="0" w:color="auto"/>
        <w:right w:val="none" w:sz="0" w:space="0" w:color="auto"/>
      </w:divBdr>
      <w:divsChild>
        <w:div w:id="1241016623">
          <w:marLeft w:val="0"/>
          <w:marRight w:val="0"/>
          <w:marTop w:val="0"/>
          <w:marBottom w:val="0"/>
          <w:divBdr>
            <w:top w:val="none" w:sz="0" w:space="0" w:color="auto"/>
            <w:left w:val="none" w:sz="0" w:space="0" w:color="auto"/>
            <w:bottom w:val="none" w:sz="0" w:space="0" w:color="auto"/>
            <w:right w:val="none" w:sz="0" w:space="0" w:color="auto"/>
          </w:divBdr>
          <w:divsChild>
            <w:div w:id="53433418">
              <w:marLeft w:val="0"/>
              <w:marRight w:val="0"/>
              <w:marTop w:val="0"/>
              <w:marBottom w:val="0"/>
              <w:divBdr>
                <w:top w:val="none" w:sz="0" w:space="0" w:color="auto"/>
                <w:left w:val="none" w:sz="0" w:space="0" w:color="auto"/>
                <w:bottom w:val="none" w:sz="0" w:space="0" w:color="auto"/>
                <w:right w:val="none" w:sz="0" w:space="0" w:color="auto"/>
              </w:divBdr>
              <w:divsChild>
                <w:div w:id="476916732">
                  <w:marLeft w:val="0"/>
                  <w:marRight w:val="0"/>
                  <w:marTop w:val="0"/>
                  <w:marBottom w:val="0"/>
                  <w:divBdr>
                    <w:top w:val="none" w:sz="0" w:space="0" w:color="auto"/>
                    <w:left w:val="none" w:sz="0" w:space="0" w:color="auto"/>
                    <w:bottom w:val="none" w:sz="0" w:space="0" w:color="auto"/>
                    <w:right w:val="none" w:sz="0" w:space="0" w:color="auto"/>
                  </w:divBdr>
                  <w:divsChild>
                    <w:div w:id="254750060">
                      <w:marLeft w:val="0"/>
                      <w:marRight w:val="0"/>
                      <w:marTop w:val="0"/>
                      <w:marBottom w:val="0"/>
                      <w:divBdr>
                        <w:top w:val="none" w:sz="0" w:space="0" w:color="auto"/>
                        <w:left w:val="none" w:sz="0" w:space="0" w:color="auto"/>
                        <w:bottom w:val="none" w:sz="0" w:space="0" w:color="auto"/>
                        <w:right w:val="none" w:sz="0" w:space="0" w:color="auto"/>
                      </w:divBdr>
                      <w:divsChild>
                        <w:div w:id="1349454505">
                          <w:marLeft w:val="0"/>
                          <w:marRight w:val="0"/>
                          <w:marTop w:val="0"/>
                          <w:marBottom w:val="0"/>
                          <w:divBdr>
                            <w:top w:val="none" w:sz="0" w:space="0" w:color="auto"/>
                            <w:left w:val="none" w:sz="0" w:space="0" w:color="auto"/>
                            <w:bottom w:val="none" w:sz="0" w:space="0" w:color="auto"/>
                            <w:right w:val="none" w:sz="0" w:space="0" w:color="auto"/>
                          </w:divBdr>
                          <w:divsChild>
                            <w:div w:id="2056418237">
                              <w:marLeft w:val="0"/>
                              <w:marRight w:val="0"/>
                              <w:marTop w:val="0"/>
                              <w:marBottom w:val="0"/>
                              <w:divBdr>
                                <w:top w:val="none" w:sz="0" w:space="0" w:color="auto"/>
                                <w:left w:val="none" w:sz="0" w:space="0" w:color="auto"/>
                                <w:bottom w:val="none" w:sz="0" w:space="0" w:color="auto"/>
                                <w:right w:val="none" w:sz="0" w:space="0" w:color="auto"/>
                              </w:divBdr>
                              <w:divsChild>
                                <w:div w:id="1061639400">
                                  <w:marLeft w:val="0"/>
                                  <w:marRight w:val="0"/>
                                  <w:marTop w:val="0"/>
                                  <w:marBottom w:val="0"/>
                                  <w:divBdr>
                                    <w:top w:val="none" w:sz="0" w:space="0" w:color="auto"/>
                                    <w:left w:val="none" w:sz="0" w:space="0" w:color="auto"/>
                                    <w:bottom w:val="none" w:sz="0" w:space="0" w:color="auto"/>
                                    <w:right w:val="none" w:sz="0" w:space="0" w:color="auto"/>
                                  </w:divBdr>
                                  <w:divsChild>
                                    <w:div w:id="1928341245">
                                      <w:marLeft w:val="0"/>
                                      <w:marRight w:val="0"/>
                                      <w:marTop w:val="0"/>
                                      <w:marBottom w:val="0"/>
                                      <w:divBdr>
                                        <w:top w:val="none" w:sz="0" w:space="0" w:color="auto"/>
                                        <w:left w:val="none" w:sz="0" w:space="0" w:color="auto"/>
                                        <w:bottom w:val="none" w:sz="0" w:space="0" w:color="auto"/>
                                        <w:right w:val="none" w:sz="0" w:space="0" w:color="auto"/>
                                      </w:divBdr>
                                      <w:divsChild>
                                        <w:div w:id="1830443354">
                                          <w:marLeft w:val="0"/>
                                          <w:marRight w:val="0"/>
                                          <w:marTop w:val="0"/>
                                          <w:marBottom w:val="0"/>
                                          <w:divBdr>
                                            <w:top w:val="none" w:sz="0" w:space="0" w:color="auto"/>
                                            <w:left w:val="none" w:sz="0" w:space="0" w:color="auto"/>
                                            <w:bottom w:val="none" w:sz="0" w:space="0" w:color="auto"/>
                                            <w:right w:val="none" w:sz="0" w:space="0" w:color="auto"/>
                                          </w:divBdr>
                                          <w:divsChild>
                                            <w:div w:id="301541168">
                                              <w:marLeft w:val="0"/>
                                              <w:marRight w:val="0"/>
                                              <w:marTop w:val="0"/>
                                              <w:marBottom w:val="0"/>
                                              <w:divBdr>
                                                <w:top w:val="none" w:sz="0" w:space="0" w:color="auto"/>
                                                <w:left w:val="none" w:sz="0" w:space="0" w:color="auto"/>
                                                <w:bottom w:val="none" w:sz="0" w:space="0" w:color="auto"/>
                                                <w:right w:val="none" w:sz="0" w:space="0" w:color="auto"/>
                                              </w:divBdr>
                                              <w:divsChild>
                                                <w:div w:id="1377194067">
                                                  <w:marLeft w:val="0"/>
                                                  <w:marRight w:val="0"/>
                                                  <w:marTop w:val="0"/>
                                                  <w:marBottom w:val="0"/>
                                                  <w:divBdr>
                                                    <w:top w:val="none" w:sz="0" w:space="0" w:color="auto"/>
                                                    <w:left w:val="none" w:sz="0" w:space="0" w:color="auto"/>
                                                    <w:bottom w:val="none" w:sz="0" w:space="0" w:color="auto"/>
                                                    <w:right w:val="none" w:sz="0" w:space="0" w:color="auto"/>
                                                  </w:divBdr>
                                                  <w:divsChild>
                                                    <w:div w:id="1280453537">
                                                      <w:marLeft w:val="0"/>
                                                      <w:marRight w:val="0"/>
                                                      <w:marTop w:val="0"/>
                                                      <w:marBottom w:val="0"/>
                                                      <w:divBdr>
                                                        <w:top w:val="none" w:sz="0" w:space="0" w:color="auto"/>
                                                        <w:left w:val="none" w:sz="0" w:space="0" w:color="auto"/>
                                                        <w:bottom w:val="none" w:sz="0" w:space="0" w:color="auto"/>
                                                        <w:right w:val="none" w:sz="0" w:space="0" w:color="auto"/>
                                                      </w:divBdr>
                                                      <w:divsChild>
                                                        <w:div w:id="100882810">
                                                          <w:marLeft w:val="0"/>
                                                          <w:marRight w:val="0"/>
                                                          <w:marTop w:val="0"/>
                                                          <w:marBottom w:val="0"/>
                                                          <w:divBdr>
                                                            <w:top w:val="none" w:sz="0" w:space="0" w:color="auto"/>
                                                            <w:left w:val="none" w:sz="0" w:space="0" w:color="auto"/>
                                                            <w:bottom w:val="none" w:sz="0" w:space="0" w:color="auto"/>
                                                            <w:right w:val="none" w:sz="0" w:space="0" w:color="auto"/>
                                                          </w:divBdr>
                                                          <w:divsChild>
                                                            <w:div w:id="1210654842">
                                                              <w:marLeft w:val="0"/>
                                                              <w:marRight w:val="0"/>
                                                              <w:marTop w:val="0"/>
                                                              <w:marBottom w:val="0"/>
                                                              <w:divBdr>
                                                                <w:top w:val="none" w:sz="0" w:space="0" w:color="auto"/>
                                                                <w:left w:val="none" w:sz="0" w:space="0" w:color="auto"/>
                                                                <w:bottom w:val="none" w:sz="0" w:space="0" w:color="auto"/>
                                                                <w:right w:val="none" w:sz="0" w:space="0" w:color="auto"/>
                                                              </w:divBdr>
                                                              <w:divsChild>
                                                                <w:div w:id="1212617080">
                                                                  <w:marLeft w:val="0"/>
                                                                  <w:marRight w:val="0"/>
                                                                  <w:marTop w:val="0"/>
                                                                  <w:marBottom w:val="0"/>
                                                                  <w:divBdr>
                                                                    <w:top w:val="none" w:sz="0" w:space="0" w:color="auto"/>
                                                                    <w:left w:val="none" w:sz="0" w:space="0" w:color="auto"/>
                                                                    <w:bottom w:val="none" w:sz="0" w:space="0" w:color="auto"/>
                                                                    <w:right w:val="none" w:sz="0" w:space="0" w:color="auto"/>
                                                                  </w:divBdr>
                                                                  <w:divsChild>
                                                                    <w:div w:id="792596913">
                                                                      <w:marLeft w:val="0"/>
                                                                      <w:marRight w:val="0"/>
                                                                      <w:marTop w:val="0"/>
                                                                      <w:marBottom w:val="0"/>
                                                                      <w:divBdr>
                                                                        <w:top w:val="none" w:sz="0" w:space="0" w:color="auto"/>
                                                                        <w:left w:val="none" w:sz="0" w:space="0" w:color="auto"/>
                                                                        <w:bottom w:val="none" w:sz="0" w:space="0" w:color="auto"/>
                                                                        <w:right w:val="none" w:sz="0" w:space="0" w:color="auto"/>
                                                                      </w:divBdr>
                                                                      <w:divsChild>
                                                                        <w:div w:id="1651594410">
                                                                          <w:marLeft w:val="0"/>
                                                                          <w:marRight w:val="0"/>
                                                                          <w:marTop w:val="0"/>
                                                                          <w:marBottom w:val="0"/>
                                                                          <w:divBdr>
                                                                            <w:top w:val="none" w:sz="0" w:space="0" w:color="auto"/>
                                                                            <w:left w:val="none" w:sz="0" w:space="0" w:color="auto"/>
                                                                            <w:bottom w:val="none" w:sz="0" w:space="0" w:color="auto"/>
                                                                            <w:right w:val="none" w:sz="0" w:space="0" w:color="auto"/>
                                                                          </w:divBdr>
                                                                          <w:divsChild>
                                                                            <w:div w:id="20223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2007387">
      <w:bodyDiv w:val="1"/>
      <w:marLeft w:val="0"/>
      <w:marRight w:val="0"/>
      <w:marTop w:val="0"/>
      <w:marBottom w:val="0"/>
      <w:divBdr>
        <w:top w:val="none" w:sz="0" w:space="0" w:color="auto"/>
        <w:left w:val="none" w:sz="0" w:space="0" w:color="auto"/>
        <w:bottom w:val="none" w:sz="0" w:space="0" w:color="auto"/>
        <w:right w:val="none" w:sz="0" w:space="0" w:color="auto"/>
      </w:divBdr>
    </w:div>
    <w:div w:id="1701659547">
      <w:bodyDiv w:val="1"/>
      <w:marLeft w:val="0"/>
      <w:marRight w:val="0"/>
      <w:marTop w:val="0"/>
      <w:marBottom w:val="0"/>
      <w:divBdr>
        <w:top w:val="none" w:sz="0" w:space="0" w:color="auto"/>
        <w:left w:val="none" w:sz="0" w:space="0" w:color="auto"/>
        <w:bottom w:val="none" w:sz="0" w:space="0" w:color="auto"/>
        <w:right w:val="none" w:sz="0" w:space="0" w:color="auto"/>
      </w:divBdr>
    </w:div>
    <w:div w:id="1717587182">
      <w:bodyDiv w:val="1"/>
      <w:marLeft w:val="0"/>
      <w:marRight w:val="0"/>
      <w:marTop w:val="0"/>
      <w:marBottom w:val="0"/>
      <w:divBdr>
        <w:top w:val="none" w:sz="0" w:space="0" w:color="auto"/>
        <w:left w:val="none" w:sz="0" w:space="0" w:color="auto"/>
        <w:bottom w:val="none" w:sz="0" w:space="0" w:color="auto"/>
        <w:right w:val="none" w:sz="0" w:space="0" w:color="auto"/>
      </w:divBdr>
    </w:div>
    <w:div w:id="1787114225">
      <w:bodyDiv w:val="1"/>
      <w:marLeft w:val="0"/>
      <w:marRight w:val="0"/>
      <w:marTop w:val="0"/>
      <w:marBottom w:val="0"/>
      <w:divBdr>
        <w:top w:val="none" w:sz="0" w:space="0" w:color="auto"/>
        <w:left w:val="none" w:sz="0" w:space="0" w:color="auto"/>
        <w:bottom w:val="none" w:sz="0" w:space="0" w:color="auto"/>
        <w:right w:val="none" w:sz="0" w:space="0" w:color="auto"/>
      </w:divBdr>
    </w:div>
    <w:div w:id="1839419620">
      <w:bodyDiv w:val="1"/>
      <w:marLeft w:val="0"/>
      <w:marRight w:val="0"/>
      <w:marTop w:val="0"/>
      <w:marBottom w:val="0"/>
      <w:divBdr>
        <w:top w:val="none" w:sz="0" w:space="0" w:color="auto"/>
        <w:left w:val="none" w:sz="0" w:space="0" w:color="auto"/>
        <w:bottom w:val="none" w:sz="0" w:space="0" w:color="auto"/>
        <w:right w:val="none" w:sz="0" w:space="0" w:color="auto"/>
      </w:divBdr>
    </w:div>
    <w:div w:id="1884170325">
      <w:bodyDiv w:val="1"/>
      <w:marLeft w:val="0"/>
      <w:marRight w:val="0"/>
      <w:marTop w:val="0"/>
      <w:marBottom w:val="0"/>
      <w:divBdr>
        <w:top w:val="none" w:sz="0" w:space="0" w:color="auto"/>
        <w:left w:val="none" w:sz="0" w:space="0" w:color="auto"/>
        <w:bottom w:val="none" w:sz="0" w:space="0" w:color="auto"/>
        <w:right w:val="none" w:sz="0" w:space="0" w:color="auto"/>
      </w:divBdr>
    </w:div>
    <w:div w:id="1906798043">
      <w:bodyDiv w:val="1"/>
      <w:marLeft w:val="0"/>
      <w:marRight w:val="0"/>
      <w:marTop w:val="0"/>
      <w:marBottom w:val="0"/>
      <w:divBdr>
        <w:top w:val="none" w:sz="0" w:space="0" w:color="auto"/>
        <w:left w:val="none" w:sz="0" w:space="0" w:color="auto"/>
        <w:bottom w:val="none" w:sz="0" w:space="0" w:color="auto"/>
        <w:right w:val="none" w:sz="0" w:space="0" w:color="auto"/>
      </w:divBdr>
    </w:div>
    <w:div w:id="1908297787">
      <w:bodyDiv w:val="1"/>
      <w:marLeft w:val="0"/>
      <w:marRight w:val="0"/>
      <w:marTop w:val="0"/>
      <w:marBottom w:val="0"/>
      <w:divBdr>
        <w:top w:val="none" w:sz="0" w:space="0" w:color="auto"/>
        <w:left w:val="none" w:sz="0" w:space="0" w:color="auto"/>
        <w:bottom w:val="none" w:sz="0" w:space="0" w:color="auto"/>
        <w:right w:val="none" w:sz="0" w:space="0" w:color="auto"/>
      </w:divBdr>
    </w:div>
    <w:div w:id="1934432079">
      <w:bodyDiv w:val="1"/>
      <w:marLeft w:val="0"/>
      <w:marRight w:val="0"/>
      <w:marTop w:val="0"/>
      <w:marBottom w:val="0"/>
      <w:divBdr>
        <w:top w:val="none" w:sz="0" w:space="0" w:color="auto"/>
        <w:left w:val="none" w:sz="0" w:space="0" w:color="auto"/>
        <w:bottom w:val="none" w:sz="0" w:space="0" w:color="auto"/>
        <w:right w:val="none" w:sz="0" w:space="0" w:color="auto"/>
      </w:divBdr>
    </w:div>
    <w:div w:id="2008701439">
      <w:bodyDiv w:val="1"/>
      <w:marLeft w:val="0"/>
      <w:marRight w:val="0"/>
      <w:marTop w:val="0"/>
      <w:marBottom w:val="0"/>
      <w:divBdr>
        <w:top w:val="none" w:sz="0" w:space="0" w:color="auto"/>
        <w:left w:val="none" w:sz="0" w:space="0" w:color="auto"/>
        <w:bottom w:val="none" w:sz="0" w:space="0" w:color="auto"/>
        <w:right w:val="none" w:sz="0" w:space="0" w:color="auto"/>
      </w:divBdr>
    </w:div>
    <w:div w:id="2027364057">
      <w:bodyDiv w:val="1"/>
      <w:marLeft w:val="0"/>
      <w:marRight w:val="0"/>
      <w:marTop w:val="0"/>
      <w:marBottom w:val="0"/>
      <w:divBdr>
        <w:top w:val="none" w:sz="0" w:space="0" w:color="auto"/>
        <w:left w:val="none" w:sz="0" w:space="0" w:color="auto"/>
        <w:bottom w:val="none" w:sz="0" w:space="0" w:color="auto"/>
        <w:right w:val="none" w:sz="0" w:space="0" w:color="auto"/>
      </w:divBdr>
    </w:div>
    <w:div w:id="2046787355">
      <w:bodyDiv w:val="1"/>
      <w:marLeft w:val="0"/>
      <w:marRight w:val="0"/>
      <w:marTop w:val="0"/>
      <w:marBottom w:val="0"/>
      <w:divBdr>
        <w:top w:val="none" w:sz="0" w:space="0" w:color="auto"/>
        <w:left w:val="none" w:sz="0" w:space="0" w:color="auto"/>
        <w:bottom w:val="none" w:sz="0" w:space="0" w:color="auto"/>
        <w:right w:val="none" w:sz="0" w:space="0" w:color="auto"/>
      </w:divBdr>
    </w:div>
    <w:div w:id="2067027635">
      <w:bodyDiv w:val="1"/>
      <w:marLeft w:val="0"/>
      <w:marRight w:val="0"/>
      <w:marTop w:val="0"/>
      <w:marBottom w:val="0"/>
      <w:divBdr>
        <w:top w:val="none" w:sz="0" w:space="0" w:color="auto"/>
        <w:left w:val="none" w:sz="0" w:space="0" w:color="auto"/>
        <w:bottom w:val="none" w:sz="0" w:space="0" w:color="auto"/>
        <w:right w:val="none" w:sz="0" w:space="0" w:color="auto"/>
      </w:divBdr>
    </w:div>
    <w:div w:id="207869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tgear.com/fr/about/regulatory/" TargetMode="External"/><Relationship Id="rId18" Type="http://schemas.openxmlformats.org/officeDocument/2006/relationships/hyperlink" Target="https://kb.netgear.com/000062897/UKCA-Declarations-of-Conformity" TargetMode="External"/><Relationship Id="rId26" Type="http://schemas.openxmlformats.org/officeDocument/2006/relationships/hyperlink" Target="https://www.netgear.com/fr/about/regulatory/" TargetMode="External"/><Relationship Id="rId39" Type="http://schemas.openxmlformats.org/officeDocument/2006/relationships/footer" Target="footer3.xml"/><Relationship Id="rId21" Type="http://schemas.openxmlformats.org/officeDocument/2006/relationships/hyperlink" Target="https://www.bipt.be/operators/general-holders-licences"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gif"/><Relationship Id="rId20" Type="http://schemas.openxmlformats.org/officeDocument/2006/relationships/hyperlink" Target="https://www.ibpt.be/consommateurs/utilisation-libre-de-radio" TargetMode="External"/><Relationship Id="rId29" Type="http://schemas.openxmlformats.org/officeDocument/2006/relationships/hyperlink" Target="https://www.netgear.com/fr/about/regulator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etgear.com/fr/about/regulatory/" TargetMode="External"/><Relationship Id="rId32" Type="http://schemas.openxmlformats.org/officeDocument/2006/relationships/image" Target="media/image6.pn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5.gif"/><Relationship Id="rId28" Type="http://schemas.openxmlformats.org/officeDocument/2006/relationships/hyperlink" Target="https://recyclemyelectronics.ca/on/"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EPRAON.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ustang.netgear.com:7002/Agile/PCMServlet" TargetMode="External"/><Relationship Id="rId22" Type="http://schemas.openxmlformats.org/officeDocument/2006/relationships/hyperlink" Target="https://www.netgear.com/fr/about/regulatory/" TargetMode="External"/><Relationship Id="rId27" Type="http://schemas.openxmlformats.org/officeDocument/2006/relationships/hyperlink" Target="https://www.netgear.com/fr/about/regulatory/" TargetMode="External"/><Relationship Id="rId30" Type="http://schemas.openxmlformats.org/officeDocument/2006/relationships/hyperlink" Target="https://www.netgear.com/fr/about/regulatory/"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etgear.com/fr/about/regulatory/" TargetMode="External"/><Relationship Id="rId17" Type="http://schemas.openxmlformats.org/officeDocument/2006/relationships/hyperlink" Target="http://support.netgear.com/app/answers/detail/a_id/11621/" TargetMode="External"/><Relationship Id="rId25" Type="http://schemas.openxmlformats.org/officeDocument/2006/relationships/hyperlink" Target="https://www.netgear.com/fr/about/regulatory/" TargetMode="External"/><Relationship Id="rId33" Type="http://schemas.openxmlformats.org/officeDocument/2006/relationships/image" Target="media/image7.png"/><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E891C96935744F88197A8A27503256" ma:contentTypeVersion="13" ma:contentTypeDescription="Create a new document." ma:contentTypeScope="" ma:versionID="29edcef112954c6f0bc22fabcf97c735">
  <xsd:schema xmlns:xsd="http://www.w3.org/2001/XMLSchema" xmlns:xs="http://www.w3.org/2001/XMLSchema" xmlns:p="http://schemas.microsoft.com/office/2006/metadata/properties" xmlns:ns3="94e07db7-62c7-4a01-a557-389a5e36f29a" xmlns:ns4="01e74a2c-5aa7-4161-bd04-e7b47985a814" targetNamespace="http://schemas.microsoft.com/office/2006/metadata/properties" ma:root="true" ma:fieldsID="129cb3d195e7b9507554d03efa1d5743" ns3:_="" ns4:_="">
    <xsd:import namespace="94e07db7-62c7-4a01-a557-389a5e36f29a"/>
    <xsd:import namespace="01e74a2c-5aa7-4161-bd04-e7b47985a8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db7-62c7-4a01-a557-389a5e36f29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e74a2c-5aa7-4161-bd04-e7b47985a8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150496-CAD4-474D-A37A-C1F36FB6000D}">
  <ds:schemaRefs>
    <ds:schemaRef ds:uri="http://schemas.openxmlformats.org/officeDocument/2006/bibliography"/>
  </ds:schemaRefs>
</ds:datastoreItem>
</file>

<file path=customXml/itemProps2.xml><?xml version="1.0" encoding="utf-8"?>
<ds:datastoreItem xmlns:ds="http://schemas.openxmlformats.org/officeDocument/2006/customXml" ds:itemID="{AC2B5E7B-D252-43BF-A543-6AD8C02C8AD4}">
  <ds:schemaRefs>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01e74a2c-5aa7-4161-bd04-e7b47985a814"/>
    <ds:schemaRef ds:uri="http://schemas.openxmlformats.org/package/2006/metadata/core-properties"/>
    <ds:schemaRef ds:uri="http://schemas.microsoft.com/office/infopath/2007/PartnerControls"/>
    <ds:schemaRef ds:uri="94e07db7-62c7-4a01-a557-389a5e36f29a"/>
    <ds:schemaRef ds:uri="http://purl.org/dc/dcmitype/"/>
  </ds:schemaRefs>
</ds:datastoreItem>
</file>

<file path=customXml/itemProps3.xml><?xml version="1.0" encoding="utf-8"?>
<ds:datastoreItem xmlns:ds="http://schemas.openxmlformats.org/officeDocument/2006/customXml" ds:itemID="{8720F1D3-5D09-46D4-8C46-E3AD86A27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db7-62c7-4a01-a557-389a5e36f29a"/>
    <ds:schemaRef ds:uri="01e74a2c-5aa7-4161-bd04-e7b47985a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276F34-5125-49B2-9C5A-4C70248659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8040</Words>
  <Characters>44220</Characters>
  <Application>Microsoft Office Word</Application>
  <DocSecurity>0</DocSecurity>
  <Lines>368</Lines>
  <Paragraphs>104</Paragraphs>
  <ScaleCrop>false</ScaleCrop>
  <HeadingPairs>
    <vt:vector size="2" baseType="variant">
      <vt:variant>
        <vt:lpstr>Title</vt:lpstr>
      </vt:variant>
      <vt:variant>
        <vt:i4>1</vt:i4>
      </vt:variant>
    </vt:vector>
  </HeadingPairs>
  <TitlesOfParts>
    <vt:vector size="1" baseType="lpstr">
      <vt:lpstr/>
    </vt:vector>
  </TitlesOfParts>
  <Company>Netgear, Inc.</Company>
  <LinksUpToDate>false</LinksUpToDate>
  <CharactersWithSpaces>52156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Pampuch</dc:creator>
  <cp:keywords/>
  <dc:description/>
  <cp:lastModifiedBy>Jerry Leuris</cp:lastModifiedBy>
  <cp:revision>10</cp:revision>
  <cp:lastPrinted>2020-05-11T20:54:00Z</cp:lastPrinted>
  <dcterms:created xsi:type="dcterms:W3CDTF">2022-11-04T02:40:00Z</dcterms:created>
  <dcterms:modified xsi:type="dcterms:W3CDTF">2022-11-09T10:24:00Z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0x010100C9E891C96935744F88197A8A27503256</vt:lpwstr>
  </property>
</Properties>
</file>