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A971" w14:textId="77777777" w:rsidR="00FD43BB" w:rsidRDefault="00FD43BB" w:rsidP="00E253EC">
      <w:pPr>
        <w:tabs>
          <w:tab w:val="left" w:pos="3150"/>
        </w:tabs>
        <w:rPr>
          <w:rFonts w:cs="Arial"/>
        </w:rPr>
      </w:pPr>
    </w:p>
    <w:p w14:paraId="10B8183D" w14:textId="77777777" w:rsidR="00502E0D" w:rsidRDefault="00A36BD1" w:rsidP="00E253EC">
      <w:pPr>
        <w:tabs>
          <w:tab w:val="left" w:pos="3150"/>
        </w:tabs>
        <w:rPr>
          <w:rFonts w:cs="Arial"/>
        </w:rPr>
      </w:pPr>
      <w:r>
        <w:rPr>
          <w:noProof/>
        </w:rPr>
        <w:drawing>
          <wp:inline distT="0" distB="0" distL="0" distR="0" wp14:anchorId="3E6D27D8" wp14:editId="7C9E6CBF">
            <wp:extent cx="2886075" cy="495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075" cy="495300"/>
                    </a:xfrm>
                    <a:prstGeom prst="rect">
                      <a:avLst/>
                    </a:prstGeom>
                  </pic:spPr>
                </pic:pic>
              </a:graphicData>
            </a:graphic>
          </wp:inline>
        </w:drawing>
      </w:r>
    </w:p>
    <w:p w14:paraId="01869AE1" w14:textId="77777777" w:rsidR="004053EC" w:rsidRDefault="00502E0D" w:rsidP="00502E0D">
      <w:pPr>
        <w:pStyle w:val="Title"/>
      </w:pPr>
      <w:r>
        <w:t>Notificación de cumplimiento</w:t>
      </w:r>
    </w:p>
    <w:sdt>
      <w:sdtPr>
        <w:rPr>
          <w:rFonts w:ascii="Arial" w:eastAsia="新細明體" w:hAnsi="Arial" w:cstheme="minorBidi"/>
          <w:color w:val="auto"/>
          <w:sz w:val="18"/>
          <w:szCs w:val="22"/>
        </w:rPr>
        <w:id w:val="2025824657"/>
        <w:docPartObj>
          <w:docPartGallery w:val="Table of Contents"/>
          <w:docPartUnique/>
        </w:docPartObj>
      </w:sdtPr>
      <w:sdtEndPr>
        <w:rPr>
          <w:b/>
          <w:bCs/>
          <w:noProof/>
        </w:rPr>
      </w:sdtEndPr>
      <w:sdtContent>
        <w:p w14:paraId="15DDFB2A" w14:textId="6D504B28" w:rsidR="00B45971" w:rsidRDefault="00B45971" w:rsidP="00481C42">
          <w:pPr>
            <w:pStyle w:val="TOCHeading"/>
          </w:pPr>
          <w:r>
            <w:t>Contenido</w:t>
          </w:r>
        </w:p>
        <w:p w14:paraId="1E1F6EA1" w14:textId="70C80963" w:rsidR="008E2716" w:rsidRDefault="00B45971">
          <w:pPr>
            <w:pStyle w:val="TOC1"/>
            <w:rPr>
              <w:rFonts w:asciiTheme="minorHAnsi" w:eastAsiaTheme="minorEastAsia" w:hAnsiTheme="minorHAnsi"/>
              <w:noProof/>
              <w:sz w:val="22"/>
              <w:lang w:val="en-US" w:eastAsia="zh-TW"/>
            </w:rPr>
          </w:pPr>
          <w:r>
            <w:fldChar w:fldCharType="begin"/>
          </w:r>
          <w:r>
            <w:instrText xml:space="preserve"> TOC \o "1-3" \h \z \u </w:instrText>
          </w:r>
          <w:r>
            <w:fldChar w:fldCharType="separate"/>
          </w:r>
          <w:hyperlink w:anchor="_Toc118885918" w:history="1">
            <w:r w:rsidR="008E2716" w:rsidRPr="003A14C8">
              <w:rPr>
                <w:rStyle w:val="Hyperlink"/>
                <w:noProof/>
              </w:rPr>
              <w:t>Información y notificaciones de seguridad</w:t>
            </w:r>
            <w:r w:rsidR="008E2716">
              <w:rPr>
                <w:noProof/>
                <w:webHidden/>
              </w:rPr>
              <w:tab/>
            </w:r>
            <w:r w:rsidR="008E2716">
              <w:rPr>
                <w:noProof/>
                <w:webHidden/>
              </w:rPr>
              <w:fldChar w:fldCharType="begin"/>
            </w:r>
            <w:r w:rsidR="008E2716">
              <w:rPr>
                <w:noProof/>
                <w:webHidden/>
              </w:rPr>
              <w:instrText xml:space="preserve"> PAGEREF _Toc118885918 \h </w:instrText>
            </w:r>
            <w:r w:rsidR="008E2716">
              <w:rPr>
                <w:noProof/>
                <w:webHidden/>
              </w:rPr>
            </w:r>
            <w:r w:rsidR="008E2716">
              <w:rPr>
                <w:noProof/>
                <w:webHidden/>
              </w:rPr>
              <w:fldChar w:fldCharType="separate"/>
            </w:r>
            <w:r w:rsidR="008E2716">
              <w:rPr>
                <w:noProof/>
                <w:webHidden/>
              </w:rPr>
              <w:t>2</w:t>
            </w:r>
            <w:r w:rsidR="008E2716">
              <w:rPr>
                <w:noProof/>
                <w:webHidden/>
              </w:rPr>
              <w:fldChar w:fldCharType="end"/>
            </w:r>
          </w:hyperlink>
        </w:p>
        <w:p w14:paraId="36E3D6ED" w14:textId="360D35AF" w:rsidR="008E2716" w:rsidRDefault="00A40CD8">
          <w:pPr>
            <w:pStyle w:val="TOC3"/>
            <w:rPr>
              <w:rFonts w:asciiTheme="minorHAnsi" w:eastAsiaTheme="minorEastAsia" w:hAnsiTheme="minorHAnsi"/>
              <w:noProof/>
              <w:sz w:val="22"/>
              <w:lang w:val="en-US" w:eastAsia="zh-TW"/>
            </w:rPr>
          </w:pPr>
          <w:hyperlink w:anchor="_Toc118885919" w:history="1">
            <w:r w:rsidR="008E2716" w:rsidRPr="003A14C8">
              <w:rPr>
                <w:rStyle w:val="Hyperlink"/>
                <w:noProof/>
              </w:rPr>
              <w:t>Seguridad de uso y manipulación de baterías</w:t>
            </w:r>
            <w:r w:rsidR="008E2716">
              <w:rPr>
                <w:noProof/>
                <w:webHidden/>
              </w:rPr>
              <w:tab/>
            </w:r>
            <w:r w:rsidR="008E2716">
              <w:rPr>
                <w:noProof/>
                <w:webHidden/>
              </w:rPr>
              <w:fldChar w:fldCharType="begin"/>
            </w:r>
            <w:r w:rsidR="008E2716">
              <w:rPr>
                <w:noProof/>
                <w:webHidden/>
              </w:rPr>
              <w:instrText xml:space="preserve"> PAGEREF _Toc118885919 \h </w:instrText>
            </w:r>
            <w:r w:rsidR="008E2716">
              <w:rPr>
                <w:noProof/>
                <w:webHidden/>
              </w:rPr>
            </w:r>
            <w:r w:rsidR="008E2716">
              <w:rPr>
                <w:noProof/>
                <w:webHidden/>
              </w:rPr>
              <w:fldChar w:fldCharType="separate"/>
            </w:r>
            <w:r w:rsidR="008E2716">
              <w:rPr>
                <w:noProof/>
                <w:webHidden/>
              </w:rPr>
              <w:t>2</w:t>
            </w:r>
            <w:r w:rsidR="008E2716">
              <w:rPr>
                <w:noProof/>
                <w:webHidden/>
              </w:rPr>
              <w:fldChar w:fldCharType="end"/>
            </w:r>
          </w:hyperlink>
        </w:p>
        <w:p w14:paraId="5DB92407" w14:textId="77A6593B"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0" w:history="1">
            <w:r w:rsidR="008E2716" w:rsidRPr="003A14C8">
              <w:rPr>
                <w:rStyle w:val="Hyperlink"/>
                <w:noProof/>
              </w:rPr>
              <w:t>Ubicación del marcado</w:t>
            </w:r>
            <w:r w:rsidR="008E2716">
              <w:rPr>
                <w:noProof/>
                <w:webHidden/>
              </w:rPr>
              <w:tab/>
            </w:r>
            <w:r w:rsidR="008E2716">
              <w:rPr>
                <w:noProof/>
                <w:webHidden/>
              </w:rPr>
              <w:fldChar w:fldCharType="begin"/>
            </w:r>
            <w:r w:rsidR="008E2716">
              <w:rPr>
                <w:noProof/>
                <w:webHidden/>
              </w:rPr>
              <w:instrText xml:space="preserve"> PAGEREF _Toc118885920 \h </w:instrText>
            </w:r>
            <w:r w:rsidR="008E2716">
              <w:rPr>
                <w:noProof/>
                <w:webHidden/>
              </w:rPr>
            </w:r>
            <w:r w:rsidR="008E2716">
              <w:rPr>
                <w:noProof/>
                <w:webHidden/>
              </w:rPr>
              <w:fldChar w:fldCharType="separate"/>
            </w:r>
            <w:r w:rsidR="008E2716">
              <w:rPr>
                <w:noProof/>
                <w:webHidden/>
              </w:rPr>
              <w:t>2</w:t>
            </w:r>
            <w:r w:rsidR="008E2716">
              <w:rPr>
                <w:noProof/>
                <w:webHidden/>
              </w:rPr>
              <w:fldChar w:fldCharType="end"/>
            </w:r>
          </w:hyperlink>
        </w:p>
        <w:p w14:paraId="22A809E5" w14:textId="2FFF03D5"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1" w:history="1">
            <w:r w:rsidR="008E2716" w:rsidRPr="003A14C8">
              <w:rPr>
                <w:rStyle w:val="Hyperlink"/>
                <w:noProof/>
              </w:rPr>
              <w:t>Uso en lugares en los que puede haber niños</w:t>
            </w:r>
            <w:r w:rsidR="008E2716">
              <w:rPr>
                <w:noProof/>
                <w:webHidden/>
              </w:rPr>
              <w:tab/>
            </w:r>
            <w:r w:rsidR="008E2716">
              <w:rPr>
                <w:noProof/>
                <w:webHidden/>
              </w:rPr>
              <w:fldChar w:fldCharType="begin"/>
            </w:r>
            <w:r w:rsidR="008E2716">
              <w:rPr>
                <w:noProof/>
                <w:webHidden/>
              </w:rPr>
              <w:instrText xml:space="preserve"> PAGEREF _Toc118885921 \h </w:instrText>
            </w:r>
            <w:r w:rsidR="008E2716">
              <w:rPr>
                <w:noProof/>
                <w:webHidden/>
              </w:rPr>
            </w:r>
            <w:r w:rsidR="008E2716">
              <w:rPr>
                <w:noProof/>
                <w:webHidden/>
              </w:rPr>
              <w:fldChar w:fldCharType="separate"/>
            </w:r>
            <w:r w:rsidR="008E2716">
              <w:rPr>
                <w:noProof/>
                <w:webHidden/>
              </w:rPr>
              <w:t>2</w:t>
            </w:r>
            <w:r w:rsidR="008E2716">
              <w:rPr>
                <w:noProof/>
                <w:webHidden/>
              </w:rPr>
              <w:fldChar w:fldCharType="end"/>
            </w:r>
          </w:hyperlink>
        </w:p>
        <w:p w14:paraId="23905881" w14:textId="5DFD1613"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2" w:history="1">
            <w:r w:rsidR="008E2716" w:rsidRPr="003A14C8">
              <w:rPr>
                <w:rStyle w:val="Hyperlink"/>
                <w:noProof/>
              </w:rPr>
              <w:t>Avisos de acceso restringido</w:t>
            </w:r>
            <w:r w:rsidR="008E2716">
              <w:rPr>
                <w:noProof/>
                <w:webHidden/>
              </w:rPr>
              <w:tab/>
            </w:r>
            <w:r w:rsidR="008E2716">
              <w:rPr>
                <w:noProof/>
                <w:webHidden/>
              </w:rPr>
              <w:fldChar w:fldCharType="begin"/>
            </w:r>
            <w:r w:rsidR="008E2716">
              <w:rPr>
                <w:noProof/>
                <w:webHidden/>
              </w:rPr>
              <w:instrText xml:space="preserve"> PAGEREF _Toc118885922 \h </w:instrText>
            </w:r>
            <w:r w:rsidR="008E2716">
              <w:rPr>
                <w:noProof/>
                <w:webHidden/>
              </w:rPr>
            </w:r>
            <w:r w:rsidR="008E2716">
              <w:rPr>
                <w:noProof/>
                <w:webHidden/>
              </w:rPr>
              <w:fldChar w:fldCharType="separate"/>
            </w:r>
            <w:r w:rsidR="008E2716">
              <w:rPr>
                <w:noProof/>
                <w:webHidden/>
              </w:rPr>
              <w:t>3</w:t>
            </w:r>
            <w:r w:rsidR="008E2716">
              <w:rPr>
                <w:noProof/>
                <w:webHidden/>
              </w:rPr>
              <w:fldChar w:fldCharType="end"/>
            </w:r>
          </w:hyperlink>
        </w:p>
        <w:p w14:paraId="73A01D2F" w14:textId="559291AD"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3" w:history="1">
            <w:r w:rsidR="008E2716" w:rsidRPr="003A14C8">
              <w:rPr>
                <w:rStyle w:val="Hyperlink"/>
                <w:noProof/>
              </w:rPr>
              <w:t>Aviso de conexión a Internet y TV por cable coaxial (en determinados modelos)</w:t>
            </w:r>
            <w:r w:rsidR="008E2716">
              <w:rPr>
                <w:noProof/>
                <w:webHidden/>
              </w:rPr>
              <w:tab/>
            </w:r>
            <w:r w:rsidR="008E2716">
              <w:rPr>
                <w:noProof/>
                <w:webHidden/>
              </w:rPr>
              <w:fldChar w:fldCharType="begin"/>
            </w:r>
            <w:r w:rsidR="008E2716">
              <w:rPr>
                <w:noProof/>
                <w:webHidden/>
              </w:rPr>
              <w:instrText xml:space="preserve"> PAGEREF _Toc118885923 \h </w:instrText>
            </w:r>
            <w:r w:rsidR="008E2716">
              <w:rPr>
                <w:noProof/>
                <w:webHidden/>
              </w:rPr>
            </w:r>
            <w:r w:rsidR="008E2716">
              <w:rPr>
                <w:noProof/>
                <w:webHidden/>
              </w:rPr>
              <w:fldChar w:fldCharType="separate"/>
            </w:r>
            <w:r w:rsidR="008E2716">
              <w:rPr>
                <w:noProof/>
                <w:webHidden/>
              </w:rPr>
              <w:t>3</w:t>
            </w:r>
            <w:r w:rsidR="008E2716">
              <w:rPr>
                <w:noProof/>
                <w:webHidden/>
              </w:rPr>
              <w:fldChar w:fldCharType="end"/>
            </w:r>
          </w:hyperlink>
        </w:p>
        <w:p w14:paraId="608C897C" w14:textId="2105EED1" w:rsidR="008E2716" w:rsidRDefault="00A40CD8">
          <w:pPr>
            <w:pStyle w:val="TOC1"/>
            <w:rPr>
              <w:rFonts w:asciiTheme="minorHAnsi" w:eastAsiaTheme="minorEastAsia" w:hAnsiTheme="minorHAnsi"/>
              <w:noProof/>
              <w:sz w:val="22"/>
              <w:lang w:val="en-US" w:eastAsia="zh-TW"/>
            </w:rPr>
          </w:pPr>
          <w:hyperlink w:anchor="_Toc118885924" w:history="1">
            <w:r w:rsidR="008E2716" w:rsidRPr="003A14C8">
              <w:rPr>
                <w:rStyle w:val="Hyperlink"/>
                <w:noProof/>
              </w:rPr>
              <w:t>Información sobre cumplimiento de normativas</w:t>
            </w:r>
            <w:r w:rsidR="008E2716">
              <w:rPr>
                <w:noProof/>
                <w:webHidden/>
              </w:rPr>
              <w:tab/>
            </w:r>
            <w:r w:rsidR="008E2716">
              <w:rPr>
                <w:noProof/>
                <w:webHidden/>
              </w:rPr>
              <w:fldChar w:fldCharType="begin"/>
            </w:r>
            <w:r w:rsidR="008E2716">
              <w:rPr>
                <w:noProof/>
                <w:webHidden/>
              </w:rPr>
              <w:instrText xml:space="preserve"> PAGEREF _Toc118885924 \h </w:instrText>
            </w:r>
            <w:r w:rsidR="008E2716">
              <w:rPr>
                <w:noProof/>
                <w:webHidden/>
              </w:rPr>
            </w:r>
            <w:r w:rsidR="008E2716">
              <w:rPr>
                <w:noProof/>
                <w:webHidden/>
              </w:rPr>
              <w:fldChar w:fldCharType="separate"/>
            </w:r>
            <w:r w:rsidR="008E2716">
              <w:rPr>
                <w:noProof/>
                <w:webHidden/>
              </w:rPr>
              <w:t>3</w:t>
            </w:r>
            <w:r w:rsidR="008E2716">
              <w:rPr>
                <w:noProof/>
                <w:webHidden/>
              </w:rPr>
              <w:fldChar w:fldCharType="end"/>
            </w:r>
          </w:hyperlink>
        </w:p>
        <w:p w14:paraId="0A834C2B" w14:textId="136E4BA0"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5" w:history="1">
            <w:r w:rsidR="008E2716" w:rsidRPr="003A14C8">
              <w:rPr>
                <w:rStyle w:val="Hyperlink"/>
                <w:noProof/>
              </w:rPr>
              <w:t>Equipos certificados para su uso en exteriores</w:t>
            </w:r>
            <w:r w:rsidR="008E2716">
              <w:rPr>
                <w:noProof/>
                <w:webHidden/>
              </w:rPr>
              <w:tab/>
            </w:r>
            <w:r w:rsidR="008E2716">
              <w:rPr>
                <w:noProof/>
                <w:webHidden/>
              </w:rPr>
              <w:fldChar w:fldCharType="begin"/>
            </w:r>
            <w:r w:rsidR="008E2716">
              <w:rPr>
                <w:noProof/>
                <w:webHidden/>
              </w:rPr>
              <w:instrText xml:space="preserve"> PAGEREF _Toc118885925 \h </w:instrText>
            </w:r>
            <w:r w:rsidR="008E2716">
              <w:rPr>
                <w:noProof/>
                <w:webHidden/>
              </w:rPr>
            </w:r>
            <w:r w:rsidR="008E2716">
              <w:rPr>
                <w:noProof/>
                <w:webHidden/>
              </w:rPr>
              <w:fldChar w:fldCharType="separate"/>
            </w:r>
            <w:r w:rsidR="008E2716">
              <w:rPr>
                <w:noProof/>
                <w:webHidden/>
              </w:rPr>
              <w:t>4</w:t>
            </w:r>
            <w:r w:rsidR="008E2716">
              <w:rPr>
                <w:noProof/>
                <w:webHidden/>
              </w:rPr>
              <w:fldChar w:fldCharType="end"/>
            </w:r>
          </w:hyperlink>
        </w:p>
        <w:p w14:paraId="6A0DB33C" w14:textId="6D925B77"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6" w:history="1">
            <w:r w:rsidR="008E2716" w:rsidRPr="003A14C8">
              <w:rPr>
                <w:rStyle w:val="Hyperlink"/>
                <w:noProof/>
              </w:rPr>
              <w:t>Equipo con antenas externas</w:t>
            </w:r>
            <w:r w:rsidR="008E2716">
              <w:rPr>
                <w:noProof/>
                <w:webHidden/>
              </w:rPr>
              <w:tab/>
            </w:r>
            <w:r w:rsidR="008E2716">
              <w:rPr>
                <w:noProof/>
                <w:webHidden/>
              </w:rPr>
              <w:fldChar w:fldCharType="begin"/>
            </w:r>
            <w:r w:rsidR="008E2716">
              <w:rPr>
                <w:noProof/>
                <w:webHidden/>
              </w:rPr>
              <w:instrText xml:space="preserve"> PAGEREF _Toc118885926 \h </w:instrText>
            </w:r>
            <w:r w:rsidR="008E2716">
              <w:rPr>
                <w:noProof/>
                <w:webHidden/>
              </w:rPr>
            </w:r>
            <w:r w:rsidR="008E2716">
              <w:rPr>
                <w:noProof/>
                <w:webHidden/>
              </w:rPr>
              <w:fldChar w:fldCharType="separate"/>
            </w:r>
            <w:r w:rsidR="008E2716">
              <w:rPr>
                <w:noProof/>
                <w:webHidden/>
              </w:rPr>
              <w:t>4</w:t>
            </w:r>
            <w:r w:rsidR="008E2716">
              <w:rPr>
                <w:noProof/>
                <w:webHidden/>
              </w:rPr>
              <w:fldChar w:fldCharType="end"/>
            </w:r>
          </w:hyperlink>
        </w:p>
        <w:p w14:paraId="2AA1E5AE" w14:textId="78E0C51D" w:rsidR="008E2716" w:rsidRDefault="00A40CD8">
          <w:pPr>
            <w:pStyle w:val="TOC1"/>
            <w:rPr>
              <w:rFonts w:asciiTheme="minorHAnsi" w:eastAsiaTheme="minorEastAsia" w:hAnsiTheme="minorHAnsi"/>
              <w:noProof/>
              <w:sz w:val="22"/>
              <w:lang w:val="en-US" w:eastAsia="zh-TW"/>
            </w:rPr>
          </w:pPr>
          <w:hyperlink w:anchor="_Toc118885927" w:history="1">
            <w:r w:rsidR="008E2716" w:rsidRPr="003A14C8">
              <w:rPr>
                <w:rStyle w:val="Hyperlink"/>
                <w:noProof/>
              </w:rPr>
              <w:t>Requisitos normativos para el uso en Europa (Gran Bretaña, Reino Unido y UE)</w:t>
            </w:r>
            <w:r w:rsidR="008E2716">
              <w:rPr>
                <w:noProof/>
                <w:webHidden/>
              </w:rPr>
              <w:tab/>
            </w:r>
            <w:r w:rsidR="008E2716">
              <w:rPr>
                <w:noProof/>
                <w:webHidden/>
              </w:rPr>
              <w:fldChar w:fldCharType="begin"/>
            </w:r>
            <w:r w:rsidR="008E2716">
              <w:rPr>
                <w:noProof/>
                <w:webHidden/>
              </w:rPr>
              <w:instrText xml:space="preserve"> PAGEREF _Toc118885927 \h </w:instrText>
            </w:r>
            <w:r w:rsidR="008E2716">
              <w:rPr>
                <w:noProof/>
                <w:webHidden/>
              </w:rPr>
            </w:r>
            <w:r w:rsidR="008E2716">
              <w:rPr>
                <w:noProof/>
                <w:webHidden/>
              </w:rPr>
              <w:fldChar w:fldCharType="separate"/>
            </w:r>
            <w:r w:rsidR="008E2716">
              <w:rPr>
                <w:noProof/>
                <w:webHidden/>
              </w:rPr>
              <w:t>5</w:t>
            </w:r>
            <w:r w:rsidR="008E2716">
              <w:rPr>
                <w:noProof/>
                <w:webHidden/>
              </w:rPr>
              <w:fldChar w:fldCharType="end"/>
            </w:r>
          </w:hyperlink>
        </w:p>
        <w:p w14:paraId="1FF518BB" w14:textId="0B23A449"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28" w:history="1">
            <w:r w:rsidR="008E2716" w:rsidRPr="003A14C8">
              <w:rPr>
                <w:rStyle w:val="Hyperlink"/>
                <w:noProof/>
              </w:rPr>
              <w:t>Conformidad con la directiva de equipos de radiofrecuencia (RED) 2014/53/UE</w:t>
            </w:r>
            <w:r w:rsidR="008E2716">
              <w:rPr>
                <w:noProof/>
                <w:webHidden/>
              </w:rPr>
              <w:tab/>
            </w:r>
            <w:r w:rsidR="008E2716">
              <w:rPr>
                <w:noProof/>
                <w:webHidden/>
              </w:rPr>
              <w:fldChar w:fldCharType="begin"/>
            </w:r>
            <w:r w:rsidR="008E2716">
              <w:rPr>
                <w:noProof/>
                <w:webHidden/>
              </w:rPr>
              <w:instrText xml:space="preserve"> PAGEREF _Toc118885928 \h </w:instrText>
            </w:r>
            <w:r w:rsidR="008E2716">
              <w:rPr>
                <w:noProof/>
                <w:webHidden/>
              </w:rPr>
            </w:r>
            <w:r w:rsidR="008E2716">
              <w:rPr>
                <w:noProof/>
                <w:webHidden/>
              </w:rPr>
              <w:fldChar w:fldCharType="separate"/>
            </w:r>
            <w:r w:rsidR="008E2716">
              <w:rPr>
                <w:noProof/>
                <w:webHidden/>
              </w:rPr>
              <w:t>6</w:t>
            </w:r>
            <w:r w:rsidR="008E2716">
              <w:rPr>
                <w:noProof/>
                <w:webHidden/>
              </w:rPr>
              <w:fldChar w:fldCharType="end"/>
            </w:r>
          </w:hyperlink>
        </w:p>
        <w:p w14:paraId="18C29394" w14:textId="174975EA" w:rsidR="008E2716" w:rsidRDefault="00A40CD8">
          <w:pPr>
            <w:pStyle w:val="TOC3"/>
            <w:rPr>
              <w:rFonts w:asciiTheme="minorHAnsi" w:eastAsiaTheme="minorEastAsia" w:hAnsiTheme="minorHAnsi"/>
              <w:noProof/>
              <w:sz w:val="22"/>
              <w:lang w:val="en-US" w:eastAsia="zh-TW"/>
            </w:rPr>
          </w:pPr>
          <w:hyperlink w:anchor="_Toc118885929" w:history="1">
            <w:r w:rsidR="008E2716" w:rsidRPr="003A14C8">
              <w:rPr>
                <w:rStyle w:val="Hyperlink"/>
                <w:noProof/>
              </w:rPr>
              <w:t>Guía para la exposición a radiofrecuencia</w:t>
            </w:r>
            <w:r w:rsidR="008E2716">
              <w:rPr>
                <w:noProof/>
                <w:webHidden/>
              </w:rPr>
              <w:tab/>
            </w:r>
            <w:r w:rsidR="008E2716">
              <w:rPr>
                <w:noProof/>
                <w:webHidden/>
              </w:rPr>
              <w:fldChar w:fldCharType="begin"/>
            </w:r>
            <w:r w:rsidR="008E2716">
              <w:rPr>
                <w:noProof/>
                <w:webHidden/>
              </w:rPr>
              <w:instrText xml:space="preserve"> PAGEREF _Toc118885929 \h </w:instrText>
            </w:r>
            <w:r w:rsidR="008E2716">
              <w:rPr>
                <w:noProof/>
                <w:webHidden/>
              </w:rPr>
            </w:r>
            <w:r w:rsidR="008E2716">
              <w:rPr>
                <w:noProof/>
                <w:webHidden/>
              </w:rPr>
              <w:fldChar w:fldCharType="separate"/>
            </w:r>
            <w:r w:rsidR="008E2716">
              <w:rPr>
                <w:noProof/>
                <w:webHidden/>
              </w:rPr>
              <w:t>7</w:t>
            </w:r>
            <w:r w:rsidR="008E2716">
              <w:rPr>
                <w:noProof/>
                <w:webHidden/>
              </w:rPr>
              <w:fldChar w:fldCharType="end"/>
            </w:r>
          </w:hyperlink>
        </w:p>
        <w:p w14:paraId="7BA45FD7" w14:textId="6C57B509"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30" w:history="1">
            <w:r w:rsidR="008E2716" w:rsidRPr="003A14C8">
              <w:rPr>
                <w:rStyle w:val="Hyperlink"/>
                <w:noProof/>
              </w:rPr>
              <w:t>Precauciones específicas para EMC</w:t>
            </w:r>
            <w:r w:rsidR="008E2716">
              <w:rPr>
                <w:noProof/>
                <w:webHidden/>
              </w:rPr>
              <w:tab/>
            </w:r>
            <w:r w:rsidR="008E2716">
              <w:rPr>
                <w:noProof/>
                <w:webHidden/>
              </w:rPr>
              <w:fldChar w:fldCharType="begin"/>
            </w:r>
            <w:r w:rsidR="008E2716">
              <w:rPr>
                <w:noProof/>
                <w:webHidden/>
              </w:rPr>
              <w:instrText xml:space="preserve"> PAGEREF _Toc118885930 \h </w:instrText>
            </w:r>
            <w:r w:rsidR="008E2716">
              <w:rPr>
                <w:noProof/>
                <w:webHidden/>
              </w:rPr>
            </w:r>
            <w:r w:rsidR="008E2716">
              <w:rPr>
                <w:noProof/>
                <w:webHidden/>
              </w:rPr>
              <w:fldChar w:fldCharType="separate"/>
            </w:r>
            <w:r w:rsidR="008E2716">
              <w:rPr>
                <w:noProof/>
                <w:webHidden/>
              </w:rPr>
              <w:t>7</w:t>
            </w:r>
            <w:r w:rsidR="008E2716">
              <w:rPr>
                <w:noProof/>
                <w:webHidden/>
              </w:rPr>
              <w:fldChar w:fldCharType="end"/>
            </w:r>
          </w:hyperlink>
        </w:p>
        <w:p w14:paraId="6BFDBB75" w14:textId="3CAD00A9" w:rsidR="008E2716" w:rsidRDefault="00A40CD8">
          <w:pPr>
            <w:pStyle w:val="TOC1"/>
            <w:rPr>
              <w:rFonts w:asciiTheme="minorHAnsi" w:eastAsiaTheme="minorEastAsia" w:hAnsiTheme="minorHAnsi"/>
              <w:noProof/>
              <w:sz w:val="22"/>
              <w:lang w:val="en-US" w:eastAsia="zh-TW"/>
            </w:rPr>
          </w:pPr>
          <w:hyperlink w:anchor="_Toc118885931" w:history="1">
            <w:r w:rsidR="008E2716" w:rsidRPr="003A14C8">
              <w:rPr>
                <w:rStyle w:val="Hyperlink"/>
                <w:noProof/>
              </w:rPr>
              <w:t>Requisitos de la FCC para el uso en Estados Unidos</w:t>
            </w:r>
            <w:r w:rsidR="008E2716">
              <w:rPr>
                <w:noProof/>
                <w:webHidden/>
              </w:rPr>
              <w:tab/>
            </w:r>
            <w:r w:rsidR="008E2716">
              <w:rPr>
                <w:noProof/>
                <w:webHidden/>
              </w:rPr>
              <w:fldChar w:fldCharType="begin"/>
            </w:r>
            <w:r w:rsidR="008E2716">
              <w:rPr>
                <w:noProof/>
                <w:webHidden/>
              </w:rPr>
              <w:instrText xml:space="preserve"> PAGEREF _Toc118885931 \h </w:instrText>
            </w:r>
            <w:r w:rsidR="008E2716">
              <w:rPr>
                <w:noProof/>
                <w:webHidden/>
              </w:rPr>
            </w:r>
            <w:r w:rsidR="008E2716">
              <w:rPr>
                <w:noProof/>
                <w:webHidden/>
              </w:rPr>
              <w:fldChar w:fldCharType="separate"/>
            </w:r>
            <w:r w:rsidR="008E2716">
              <w:rPr>
                <w:noProof/>
                <w:webHidden/>
              </w:rPr>
              <w:t>7</w:t>
            </w:r>
            <w:r w:rsidR="008E2716">
              <w:rPr>
                <w:noProof/>
                <w:webHidden/>
              </w:rPr>
              <w:fldChar w:fldCharType="end"/>
            </w:r>
          </w:hyperlink>
        </w:p>
        <w:p w14:paraId="000D5731" w14:textId="411CFB0C"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32" w:history="1">
            <w:r w:rsidR="008E2716" w:rsidRPr="003A14C8">
              <w:rPr>
                <w:rStyle w:val="Hyperlink"/>
                <w:noProof/>
              </w:rPr>
              <w:t>Declaración de conformidad de la FCC</w:t>
            </w:r>
            <w:r w:rsidR="008E2716">
              <w:rPr>
                <w:noProof/>
                <w:webHidden/>
              </w:rPr>
              <w:tab/>
            </w:r>
            <w:r w:rsidR="008E2716">
              <w:rPr>
                <w:noProof/>
                <w:webHidden/>
              </w:rPr>
              <w:fldChar w:fldCharType="begin"/>
            </w:r>
            <w:r w:rsidR="008E2716">
              <w:rPr>
                <w:noProof/>
                <w:webHidden/>
              </w:rPr>
              <w:instrText xml:space="preserve"> PAGEREF _Toc118885932 \h </w:instrText>
            </w:r>
            <w:r w:rsidR="008E2716">
              <w:rPr>
                <w:noProof/>
                <w:webHidden/>
              </w:rPr>
            </w:r>
            <w:r w:rsidR="008E2716">
              <w:rPr>
                <w:noProof/>
                <w:webHidden/>
              </w:rPr>
              <w:fldChar w:fldCharType="separate"/>
            </w:r>
            <w:r w:rsidR="008E2716">
              <w:rPr>
                <w:noProof/>
                <w:webHidden/>
              </w:rPr>
              <w:t>8</w:t>
            </w:r>
            <w:r w:rsidR="008E2716">
              <w:rPr>
                <w:noProof/>
                <w:webHidden/>
              </w:rPr>
              <w:fldChar w:fldCharType="end"/>
            </w:r>
          </w:hyperlink>
        </w:p>
        <w:p w14:paraId="1AD6A4A1" w14:textId="0EE44BC8"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33" w:history="1">
            <w:r w:rsidR="008E2716" w:rsidRPr="003A14C8">
              <w:rPr>
                <w:rStyle w:val="Hyperlink"/>
                <w:noProof/>
              </w:rPr>
              <w:t>Información de la FCC para el usuario</w:t>
            </w:r>
            <w:r w:rsidR="008E2716">
              <w:rPr>
                <w:noProof/>
                <w:webHidden/>
              </w:rPr>
              <w:tab/>
            </w:r>
            <w:r w:rsidR="008E2716">
              <w:rPr>
                <w:noProof/>
                <w:webHidden/>
              </w:rPr>
              <w:fldChar w:fldCharType="begin"/>
            </w:r>
            <w:r w:rsidR="008E2716">
              <w:rPr>
                <w:noProof/>
                <w:webHidden/>
              </w:rPr>
              <w:instrText xml:space="preserve"> PAGEREF _Toc118885933 \h </w:instrText>
            </w:r>
            <w:r w:rsidR="008E2716">
              <w:rPr>
                <w:noProof/>
                <w:webHidden/>
              </w:rPr>
            </w:r>
            <w:r w:rsidR="008E2716">
              <w:rPr>
                <w:noProof/>
                <w:webHidden/>
              </w:rPr>
              <w:fldChar w:fldCharType="separate"/>
            </w:r>
            <w:r w:rsidR="008E2716">
              <w:rPr>
                <w:noProof/>
                <w:webHidden/>
              </w:rPr>
              <w:t>8</w:t>
            </w:r>
            <w:r w:rsidR="008E2716">
              <w:rPr>
                <w:noProof/>
                <w:webHidden/>
              </w:rPr>
              <w:fldChar w:fldCharType="end"/>
            </w:r>
          </w:hyperlink>
        </w:p>
        <w:p w14:paraId="37768650" w14:textId="0F076CEC"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34" w:history="1">
            <w:r w:rsidR="008E2716" w:rsidRPr="003A14C8">
              <w:rPr>
                <w:rStyle w:val="Hyperlink"/>
                <w:noProof/>
              </w:rPr>
              <w:t>Instrucciones y advertencias de la FCC sobre radiofrecuencia</w:t>
            </w:r>
            <w:r w:rsidR="008E2716">
              <w:rPr>
                <w:noProof/>
                <w:webHidden/>
              </w:rPr>
              <w:tab/>
            </w:r>
            <w:r w:rsidR="008E2716">
              <w:rPr>
                <w:noProof/>
                <w:webHidden/>
              </w:rPr>
              <w:fldChar w:fldCharType="begin"/>
            </w:r>
            <w:r w:rsidR="008E2716">
              <w:rPr>
                <w:noProof/>
                <w:webHidden/>
              </w:rPr>
              <w:instrText xml:space="preserve"> PAGEREF _Toc118885934 \h </w:instrText>
            </w:r>
            <w:r w:rsidR="008E2716">
              <w:rPr>
                <w:noProof/>
                <w:webHidden/>
              </w:rPr>
            </w:r>
            <w:r w:rsidR="008E2716">
              <w:rPr>
                <w:noProof/>
                <w:webHidden/>
              </w:rPr>
              <w:fldChar w:fldCharType="separate"/>
            </w:r>
            <w:r w:rsidR="008E2716">
              <w:rPr>
                <w:noProof/>
                <w:webHidden/>
              </w:rPr>
              <w:t>8</w:t>
            </w:r>
            <w:r w:rsidR="008E2716">
              <w:rPr>
                <w:noProof/>
                <w:webHidden/>
              </w:rPr>
              <w:fldChar w:fldCharType="end"/>
            </w:r>
          </w:hyperlink>
        </w:p>
        <w:p w14:paraId="590B79A9" w14:textId="4DD3B58A" w:rsidR="008E2716" w:rsidRDefault="00A40CD8">
          <w:pPr>
            <w:pStyle w:val="TOC3"/>
            <w:rPr>
              <w:rFonts w:asciiTheme="minorHAnsi" w:eastAsiaTheme="minorEastAsia" w:hAnsiTheme="minorHAnsi"/>
              <w:noProof/>
              <w:sz w:val="22"/>
              <w:lang w:val="en-US" w:eastAsia="zh-TW"/>
            </w:rPr>
          </w:pPr>
          <w:hyperlink w:anchor="_Toc118885935" w:history="1">
            <w:r w:rsidR="008E2716" w:rsidRPr="003A14C8">
              <w:rPr>
                <w:rStyle w:val="Hyperlink"/>
                <w:noProof/>
              </w:rPr>
              <w:t>Uso de la selección del código de país (dispositivos WLAN)</w:t>
            </w:r>
            <w:r w:rsidR="008E2716">
              <w:rPr>
                <w:noProof/>
                <w:webHidden/>
              </w:rPr>
              <w:tab/>
            </w:r>
            <w:r w:rsidR="008E2716">
              <w:rPr>
                <w:noProof/>
                <w:webHidden/>
              </w:rPr>
              <w:fldChar w:fldCharType="begin"/>
            </w:r>
            <w:r w:rsidR="008E2716">
              <w:rPr>
                <w:noProof/>
                <w:webHidden/>
              </w:rPr>
              <w:instrText xml:space="preserve"> PAGEREF _Toc118885935 \h </w:instrText>
            </w:r>
            <w:r w:rsidR="008E2716">
              <w:rPr>
                <w:noProof/>
                <w:webHidden/>
              </w:rPr>
            </w:r>
            <w:r w:rsidR="008E2716">
              <w:rPr>
                <w:noProof/>
                <w:webHidden/>
              </w:rPr>
              <w:fldChar w:fldCharType="separate"/>
            </w:r>
            <w:r w:rsidR="008E2716">
              <w:rPr>
                <w:noProof/>
                <w:webHidden/>
              </w:rPr>
              <w:t>8</w:t>
            </w:r>
            <w:r w:rsidR="008E2716">
              <w:rPr>
                <w:noProof/>
                <w:webHidden/>
              </w:rPr>
              <w:fldChar w:fldCharType="end"/>
            </w:r>
          </w:hyperlink>
        </w:p>
        <w:p w14:paraId="284736FE" w14:textId="10357FE6" w:rsidR="008E2716" w:rsidRDefault="00A40CD8">
          <w:pPr>
            <w:pStyle w:val="TOC3"/>
            <w:rPr>
              <w:rFonts w:asciiTheme="minorHAnsi" w:eastAsiaTheme="minorEastAsia" w:hAnsiTheme="minorHAnsi"/>
              <w:noProof/>
              <w:sz w:val="22"/>
              <w:lang w:val="en-US" w:eastAsia="zh-TW"/>
            </w:rPr>
          </w:pPr>
          <w:hyperlink w:anchor="_Toc118885936" w:history="1">
            <w:r w:rsidR="008E2716" w:rsidRPr="003A14C8">
              <w:rPr>
                <w:rStyle w:val="Hyperlink"/>
                <w:noProof/>
              </w:rPr>
              <w:t>Dispositivos Wi-Fi de 5,9 y 6 GHz</w:t>
            </w:r>
            <w:r w:rsidR="008E2716">
              <w:rPr>
                <w:noProof/>
                <w:webHidden/>
              </w:rPr>
              <w:tab/>
            </w:r>
            <w:r w:rsidR="008E2716">
              <w:rPr>
                <w:noProof/>
                <w:webHidden/>
              </w:rPr>
              <w:fldChar w:fldCharType="begin"/>
            </w:r>
            <w:r w:rsidR="008E2716">
              <w:rPr>
                <w:noProof/>
                <w:webHidden/>
              </w:rPr>
              <w:instrText xml:space="preserve"> PAGEREF _Toc118885936 \h </w:instrText>
            </w:r>
            <w:r w:rsidR="008E2716">
              <w:rPr>
                <w:noProof/>
                <w:webHidden/>
              </w:rPr>
            </w:r>
            <w:r w:rsidR="008E2716">
              <w:rPr>
                <w:noProof/>
                <w:webHidden/>
              </w:rPr>
              <w:fldChar w:fldCharType="separate"/>
            </w:r>
            <w:r w:rsidR="008E2716">
              <w:rPr>
                <w:noProof/>
                <w:webHidden/>
              </w:rPr>
              <w:t>9</w:t>
            </w:r>
            <w:r w:rsidR="008E2716">
              <w:rPr>
                <w:noProof/>
                <w:webHidden/>
              </w:rPr>
              <w:fldChar w:fldCharType="end"/>
            </w:r>
          </w:hyperlink>
        </w:p>
        <w:p w14:paraId="4F1565A5" w14:textId="3D54817F"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37" w:history="1">
            <w:r w:rsidR="008E2716" w:rsidRPr="003A14C8">
              <w:rPr>
                <w:rStyle w:val="Hyperlink"/>
                <w:noProof/>
              </w:rPr>
              <w:t>Declaraciones de SAR y exposición a la radiación de radiofrecuencia de la FCC</w:t>
            </w:r>
            <w:r w:rsidR="008E2716">
              <w:rPr>
                <w:noProof/>
                <w:webHidden/>
              </w:rPr>
              <w:tab/>
            </w:r>
            <w:r w:rsidR="008E2716">
              <w:rPr>
                <w:noProof/>
                <w:webHidden/>
              </w:rPr>
              <w:fldChar w:fldCharType="begin"/>
            </w:r>
            <w:r w:rsidR="008E2716">
              <w:rPr>
                <w:noProof/>
                <w:webHidden/>
              </w:rPr>
              <w:instrText xml:space="preserve"> PAGEREF _Toc118885937 \h </w:instrText>
            </w:r>
            <w:r w:rsidR="008E2716">
              <w:rPr>
                <w:noProof/>
                <w:webHidden/>
              </w:rPr>
            </w:r>
            <w:r w:rsidR="008E2716">
              <w:rPr>
                <w:noProof/>
                <w:webHidden/>
              </w:rPr>
              <w:fldChar w:fldCharType="separate"/>
            </w:r>
            <w:r w:rsidR="008E2716">
              <w:rPr>
                <w:noProof/>
                <w:webHidden/>
              </w:rPr>
              <w:t>9</w:t>
            </w:r>
            <w:r w:rsidR="008E2716">
              <w:rPr>
                <w:noProof/>
                <w:webHidden/>
              </w:rPr>
              <w:fldChar w:fldCharType="end"/>
            </w:r>
          </w:hyperlink>
        </w:p>
        <w:p w14:paraId="02E94DB3" w14:textId="2957FCB7" w:rsidR="008E2716" w:rsidRDefault="00A40CD8">
          <w:pPr>
            <w:pStyle w:val="TOC3"/>
            <w:rPr>
              <w:rFonts w:asciiTheme="minorHAnsi" w:eastAsiaTheme="minorEastAsia" w:hAnsiTheme="minorHAnsi"/>
              <w:noProof/>
              <w:sz w:val="22"/>
              <w:lang w:val="en-US" w:eastAsia="zh-TW"/>
            </w:rPr>
          </w:pPr>
          <w:hyperlink w:anchor="_Toc118885938" w:history="1">
            <w:r w:rsidR="008E2716" w:rsidRPr="003A14C8">
              <w:rPr>
                <w:rStyle w:val="Hyperlink"/>
                <w:noProof/>
              </w:rPr>
              <w:t>La información de esta sección se aplica a los productos que transmiten datos o que se comunican de forma inalámbrica - Declaración de SAR.</w:t>
            </w:r>
            <w:r w:rsidR="008E2716">
              <w:rPr>
                <w:noProof/>
                <w:webHidden/>
              </w:rPr>
              <w:tab/>
            </w:r>
            <w:r w:rsidR="008E2716">
              <w:rPr>
                <w:noProof/>
                <w:webHidden/>
              </w:rPr>
              <w:fldChar w:fldCharType="begin"/>
            </w:r>
            <w:r w:rsidR="008E2716">
              <w:rPr>
                <w:noProof/>
                <w:webHidden/>
              </w:rPr>
              <w:instrText xml:space="preserve"> PAGEREF _Toc118885938 \h </w:instrText>
            </w:r>
            <w:r w:rsidR="008E2716">
              <w:rPr>
                <w:noProof/>
                <w:webHidden/>
              </w:rPr>
            </w:r>
            <w:r w:rsidR="008E2716">
              <w:rPr>
                <w:noProof/>
                <w:webHidden/>
              </w:rPr>
              <w:fldChar w:fldCharType="separate"/>
            </w:r>
            <w:r w:rsidR="008E2716">
              <w:rPr>
                <w:noProof/>
                <w:webHidden/>
              </w:rPr>
              <w:t>9</w:t>
            </w:r>
            <w:r w:rsidR="008E2716">
              <w:rPr>
                <w:noProof/>
                <w:webHidden/>
              </w:rPr>
              <w:fldChar w:fldCharType="end"/>
            </w:r>
          </w:hyperlink>
        </w:p>
        <w:p w14:paraId="4B568EF0" w14:textId="5BF1F009" w:rsidR="008E2716" w:rsidRDefault="00A40CD8">
          <w:pPr>
            <w:pStyle w:val="TOC3"/>
            <w:rPr>
              <w:rFonts w:asciiTheme="minorHAnsi" w:eastAsiaTheme="minorEastAsia" w:hAnsiTheme="minorHAnsi"/>
              <w:noProof/>
              <w:sz w:val="22"/>
              <w:lang w:val="en-US" w:eastAsia="zh-TW"/>
            </w:rPr>
          </w:pPr>
          <w:hyperlink w:anchor="_Toc118885939" w:history="1">
            <w:r w:rsidR="008E2716" w:rsidRPr="003A14C8">
              <w:rPr>
                <w:rStyle w:val="Hyperlink"/>
                <w:noProof/>
              </w:rPr>
              <w:t>Declaración de exposición máxima permisiva</w:t>
            </w:r>
            <w:r w:rsidR="008E2716">
              <w:rPr>
                <w:noProof/>
                <w:webHidden/>
              </w:rPr>
              <w:tab/>
            </w:r>
            <w:r w:rsidR="008E2716">
              <w:rPr>
                <w:noProof/>
                <w:webHidden/>
              </w:rPr>
              <w:fldChar w:fldCharType="begin"/>
            </w:r>
            <w:r w:rsidR="008E2716">
              <w:rPr>
                <w:noProof/>
                <w:webHidden/>
              </w:rPr>
              <w:instrText xml:space="preserve"> PAGEREF _Toc118885939 \h </w:instrText>
            </w:r>
            <w:r w:rsidR="008E2716">
              <w:rPr>
                <w:noProof/>
                <w:webHidden/>
              </w:rPr>
            </w:r>
            <w:r w:rsidR="008E2716">
              <w:rPr>
                <w:noProof/>
                <w:webHidden/>
              </w:rPr>
              <w:fldChar w:fldCharType="separate"/>
            </w:r>
            <w:r w:rsidR="008E2716">
              <w:rPr>
                <w:noProof/>
                <w:webHidden/>
              </w:rPr>
              <w:t>9</w:t>
            </w:r>
            <w:r w:rsidR="008E2716">
              <w:rPr>
                <w:noProof/>
                <w:webHidden/>
              </w:rPr>
              <w:fldChar w:fldCharType="end"/>
            </w:r>
          </w:hyperlink>
        </w:p>
        <w:p w14:paraId="52B66EE5" w14:textId="0F23D9FE"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40" w:history="1">
            <w:r w:rsidR="008E2716" w:rsidRPr="003A14C8">
              <w:rPr>
                <w:rStyle w:val="Hyperlink"/>
                <w:noProof/>
              </w:rPr>
              <w:t>Precauciones específicas para EMC</w:t>
            </w:r>
            <w:r w:rsidR="008E2716">
              <w:rPr>
                <w:noProof/>
                <w:webHidden/>
              </w:rPr>
              <w:tab/>
            </w:r>
            <w:r w:rsidR="008E2716">
              <w:rPr>
                <w:noProof/>
                <w:webHidden/>
              </w:rPr>
              <w:fldChar w:fldCharType="begin"/>
            </w:r>
            <w:r w:rsidR="008E2716">
              <w:rPr>
                <w:noProof/>
                <w:webHidden/>
              </w:rPr>
              <w:instrText xml:space="preserve"> PAGEREF _Toc118885940 \h </w:instrText>
            </w:r>
            <w:r w:rsidR="008E2716">
              <w:rPr>
                <w:noProof/>
                <w:webHidden/>
              </w:rPr>
            </w:r>
            <w:r w:rsidR="008E2716">
              <w:rPr>
                <w:noProof/>
                <w:webHidden/>
              </w:rPr>
              <w:fldChar w:fldCharType="separate"/>
            </w:r>
            <w:r w:rsidR="008E2716">
              <w:rPr>
                <w:noProof/>
                <w:webHidden/>
              </w:rPr>
              <w:t>9</w:t>
            </w:r>
            <w:r w:rsidR="008E2716">
              <w:rPr>
                <w:noProof/>
                <w:webHidden/>
              </w:rPr>
              <w:fldChar w:fldCharType="end"/>
            </w:r>
          </w:hyperlink>
        </w:p>
        <w:p w14:paraId="3BC932A4" w14:textId="01BD535D" w:rsidR="008E2716" w:rsidRDefault="00A40CD8">
          <w:pPr>
            <w:pStyle w:val="TOC3"/>
            <w:rPr>
              <w:rFonts w:asciiTheme="minorHAnsi" w:eastAsiaTheme="minorEastAsia" w:hAnsiTheme="minorHAnsi"/>
              <w:noProof/>
              <w:sz w:val="22"/>
              <w:lang w:val="en-US" w:eastAsia="zh-TW"/>
            </w:rPr>
          </w:pPr>
          <w:hyperlink w:anchor="_Toc118885941" w:history="1">
            <w:r w:rsidR="008E2716" w:rsidRPr="003A14C8">
              <w:rPr>
                <w:rStyle w:val="Hyperlink"/>
                <w:noProof/>
              </w:rPr>
              <w:t>Productos de clase B</w:t>
            </w:r>
            <w:r w:rsidR="008E2716">
              <w:rPr>
                <w:noProof/>
                <w:webHidden/>
              </w:rPr>
              <w:tab/>
            </w:r>
            <w:r w:rsidR="008E2716">
              <w:rPr>
                <w:noProof/>
                <w:webHidden/>
              </w:rPr>
              <w:fldChar w:fldCharType="begin"/>
            </w:r>
            <w:r w:rsidR="008E2716">
              <w:rPr>
                <w:noProof/>
                <w:webHidden/>
              </w:rPr>
              <w:instrText xml:space="preserve"> PAGEREF _Toc118885941 \h </w:instrText>
            </w:r>
            <w:r w:rsidR="008E2716">
              <w:rPr>
                <w:noProof/>
                <w:webHidden/>
              </w:rPr>
            </w:r>
            <w:r w:rsidR="008E2716">
              <w:rPr>
                <w:noProof/>
                <w:webHidden/>
              </w:rPr>
              <w:fldChar w:fldCharType="separate"/>
            </w:r>
            <w:r w:rsidR="008E2716">
              <w:rPr>
                <w:noProof/>
                <w:webHidden/>
              </w:rPr>
              <w:t>10</w:t>
            </w:r>
            <w:r w:rsidR="008E2716">
              <w:rPr>
                <w:noProof/>
                <w:webHidden/>
              </w:rPr>
              <w:fldChar w:fldCharType="end"/>
            </w:r>
          </w:hyperlink>
        </w:p>
        <w:p w14:paraId="30A88330" w14:textId="52A670D1" w:rsidR="008E2716" w:rsidRDefault="00A40CD8">
          <w:pPr>
            <w:pStyle w:val="TOC3"/>
            <w:rPr>
              <w:rFonts w:asciiTheme="minorHAnsi" w:eastAsiaTheme="minorEastAsia" w:hAnsiTheme="minorHAnsi"/>
              <w:noProof/>
              <w:sz w:val="22"/>
              <w:lang w:val="en-US" w:eastAsia="zh-TW"/>
            </w:rPr>
          </w:pPr>
          <w:hyperlink w:anchor="_Toc118885942" w:history="1">
            <w:r w:rsidR="008E2716" w:rsidRPr="003A14C8">
              <w:rPr>
                <w:rStyle w:val="Hyperlink"/>
                <w:noProof/>
              </w:rPr>
              <w:t>Productos de clase A</w:t>
            </w:r>
            <w:r w:rsidR="008E2716">
              <w:rPr>
                <w:noProof/>
                <w:webHidden/>
              </w:rPr>
              <w:tab/>
            </w:r>
            <w:r w:rsidR="008E2716">
              <w:rPr>
                <w:noProof/>
                <w:webHidden/>
              </w:rPr>
              <w:fldChar w:fldCharType="begin"/>
            </w:r>
            <w:r w:rsidR="008E2716">
              <w:rPr>
                <w:noProof/>
                <w:webHidden/>
              </w:rPr>
              <w:instrText xml:space="preserve"> PAGEREF _Toc118885942 \h </w:instrText>
            </w:r>
            <w:r w:rsidR="008E2716">
              <w:rPr>
                <w:noProof/>
                <w:webHidden/>
              </w:rPr>
            </w:r>
            <w:r w:rsidR="008E2716">
              <w:rPr>
                <w:noProof/>
                <w:webHidden/>
              </w:rPr>
              <w:fldChar w:fldCharType="separate"/>
            </w:r>
            <w:r w:rsidR="008E2716">
              <w:rPr>
                <w:noProof/>
                <w:webHidden/>
              </w:rPr>
              <w:t>10</w:t>
            </w:r>
            <w:r w:rsidR="008E2716">
              <w:rPr>
                <w:noProof/>
                <w:webHidden/>
              </w:rPr>
              <w:fldChar w:fldCharType="end"/>
            </w:r>
          </w:hyperlink>
        </w:p>
        <w:p w14:paraId="4BBD9876" w14:textId="32D7347F"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43" w:history="1">
            <w:r w:rsidR="008E2716" w:rsidRPr="003A14C8">
              <w:rPr>
                <w:rStyle w:val="Hyperlink"/>
                <w:noProof/>
              </w:rPr>
              <w:t>Aviso del apartado 68 de la FCC</w:t>
            </w:r>
            <w:r w:rsidR="008E2716">
              <w:rPr>
                <w:noProof/>
                <w:webHidden/>
              </w:rPr>
              <w:tab/>
            </w:r>
            <w:r w:rsidR="008E2716">
              <w:rPr>
                <w:noProof/>
                <w:webHidden/>
              </w:rPr>
              <w:fldChar w:fldCharType="begin"/>
            </w:r>
            <w:r w:rsidR="008E2716">
              <w:rPr>
                <w:noProof/>
                <w:webHidden/>
              </w:rPr>
              <w:instrText xml:space="preserve"> PAGEREF _Toc118885943 \h </w:instrText>
            </w:r>
            <w:r w:rsidR="008E2716">
              <w:rPr>
                <w:noProof/>
                <w:webHidden/>
              </w:rPr>
            </w:r>
            <w:r w:rsidR="008E2716">
              <w:rPr>
                <w:noProof/>
                <w:webHidden/>
              </w:rPr>
              <w:fldChar w:fldCharType="separate"/>
            </w:r>
            <w:r w:rsidR="008E2716">
              <w:rPr>
                <w:noProof/>
                <w:webHidden/>
              </w:rPr>
              <w:t>10</w:t>
            </w:r>
            <w:r w:rsidR="008E2716">
              <w:rPr>
                <w:noProof/>
                <w:webHidden/>
              </w:rPr>
              <w:fldChar w:fldCharType="end"/>
            </w:r>
          </w:hyperlink>
        </w:p>
        <w:p w14:paraId="438EC068" w14:textId="54A45076" w:rsidR="008E2716" w:rsidRDefault="00A40CD8">
          <w:pPr>
            <w:pStyle w:val="TOC1"/>
            <w:rPr>
              <w:rFonts w:asciiTheme="minorHAnsi" w:eastAsiaTheme="minorEastAsia" w:hAnsiTheme="minorHAnsi"/>
              <w:noProof/>
              <w:sz w:val="22"/>
              <w:lang w:val="en-US" w:eastAsia="zh-TW"/>
            </w:rPr>
          </w:pPr>
          <w:hyperlink w:anchor="_Toc118885944" w:history="1">
            <w:r w:rsidR="008E2716" w:rsidRPr="003A14C8">
              <w:rPr>
                <w:rStyle w:val="Hyperlink"/>
                <w:noProof/>
              </w:rPr>
              <w:t>Normativas de innovación, ciencia y desarrollo económico de Canadá (ISED)</w:t>
            </w:r>
            <w:r w:rsidR="008E2716">
              <w:rPr>
                <w:noProof/>
                <w:webHidden/>
              </w:rPr>
              <w:tab/>
            </w:r>
            <w:r w:rsidR="008E2716">
              <w:rPr>
                <w:noProof/>
                <w:webHidden/>
              </w:rPr>
              <w:fldChar w:fldCharType="begin"/>
            </w:r>
            <w:r w:rsidR="008E2716">
              <w:rPr>
                <w:noProof/>
                <w:webHidden/>
              </w:rPr>
              <w:instrText xml:space="preserve"> PAGEREF _Toc118885944 \h </w:instrText>
            </w:r>
            <w:r w:rsidR="008E2716">
              <w:rPr>
                <w:noProof/>
                <w:webHidden/>
              </w:rPr>
            </w:r>
            <w:r w:rsidR="008E2716">
              <w:rPr>
                <w:noProof/>
                <w:webHidden/>
              </w:rPr>
              <w:fldChar w:fldCharType="separate"/>
            </w:r>
            <w:r w:rsidR="008E2716">
              <w:rPr>
                <w:noProof/>
                <w:webHidden/>
              </w:rPr>
              <w:t>10</w:t>
            </w:r>
            <w:r w:rsidR="008E2716">
              <w:rPr>
                <w:noProof/>
                <w:webHidden/>
              </w:rPr>
              <w:fldChar w:fldCharType="end"/>
            </w:r>
          </w:hyperlink>
        </w:p>
        <w:p w14:paraId="567831F1" w14:textId="5D43AD56"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45" w:history="1">
            <w:r w:rsidR="008E2716" w:rsidRPr="003A14C8">
              <w:rPr>
                <w:rStyle w:val="Hyperlink"/>
                <w:noProof/>
              </w:rPr>
              <w:t>Instrucciones y advertencias sobre radiofrecuencia</w:t>
            </w:r>
            <w:r w:rsidR="008E2716">
              <w:rPr>
                <w:noProof/>
                <w:webHidden/>
              </w:rPr>
              <w:tab/>
            </w:r>
            <w:r w:rsidR="008E2716">
              <w:rPr>
                <w:noProof/>
                <w:webHidden/>
              </w:rPr>
              <w:fldChar w:fldCharType="begin"/>
            </w:r>
            <w:r w:rsidR="008E2716">
              <w:rPr>
                <w:noProof/>
                <w:webHidden/>
              </w:rPr>
              <w:instrText xml:space="preserve"> PAGEREF _Toc118885945 \h </w:instrText>
            </w:r>
            <w:r w:rsidR="008E2716">
              <w:rPr>
                <w:noProof/>
                <w:webHidden/>
              </w:rPr>
            </w:r>
            <w:r w:rsidR="008E2716">
              <w:rPr>
                <w:noProof/>
                <w:webHidden/>
              </w:rPr>
              <w:fldChar w:fldCharType="separate"/>
            </w:r>
            <w:r w:rsidR="008E2716">
              <w:rPr>
                <w:noProof/>
                <w:webHidden/>
              </w:rPr>
              <w:t>11</w:t>
            </w:r>
            <w:r w:rsidR="008E2716">
              <w:rPr>
                <w:noProof/>
                <w:webHidden/>
              </w:rPr>
              <w:fldChar w:fldCharType="end"/>
            </w:r>
          </w:hyperlink>
        </w:p>
        <w:p w14:paraId="5C20D46C" w14:textId="6C231D35"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46" w:history="1">
            <w:r w:rsidR="008E2716" w:rsidRPr="003A14C8">
              <w:rPr>
                <w:rStyle w:val="Hyperlink"/>
                <w:noProof/>
              </w:rPr>
              <w:t>NOTA IMPORTANTE: Declaración sobre la exposición a la radiación</w:t>
            </w:r>
            <w:r w:rsidR="008E2716">
              <w:rPr>
                <w:noProof/>
                <w:webHidden/>
              </w:rPr>
              <w:tab/>
            </w:r>
            <w:r w:rsidR="008E2716">
              <w:rPr>
                <w:noProof/>
                <w:webHidden/>
              </w:rPr>
              <w:fldChar w:fldCharType="begin"/>
            </w:r>
            <w:r w:rsidR="008E2716">
              <w:rPr>
                <w:noProof/>
                <w:webHidden/>
              </w:rPr>
              <w:instrText xml:space="preserve"> PAGEREF _Toc118885946 \h </w:instrText>
            </w:r>
            <w:r w:rsidR="008E2716">
              <w:rPr>
                <w:noProof/>
                <w:webHidden/>
              </w:rPr>
            </w:r>
            <w:r w:rsidR="008E2716">
              <w:rPr>
                <w:noProof/>
                <w:webHidden/>
              </w:rPr>
              <w:fldChar w:fldCharType="separate"/>
            </w:r>
            <w:r w:rsidR="008E2716">
              <w:rPr>
                <w:noProof/>
                <w:webHidden/>
              </w:rPr>
              <w:t>11</w:t>
            </w:r>
            <w:r w:rsidR="008E2716">
              <w:rPr>
                <w:noProof/>
                <w:webHidden/>
              </w:rPr>
              <w:fldChar w:fldCharType="end"/>
            </w:r>
          </w:hyperlink>
        </w:p>
        <w:p w14:paraId="72822652" w14:textId="24B60DA7" w:rsidR="008E2716" w:rsidRDefault="00A40CD8">
          <w:pPr>
            <w:pStyle w:val="TOC3"/>
            <w:rPr>
              <w:rFonts w:asciiTheme="minorHAnsi" w:eastAsiaTheme="minorEastAsia" w:hAnsiTheme="minorHAnsi"/>
              <w:noProof/>
              <w:sz w:val="22"/>
              <w:lang w:val="en-US" w:eastAsia="zh-TW"/>
            </w:rPr>
          </w:pPr>
          <w:hyperlink w:anchor="_Toc118885947" w:history="1">
            <w:r w:rsidR="008E2716" w:rsidRPr="003A14C8">
              <w:rPr>
                <w:rStyle w:val="Hyperlink"/>
                <w:noProof/>
              </w:rPr>
              <w:t>Advertencia de SAR:</w:t>
            </w:r>
            <w:r w:rsidR="008E2716">
              <w:rPr>
                <w:noProof/>
                <w:webHidden/>
              </w:rPr>
              <w:tab/>
            </w:r>
            <w:r w:rsidR="008E2716">
              <w:rPr>
                <w:noProof/>
                <w:webHidden/>
              </w:rPr>
              <w:fldChar w:fldCharType="begin"/>
            </w:r>
            <w:r w:rsidR="008E2716">
              <w:rPr>
                <w:noProof/>
                <w:webHidden/>
              </w:rPr>
              <w:instrText xml:space="preserve"> PAGEREF _Toc118885947 \h </w:instrText>
            </w:r>
            <w:r w:rsidR="008E2716">
              <w:rPr>
                <w:noProof/>
                <w:webHidden/>
              </w:rPr>
            </w:r>
            <w:r w:rsidR="008E2716">
              <w:rPr>
                <w:noProof/>
                <w:webHidden/>
              </w:rPr>
              <w:fldChar w:fldCharType="separate"/>
            </w:r>
            <w:r w:rsidR="008E2716">
              <w:rPr>
                <w:noProof/>
                <w:webHidden/>
              </w:rPr>
              <w:t>11</w:t>
            </w:r>
            <w:r w:rsidR="008E2716">
              <w:rPr>
                <w:noProof/>
                <w:webHidden/>
              </w:rPr>
              <w:fldChar w:fldCharType="end"/>
            </w:r>
          </w:hyperlink>
        </w:p>
        <w:p w14:paraId="060517FF" w14:textId="10FFFA44" w:rsidR="008E2716" w:rsidRDefault="00A40CD8">
          <w:pPr>
            <w:pStyle w:val="TOC3"/>
            <w:rPr>
              <w:rFonts w:asciiTheme="minorHAnsi" w:eastAsiaTheme="minorEastAsia" w:hAnsiTheme="minorHAnsi"/>
              <w:noProof/>
              <w:sz w:val="22"/>
              <w:lang w:val="en-US" w:eastAsia="zh-TW"/>
            </w:rPr>
          </w:pPr>
          <w:hyperlink w:anchor="_Toc118885948" w:history="1">
            <w:r w:rsidR="008E2716" w:rsidRPr="003A14C8">
              <w:rPr>
                <w:rStyle w:val="Hyperlink"/>
                <w:noProof/>
              </w:rPr>
              <w:t>Declaración de exposición máxima permisiva</w:t>
            </w:r>
            <w:r w:rsidR="008E2716">
              <w:rPr>
                <w:noProof/>
                <w:webHidden/>
              </w:rPr>
              <w:tab/>
            </w:r>
            <w:r w:rsidR="008E2716">
              <w:rPr>
                <w:noProof/>
                <w:webHidden/>
              </w:rPr>
              <w:fldChar w:fldCharType="begin"/>
            </w:r>
            <w:r w:rsidR="008E2716">
              <w:rPr>
                <w:noProof/>
                <w:webHidden/>
              </w:rPr>
              <w:instrText xml:space="preserve"> PAGEREF _Toc118885948 \h </w:instrText>
            </w:r>
            <w:r w:rsidR="008E2716">
              <w:rPr>
                <w:noProof/>
                <w:webHidden/>
              </w:rPr>
            </w:r>
            <w:r w:rsidR="008E2716">
              <w:rPr>
                <w:noProof/>
                <w:webHidden/>
              </w:rPr>
              <w:fldChar w:fldCharType="separate"/>
            </w:r>
            <w:r w:rsidR="008E2716">
              <w:rPr>
                <w:noProof/>
                <w:webHidden/>
              </w:rPr>
              <w:t>12</w:t>
            </w:r>
            <w:r w:rsidR="008E2716">
              <w:rPr>
                <w:noProof/>
                <w:webHidden/>
              </w:rPr>
              <w:fldChar w:fldCharType="end"/>
            </w:r>
          </w:hyperlink>
        </w:p>
        <w:p w14:paraId="0C763D06" w14:textId="05258C42"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49" w:history="1">
            <w:r w:rsidR="008E2716" w:rsidRPr="003A14C8">
              <w:rPr>
                <w:rStyle w:val="Hyperlink"/>
                <w:noProof/>
              </w:rPr>
              <w:t>Reglamento 522/20 de Ontario</w:t>
            </w:r>
            <w:r w:rsidR="008E2716">
              <w:rPr>
                <w:noProof/>
                <w:webHidden/>
              </w:rPr>
              <w:tab/>
            </w:r>
            <w:r w:rsidR="008E2716">
              <w:rPr>
                <w:noProof/>
                <w:webHidden/>
              </w:rPr>
              <w:fldChar w:fldCharType="begin"/>
            </w:r>
            <w:r w:rsidR="008E2716">
              <w:rPr>
                <w:noProof/>
                <w:webHidden/>
              </w:rPr>
              <w:instrText xml:space="preserve"> PAGEREF _Toc118885949 \h </w:instrText>
            </w:r>
            <w:r w:rsidR="008E2716">
              <w:rPr>
                <w:noProof/>
                <w:webHidden/>
              </w:rPr>
            </w:r>
            <w:r w:rsidR="008E2716">
              <w:rPr>
                <w:noProof/>
                <w:webHidden/>
              </w:rPr>
              <w:fldChar w:fldCharType="separate"/>
            </w:r>
            <w:r w:rsidR="008E2716">
              <w:rPr>
                <w:noProof/>
                <w:webHidden/>
              </w:rPr>
              <w:t>12</w:t>
            </w:r>
            <w:r w:rsidR="008E2716">
              <w:rPr>
                <w:noProof/>
                <w:webHidden/>
              </w:rPr>
              <w:fldChar w:fldCharType="end"/>
            </w:r>
          </w:hyperlink>
        </w:p>
        <w:p w14:paraId="2F0FC92D" w14:textId="118CA4A4" w:rsidR="008E2716" w:rsidRDefault="00A40CD8">
          <w:pPr>
            <w:pStyle w:val="TOC1"/>
            <w:rPr>
              <w:rFonts w:asciiTheme="minorHAnsi" w:eastAsiaTheme="minorEastAsia" w:hAnsiTheme="minorHAnsi"/>
              <w:noProof/>
              <w:sz w:val="22"/>
              <w:lang w:val="en-US" w:eastAsia="zh-TW"/>
            </w:rPr>
          </w:pPr>
          <w:hyperlink w:anchor="_Toc118885950" w:history="1">
            <w:r w:rsidR="008E2716" w:rsidRPr="003A14C8">
              <w:rPr>
                <w:rStyle w:val="Hyperlink"/>
                <w:noProof/>
              </w:rPr>
              <w:t>Réglementations du ministère Innovation, Sciences et Développement économique Canada (ISDE) – français</w:t>
            </w:r>
            <w:r w:rsidR="008E2716">
              <w:rPr>
                <w:noProof/>
                <w:webHidden/>
              </w:rPr>
              <w:tab/>
            </w:r>
            <w:r w:rsidR="008E2716">
              <w:rPr>
                <w:noProof/>
                <w:webHidden/>
              </w:rPr>
              <w:fldChar w:fldCharType="begin"/>
            </w:r>
            <w:r w:rsidR="008E2716">
              <w:rPr>
                <w:noProof/>
                <w:webHidden/>
              </w:rPr>
              <w:instrText xml:space="preserve"> PAGEREF _Toc118885950 \h </w:instrText>
            </w:r>
            <w:r w:rsidR="008E2716">
              <w:rPr>
                <w:noProof/>
                <w:webHidden/>
              </w:rPr>
            </w:r>
            <w:r w:rsidR="008E2716">
              <w:rPr>
                <w:noProof/>
                <w:webHidden/>
              </w:rPr>
              <w:fldChar w:fldCharType="separate"/>
            </w:r>
            <w:r w:rsidR="008E2716">
              <w:rPr>
                <w:noProof/>
                <w:webHidden/>
              </w:rPr>
              <w:t>12</w:t>
            </w:r>
            <w:r w:rsidR="008E2716">
              <w:rPr>
                <w:noProof/>
                <w:webHidden/>
              </w:rPr>
              <w:fldChar w:fldCharType="end"/>
            </w:r>
          </w:hyperlink>
        </w:p>
        <w:p w14:paraId="0BA58D75" w14:textId="22273A10"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51" w:history="1">
            <w:r w:rsidR="008E2716" w:rsidRPr="003A14C8">
              <w:rPr>
                <w:rStyle w:val="Hyperlink"/>
                <w:noProof/>
              </w:rPr>
              <w:t>Avertissements et instructions relatifs aux fréquences radio</w:t>
            </w:r>
            <w:r w:rsidR="008E2716">
              <w:rPr>
                <w:noProof/>
                <w:webHidden/>
              </w:rPr>
              <w:tab/>
            </w:r>
            <w:r w:rsidR="008E2716">
              <w:rPr>
                <w:noProof/>
                <w:webHidden/>
              </w:rPr>
              <w:fldChar w:fldCharType="begin"/>
            </w:r>
            <w:r w:rsidR="008E2716">
              <w:rPr>
                <w:noProof/>
                <w:webHidden/>
              </w:rPr>
              <w:instrText xml:space="preserve"> PAGEREF _Toc118885951 \h </w:instrText>
            </w:r>
            <w:r w:rsidR="008E2716">
              <w:rPr>
                <w:noProof/>
                <w:webHidden/>
              </w:rPr>
            </w:r>
            <w:r w:rsidR="008E2716">
              <w:rPr>
                <w:noProof/>
                <w:webHidden/>
              </w:rPr>
              <w:fldChar w:fldCharType="separate"/>
            </w:r>
            <w:r w:rsidR="008E2716">
              <w:rPr>
                <w:noProof/>
                <w:webHidden/>
              </w:rPr>
              <w:t>12</w:t>
            </w:r>
            <w:r w:rsidR="008E2716">
              <w:rPr>
                <w:noProof/>
                <w:webHidden/>
              </w:rPr>
              <w:fldChar w:fldCharType="end"/>
            </w:r>
          </w:hyperlink>
        </w:p>
        <w:p w14:paraId="69306744" w14:textId="510C80CC"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52" w:history="1">
            <w:r w:rsidR="008E2716" w:rsidRPr="003A14C8">
              <w:rPr>
                <w:rStyle w:val="Hyperlink"/>
                <w:noProof/>
              </w:rPr>
              <w:t>REMARQUE IMPORTANTE : Déclaration concernant l'exposition aux rayonnements</w:t>
            </w:r>
            <w:r w:rsidR="008E2716">
              <w:rPr>
                <w:noProof/>
                <w:webHidden/>
              </w:rPr>
              <w:tab/>
            </w:r>
            <w:r w:rsidR="008E2716">
              <w:rPr>
                <w:noProof/>
                <w:webHidden/>
              </w:rPr>
              <w:fldChar w:fldCharType="begin"/>
            </w:r>
            <w:r w:rsidR="008E2716">
              <w:rPr>
                <w:noProof/>
                <w:webHidden/>
              </w:rPr>
              <w:instrText xml:space="preserve"> PAGEREF _Toc118885952 \h </w:instrText>
            </w:r>
            <w:r w:rsidR="008E2716">
              <w:rPr>
                <w:noProof/>
                <w:webHidden/>
              </w:rPr>
            </w:r>
            <w:r w:rsidR="008E2716">
              <w:rPr>
                <w:noProof/>
                <w:webHidden/>
              </w:rPr>
              <w:fldChar w:fldCharType="separate"/>
            </w:r>
            <w:r w:rsidR="008E2716">
              <w:rPr>
                <w:noProof/>
                <w:webHidden/>
              </w:rPr>
              <w:t>13</w:t>
            </w:r>
            <w:r w:rsidR="008E2716">
              <w:rPr>
                <w:noProof/>
                <w:webHidden/>
              </w:rPr>
              <w:fldChar w:fldCharType="end"/>
            </w:r>
          </w:hyperlink>
        </w:p>
        <w:p w14:paraId="00F68A87" w14:textId="3C097C7F" w:rsidR="008E2716" w:rsidRDefault="00A40CD8">
          <w:pPr>
            <w:pStyle w:val="TOC3"/>
            <w:rPr>
              <w:rFonts w:asciiTheme="minorHAnsi" w:eastAsiaTheme="minorEastAsia" w:hAnsiTheme="minorHAnsi"/>
              <w:noProof/>
              <w:sz w:val="22"/>
              <w:lang w:val="en-US" w:eastAsia="zh-TW"/>
            </w:rPr>
          </w:pPr>
          <w:hyperlink w:anchor="_Toc118885953" w:history="1">
            <w:r w:rsidR="008E2716" w:rsidRPr="003A14C8">
              <w:rPr>
                <w:rStyle w:val="Hyperlink"/>
                <w:noProof/>
              </w:rPr>
              <w:t>Avertissement relatif au DAS :</w:t>
            </w:r>
            <w:r w:rsidR="008E2716">
              <w:rPr>
                <w:noProof/>
                <w:webHidden/>
              </w:rPr>
              <w:tab/>
            </w:r>
            <w:r w:rsidR="008E2716">
              <w:rPr>
                <w:noProof/>
                <w:webHidden/>
              </w:rPr>
              <w:fldChar w:fldCharType="begin"/>
            </w:r>
            <w:r w:rsidR="008E2716">
              <w:rPr>
                <w:noProof/>
                <w:webHidden/>
              </w:rPr>
              <w:instrText xml:space="preserve"> PAGEREF _Toc118885953 \h </w:instrText>
            </w:r>
            <w:r w:rsidR="008E2716">
              <w:rPr>
                <w:noProof/>
                <w:webHidden/>
              </w:rPr>
            </w:r>
            <w:r w:rsidR="008E2716">
              <w:rPr>
                <w:noProof/>
                <w:webHidden/>
              </w:rPr>
              <w:fldChar w:fldCharType="separate"/>
            </w:r>
            <w:r w:rsidR="008E2716">
              <w:rPr>
                <w:noProof/>
                <w:webHidden/>
              </w:rPr>
              <w:t>13</w:t>
            </w:r>
            <w:r w:rsidR="008E2716">
              <w:rPr>
                <w:noProof/>
                <w:webHidden/>
              </w:rPr>
              <w:fldChar w:fldCharType="end"/>
            </w:r>
          </w:hyperlink>
        </w:p>
        <w:p w14:paraId="0D2D02F6" w14:textId="53D852EF" w:rsidR="008E2716" w:rsidRDefault="00A40CD8">
          <w:pPr>
            <w:pStyle w:val="TOC3"/>
            <w:rPr>
              <w:rFonts w:asciiTheme="minorHAnsi" w:eastAsiaTheme="minorEastAsia" w:hAnsiTheme="minorHAnsi"/>
              <w:noProof/>
              <w:sz w:val="22"/>
              <w:lang w:val="en-US" w:eastAsia="zh-TW"/>
            </w:rPr>
          </w:pPr>
          <w:hyperlink w:anchor="_Toc118885954" w:history="1">
            <w:r w:rsidR="008E2716" w:rsidRPr="003A14C8">
              <w:rPr>
                <w:rStyle w:val="Hyperlink"/>
                <w:noProof/>
              </w:rPr>
              <w:t>Déclaration de limite d'exposition maximale admissible</w:t>
            </w:r>
            <w:r w:rsidR="008E2716">
              <w:rPr>
                <w:noProof/>
                <w:webHidden/>
              </w:rPr>
              <w:tab/>
            </w:r>
            <w:r w:rsidR="008E2716">
              <w:rPr>
                <w:noProof/>
                <w:webHidden/>
              </w:rPr>
              <w:fldChar w:fldCharType="begin"/>
            </w:r>
            <w:r w:rsidR="008E2716">
              <w:rPr>
                <w:noProof/>
                <w:webHidden/>
              </w:rPr>
              <w:instrText xml:space="preserve"> PAGEREF _Toc118885954 \h </w:instrText>
            </w:r>
            <w:r w:rsidR="008E2716">
              <w:rPr>
                <w:noProof/>
                <w:webHidden/>
              </w:rPr>
            </w:r>
            <w:r w:rsidR="008E2716">
              <w:rPr>
                <w:noProof/>
                <w:webHidden/>
              </w:rPr>
              <w:fldChar w:fldCharType="separate"/>
            </w:r>
            <w:r w:rsidR="008E2716">
              <w:rPr>
                <w:noProof/>
                <w:webHidden/>
              </w:rPr>
              <w:t>13</w:t>
            </w:r>
            <w:r w:rsidR="008E2716">
              <w:rPr>
                <w:noProof/>
                <w:webHidden/>
              </w:rPr>
              <w:fldChar w:fldCharType="end"/>
            </w:r>
          </w:hyperlink>
        </w:p>
        <w:p w14:paraId="12D74767" w14:textId="28F8B386"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55" w:history="1">
            <w:r w:rsidR="008E2716" w:rsidRPr="003A14C8">
              <w:rPr>
                <w:rStyle w:val="Hyperlink"/>
                <w:noProof/>
              </w:rPr>
              <w:t>Règlement 522/20 de l'Ontario</w:t>
            </w:r>
            <w:r w:rsidR="008E2716">
              <w:rPr>
                <w:noProof/>
                <w:webHidden/>
              </w:rPr>
              <w:tab/>
            </w:r>
            <w:r w:rsidR="008E2716">
              <w:rPr>
                <w:noProof/>
                <w:webHidden/>
              </w:rPr>
              <w:fldChar w:fldCharType="begin"/>
            </w:r>
            <w:r w:rsidR="008E2716">
              <w:rPr>
                <w:noProof/>
                <w:webHidden/>
              </w:rPr>
              <w:instrText xml:space="preserve"> PAGEREF _Toc118885955 \h </w:instrText>
            </w:r>
            <w:r w:rsidR="008E2716">
              <w:rPr>
                <w:noProof/>
                <w:webHidden/>
              </w:rPr>
            </w:r>
            <w:r w:rsidR="008E2716">
              <w:rPr>
                <w:noProof/>
                <w:webHidden/>
              </w:rPr>
              <w:fldChar w:fldCharType="separate"/>
            </w:r>
            <w:r w:rsidR="008E2716">
              <w:rPr>
                <w:noProof/>
                <w:webHidden/>
              </w:rPr>
              <w:t>14</w:t>
            </w:r>
            <w:r w:rsidR="008E2716">
              <w:rPr>
                <w:noProof/>
                <w:webHidden/>
              </w:rPr>
              <w:fldChar w:fldCharType="end"/>
            </w:r>
          </w:hyperlink>
        </w:p>
        <w:p w14:paraId="67DAE397" w14:textId="0090A703"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56" w:history="1">
            <w:r w:rsidR="008E2716" w:rsidRPr="003A14C8">
              <w:rPr>
                <w:rStyle w:val="Hyperlink"/>
                <w:noProof/>
              </w:rPr>
              <w:t>Tabla de reducción de interferencias</w:t>
            </w:r>
            <w:r w:rsidR="008E2716">
              <w:rPr>
                <w:noProof/>
                <w:webHidden/>
              </w:rPr>
              <w:tab/>
            </w:r>
            <w:r w:rsidR="008E2716">
              <w:rPr>
                <w:noProof/>
                <w:webHidden/>
              </w:rPr>
              <w:fldChar w:fldCharType="begin"/>
            </w:r>
            <w:r w:rsidR="008E2716">
              <w:rPr>
                <w:noProof/>
                <w:webHidden/>
              </w:rPr>
              <w:instrText xml:space="preserve"> PAGEREF _Toc118885956 \h </w:instrText>
            </w:r>
            <w:r w:rsidR="008E2716">
              <w:rPr>
                <w:noProof/>
                <w:webHidden/>
              </w:rPr>
            </w:r>
            <w:r w:rsidR="008E2716">
              <w:rPr>
                <w:noProof/>
                <w:webHidden/>
              </w:rPr>
              <w:fldChar w:fldCharType="separate"/>
            </w:r>
            <w:r w:rsidR="008E2716">
              <w:rPr>
                <w:noProof/>
                <w:webHidden/>
              </w:rPr>
              <w:t>14</w:t>
            </w:r>
            <w:r w:rsidR="008E2716">
              <w:rPr>
                <w:noProof/>
                <w:webHidden/>
              </w:rPr>
              <w:fldChar w:fldCharType="end"/>
            </w:r>
          </w:hyperlink>
        </w:p>
        <w:p w14:paraId="5359FDA5" w14:textId="42741212" w:rsidR="008E2716" w:rsidRDefault="00A40CD8">
          <w:pPr>
            <w:pStyle w:val="TOC1"/>
            <w:rPr>
              <w:rFonts w:asciiTheme="minorHAnsi" w:eastAsiaTheme="minorEastAsia" w:hAnsiTheme="minorHAnsi"/>
              <w:noProof/>
              <w:sz w:val="22"/>
              <w:lang w:val="en-US" w:eastAsia="zh-TW"/>
            </w:rPr>
          </w:pPr>
          <w:hyperlink w:anchor="_Toc118885957" w:history="1">
            <w:r w:rsidR="008E2716" w:rsidRPr="003A14C8">
              <w:rPr>
                <w:rStyle w:val="Hyperlink"/>
                <w:noProof/>
              </w:rPr>
              <w:t>REQUISITOS DE LA ETIQUETA DEL EMBALAJE DE LA BATERÍA DE ION DE LITIO Y METAL DE LITIO</w:t>
            </w:r>
            <w:r w:rsidR="008E2716">
              <w:rPr>
                <w:noProof/>
                <w:webHidden/>
              </w:rPr>
              <w:tab/>
            </w:r>
            <w:r w:rsidR="008E2716">
              <w:rPr>
                <w:noProof/>
                <w:webHidden/>
              </w:rPr>
              <w:fldChar w:fldCharType="begin"/>
            </w:r>
            <w:r w:rsidR="008E2716">
              <w:rPr>
                <w:noProof/>
                <w:webHidden/>
              </w:rPr>
              <w:instrText xml:space="preserve"> PAGEREF _Toc118885957 \h </w:instrText>
            </w:r>
            <w:r w:rsidR="008E2716">
              <w:rPr>
                <w:noProof/>
                <w:webHidden/>
              </w:rPr>
            </w:r>
            <w:r w:rsidR="008E2716">
              <w:rPr>
                <w:noProof/>
                <w:webHidden/>
              </w:rPr>
              <w:fldChar w:fldCharType="separate"/>
            </w:r>
            <w:r w:rsidR="008E2716">
              <w:rPr>
                <w:noProof/>
                <w:webHidden/>
              </w:rPr>
              <w:t>14</w:t>
            </w:r>
            <w:r w:rsidR="008E2716">
              <w:rPr>
                <w:noProof/>
                <w:webHidden/>
              </w:rPr>
              <w:fldChar w:fldCharType="end"/>
            </w:r>
          </w:hyperlink>
        </w:p>
        <w:p w14:paraId="3E6486BF" w14:textId="2C281472" w:rsidR="008E2716" w:rsidRDefault="00A40CD8">
          <w:pPr>
            <w:pStyle w:val="TOC3"/>
            <w:rPr>
              <w:rFonts w:asciiTheme="minorHAnsi" w:eastAsiaTheme="minorEastAsia" w:hAnsiTheme="minorHAnsi"/>
              <w:noProof/>
              <w:sz w:val="22"/>
              <w:lang w:val="en-US" w:eastAsia="zh-TW"/>
            </w:rPr>
          </w:pPr>
          <w:hyperlink w:anchor="_Toc118885958" w:history="1">
            <w:r w:rsidR="008E2716" w:rsidRPr="003A14C8">
              <w:rPr>
                <w:rStyle w:val="Hyperlink"/>
                <w:noProof/>
              </w:rPr>
              <w:t>Baterías de ion de litio y metal de litio</w:t>
            </w:r>
            <w:r w:rsidR="008E2716">
              <w:rPr>
                <w:noProof/>
                <w:webHidden/>
              </w:rPr>
              <w:tab/>
            </w:r>
            <w:r w:rsidR="008E2716">
              <w:rPr>
                <w:noProof/>
                <w:webHidden/>
              </w:rPr>
              <w:fldChar w:fldCharType="begin"/>
            </w:r>
            <w:r w:rsidR="008E2716">
              <w:rPr>
                <w:noProof/>
                <w:webHidden/>
              </w:rPr>
              <w:instrText xml:space="preserve"> PAGEREF _Toc118885958 \h </w:instrText>
            </w:r>
            <w:r w:rsidR="008E2716">
              <w:rPr>
                <w:noProof/>
                <w:webHidden/>
              </w:rPr>
            </w:r>
            <w:r w:rsidR="008E2716">
              <w:rPr>
                <w:noProof/>
                <w:webHidden/>
              </w:rPr>
              <w:fldChar w:fldCharType="separate"/>
            </w:r>
            <w:r w:rsidR="008E2716">
              <w:rPr>
                <w:noProof/>
                <w:webHidden/>
              </w:rPr>
              <w:t>14</w:t>
            </w:r>
            <w:r w:rsidR="008E2716">
              <w:rPr>
                <w:noProof/>
                <w:webHidden/>
              </w:rPr>
              <w:fldChar w:fldCharType="end"/>
            </w:r>
          </w:hyperlink>
        </w:p>
        <w:p w14:paraId="31922521" w14:textId="0CC5DF2D" w:rsidR="008E2716" w:rsidRDefault="00A40CD8">
          <w:pPr>
            <w:pStyle w:val="TOC3"/>
            <w:rPr>
              <w:rFonts w:asciiTheme="minorHAnsi" w:eastAsiaTheme="minorEastAsia" w:hAnsiTheme="minorHAnsi"/>
              <w:noProof/>
              <w:sz w:val="22"/>
              <w:lang w:val="en-US" w:eastAsia="zh-TW"/>
            </w:rPr>
          </w:pPr>
          <w:hyperlink w:anchor="_Toc118885959" w:history="1">
            <w:r w:rsidR="008E2716" w:rsidRPr="003A14C8">
              <w:rPr>
                <w:rStyle w:val="Hyperlink"/>
                <w:noProof/>
              </w:rPr>
              <w:t>Requisitos del etiquetado de las baterías de ion de litio y de metal de litio</w:t>
            </w:r>
            <w:r w:rsidR="008E2716">
              <w:rPr>
                <w:noProof/>
                <w:webHidden/>
              </w:rPr>
              <w:tab/>
            </w:r>
            <w:r w:rsidR="008E2716">
              <w:rPr>
                <w:noProof/>
                <w:webHidden/>
              </w:rPr>
              <w:fldChar w:fldCharType="begin"/>
            </w:r>
            <w:r w:rsidR="008E2716">
              <w:rPr>
                <w:noProof/>
                <w:webHidden/>
              </w:rPr>
              <w:instrText xml:space="preserve"> PAGEREF _Toc118885959 \h </w:instrText>
            </w:r>
            <w:r w:rsidR="008E2716">
              <w:rPr>
                <w:noProof/>
                <w:webHidden/>
              </w:rPr>
            </w:r>
            <w:r w:rsidR="008E2716">
              <w:rPr>
                <w:noProof/>
                <w:webHidden/>
              </w:rPr>
              <w:fldChar w:fldCharType="separate"/>
            </w:r>
            <w:r w:rsidR="008E2716">
              <w:rPr>
                <w:noProof/>
                <w:webHidden/>
              </w:rPr>
              <w:t>14</w:t>
            </w:r>
            <w:r w:rsidR="008E2716">
              <w:rPr>
                <w:noProof/>
                <w:webHidden/>
              </w:rPr>
              <w:fldChar w:fldCharType="end"/>
            </w:r>
          </w:hyperlink>
        </w:p>
        <w:p w14:paraId="4EA7315D" w14:textId="29851ECC" w:rsidR="008E2716" w:rsidRDefault="00A40CD8">
          <w:pPr>
            <w:pStyle w:val="TOC3"/>
            <w:rPr>
              <w:rFonts w:asciiTheme="minorHAnsi" w:eastAsiaTheme="minorEastAsia" w:hAnsiTheme="minorHAnsi"/>
              <w:noProof/>
              <w:sz w:val="22"/>
              <w:lang w:val="en-US" w:eastAsia="zh-TW"/>
            </w:rPr>
          </w:pPr>
          <w:hyperlink w:anchor="_Toc118885960" w:history="1">
            <w:r w:rsidR="008E2716" w:rsidRPr="003A14C8">
              <w:rPr>
                <w:rStyle w:val="Hyperlink"/>
                <w:noProof/>
              </w:rPr>
              <w:t>Exenciones de etiquetado</w:t>
            </w:r>
            <w:r w:rsidR="008E2716">
              <w:rPr>
                <w:noProof/>
                <w:webHidden/>
              </w:rPr>
              <w:tab/>
            </w:r>
            <w:r w:rsidR="008E2716">
              <w:rPr>
                <w:noProof/>
                <w:webHidden/>
              </w:rPr>
              <w:fldChar w:fldCharType="begin"/>
            </w:r>
            <w:r w:rsidR="008E2716">
              <w:rPr>
                <w:noProof/>
                <w:webHidden/>
              </w:rPr>
              <w:instrText xml:space="preserve"> PAGEREF _Toc118885960 \h </w:instrText>
            </w:r>
            <w:r w:rsidR="008E2716">
              <w:rPr>
                <w:noProof/>
                <w:webHidden/>
              </w:rPr>
            </w:r>
            <w:r w:rsidR="008E2716">
              <w:rPr>
                <w:noProof/>
                <w:webHidden/>
              </w:rPr>
              <w:fldChar w:fldCharType="separate"/>
            </w:r>
            <w:r w:rsidR="008E2716">
              <w:rPr>
                <w:noProof/>
                <w:webHidden/>
              </w:rPr>
              <w:t>16</w:t>
            </w:r>
            <w:r w:rsidR="008E2716">
              <w:rPr>
                <w:noProof/>
                <w:webHidden/>
              </w:rPr>
              <w:fldChar w:fldCharType="end"/>
            </w:r>
          </w:hyperlink>
        </w:p>
        <w:p w14:paraId="7F1D9679" w14:textId="3F6EA9BB" w:rsidR="008E2716" w:rsidRDefault="00A40CD8">
          <w:pPr>
            <w:pStyle w:val="TOC3"/>
            <w:rPr>
              <w:rFonts w:asciiTheme="minorHAnsi" w:eastAsiaTheme="minorEastAsia" w:hAnsiTheme="minorHAnsi"/>
              <w:noProof/>
              <w:sz w:val="22"/>
              <w:lang w:val="en-US" w:eastAsia="zh-TW"/>
            </w:rPr>
          </w:pPr>
          <w:hyperlink w:anchor="_Toc118885961" w:history="1">
            <w:r w:rsidR="008E2716" w:rsidRPr="003A14C8">
              <w:rPr>
                <w:rStyle w:val="Hyperlink"/>
                <w:noProof/>
              </w:rPr>
              <w:t>Advertencia sobre productos desechables</w:t>
            </w:r>
            <w:r w:rsidR="008E2716">
              <w:rPr>
                <w:noProof/>
                <w:webHidden/>
              </w:rPr>
              <w:tab/>
            </w:r>
            <w:r w:rsidR="008E2716">
              <w:rPr>
                <w:noProof/>
                <w:webHidden/>
              </w:rPr>
              <w:fldChar w:fldCharType="begin"/>
            </w:r>
            <w:r w:rsidR="008E2716">
              <w:rPr>
                <w:noProof/>
                <w:webHidden/>
              </w:rPr>
              <w:instrText xml:space="preserve"> PAGEREF _Toc118885961 \h </w:instrText>
            </w:r>
            <w:r w:rsidR="008E2716">
              <w:rPr>
                <w:noProof/>
                <w:webHidden/>
              </w:rPr>
            </w:r>
            <w:r w:rsidR="008E2716">
              <w:rPr>
                <w:noProof/>
                <w:webHidden/>
              </w:rPr>
              <w:fldChar w:fldCharType="separate"/>
            </w:r>
            <w:r w:rsidR="008E2716">
              <w:rPr>
                <w:noProof/>
                <w:webHidden/>
              </w:rPr>
              <w:t>16</w:t>
            </w:r>
            <w:r w:rsidR="008E2716">
              <w:rPr>
                <w:noProof/>
                <w:webHidden/>
              </w:rPr>
              <w:fldChar w:fldCharType="end"/>
            </w:r>
          </w:hyperlink>
        </w:p>
        <w:p w14:paraId="2D228A0F" w14:textId="0546E4BE" w:rsidR="008E2716" w:rsidRDefault="00A40CD8">
          <w:pPr>
            <w:pStyle w:val="TOC1"/>
            <w:rPr>
              <w:rFonts w:asciiTheme="minorHAnsi" w:eastAsiaTheme="minorEastAsia" w:hAnsiTheme="minorHAnsi"/>
              <w:noProof/>
              <w:sz w:val="22"/>
              <w:lang w:val="en-US" w:eastAsia="zh-TW"/>
            </w:rPr>
          </w:pPr>
          <w:hyperlink w:anchor="_Toc118885962" w:history="1">
            <w:r w:rsidR="008E2716" w:rsidRPr="003A14C8">
              <w:rPr>
                <w:rStyle w:val="Hyperlink"/>
                <w:noProof/>
              </w:rPr>
              <w:t>Información sobre EMC, seguridad para los adaptadores de alimentación y dispositivos Powerline</w:t>
            </w:r>
            <w:r w:rsidR="008E2716">
              <w:rPr>
                <w:noProof/>
                <w:webHidden/>
              </w:rPr>
              <w:tab/>
            </w:r>
            <w:r w:rsidR="008E2716">
              <w:rPr>
                <w:noProof/>
                <w:webHidden/>
              </w:rPr>
              <w:fldChar w:fldCharType="begin"/>
            </w:r>
            <w:r w:rsidR="008E2716">
              <w:rPr>
                <w:noProof/>
                <w:webHidden/>
              </w:rPr>
              <w:instrText xml:space="preserve"> PAGEREF _Toc118885962 \h </w:instrText>
            </w:r>
            <w:r w:rsidR="008E2716">
              <w:rPr>
                <w:noProof/>
                <w:webHidden/>
              </w:rPr>
            </w:r>
            <w:r w:rsidR="008E2716">
              <w:rPr>
                <w:noProof/>
                <w:webHidden/>
              </w:rPr>
              <w:fldChar w:fldCharType="separate"/>
            </w:r>
            <w:r w:rsidR="008E2716">
              <w:rPr>
                <w:noProof/>
                <w:webHidden/>
              </w:rPr>
              <w:t>16</w:t>
            </w:r>
            <w:r w:rsidR="008E2716">
              <w:rPr>
                <w:noProof/>
                <w:webHidden/>
              </w:rPr>
              <w:fldChar w:fldCharType="end"/>
            </w:r>
          </w:hyperlink>
        </w:p>
        <w:p w14:paraId="21171CB8" w14:textId="58229CE6" w:rsidR="008E2716" w:rsidRDefault="00A40CD8">
          <w:pPr>
            <w:pStyle w:val="TOC2"/>
            <w:tabs>
              <w:tab w:val="right" w:leader="dot" w:pos="9350"/>
            </w:tabs>
            <w:rPr>
              <w:rFonts w:asciiTheme="minorHAnsi" w:eastAsiaTheme="minorEastAsia" w:hAnsiTheme="minorHAnsi"/>
              <w:noProof/>
              <w:sz w:val="22"/>
              <w:lang w:val="en-US" w:eastAsia="zh-TW"/>
            </w:rPr>
          </w:pPr>
          <w:hyperlink w:anchor="_Toc118885963" w:history="1">
            <w:r w:rsidR="008E2716" w:rsidRPr="003A14C8">
              <w:rPr>
                <w:rStyle w:val="Hyperlink"/>
                <w:noProof/>
              </w:rPr>
              <w:t>Notas de orientación general</w:t>
            </w:r>
            <w:r w:rsidR="008E2716">
              <w:rPr>
                <w:noProof/>
                <w:webHidden/>
              </w:rPr>
              <w:tab/>
            </w:r>
            <w:r w:rsidR="008E2716">
              <w:rPr>
                <w:noProof/>
                <w:webHidden/>
              </w:rPr>
              <w:fldChar w:fldCharType="begin"/>
            </w:r>
            <w:r w:rsidR="008E2716">
              <w:rPr>
                <w:noProof/>
                <w:webHidden/>
              </w:rPr>
              <w:instrText xml:space="preserve"> PAGEREF _Toc118885963 \h </w:instrText>
            </w:r>
            <w:r w:rsidR="008E2716">
              <w:rPr>
                <w:noProof/>
                <w:webHidden/>
              </w:rPr>
            </w:r>
            <w:r w:rsidR="008E2716">
              <w:rPr>
                <w:noProof/>
                <w:webHidden/>
              </w:rPr>
              <w:fldChar w:fldCharType="separate"/>
            </w:r>
            <w:r w:rsidR="008E2716">
              <w:rPr>
                <w:noProof/>
                <w:webHidden/>
              </w:rPr>
              <w:t>17</w:t>
            </w:r>
            <w:r w:rsidR="008E2716">
              <w:rPr>
                <w:noProof/>
                <w:webHidden/>
              </w:rPr>
              <w:fldChar w:fldCharType="end"/>
            </w:r>
          </w:hyperlink>
        </w:p>
        <w:p w14:paraId="0EB58C53" w14:textId="118ABCF7" w:rsidR="008E2716" w:rsidRDefault="00A40CD8">
          <w:pPr>
            <w:pStyle w:val="TOC1"/>
            <w:rPr>
              <w:rFonts w:asciiTheme="minorHAnsi" w:eastAsiaTheme="minorEastAsia" w:hAnsiTheme="minorHAnsi"/>
              <w:noProof/>
              <w:sz w:val="22"/>
              <w:lang w:val="en-US" w:eastAsia="zh-TW"/>
            </w:rPr>
          </w:pPr>
          <w:hyperlink w:anchor="_Toc118885964" w:history="1">
            <w:r w:rsidR="008E2716" w:rsidRPr="003A14C8">
              <w:rPr>
                <w:rStyle w:val="Hyperlink"/>
                <w:noProof/>
              </w:rPr>
              <w:t>Cumplimiento de la proposición 65 de California (Prop 65)</w:t>
            </w:r>
            <w:r w:rsidR="008E2716">
              <w:rPr>
                <w:noProof/>
                <w:webHidden/>
              </w:rPr>
              <w:tab/>
            </w:r>
            <w:r w:rsidR="008E2716">
              <w:rPr>
                <w:noProof/>
                <w:webHidden/>
              </w:rPr>
              <w:fldChar w:fldCharType="begin"/>
            </w:r>
            <w:r w:rsidR="008E2716">
              <w:rPr>
                <w:noProof/>
                <w:webHidden/>
              </w:rPr>
              <w:instrText xml:space="preserve"> PAGEREF _Toc118885964 \h </w:instrText>
            </w:r>
            <w:r w:rsidR="008E2716">
              <w:rPr>
                <w:noProof/>
                <w:webHidden/>
              </w:rPr>
            </w:r>
            <w:r w:rsidR="008E2716">
              <w:rPr>
                <w:noProof/>
                <w:webHidden/>
              </w:rPr>
              <w:fldChar w:fldCharType="separate"/>
            </w:r>
            <w:r w:rsidR="008E2716">
              <w:rPr>
                <w:noProof/>
                <w:webHidden/>
              </w:rPr>
              <w:t>18</w:t>
            </w:r>
            <w:r w:rsidR="008E2716">
              <w:rPr>
                <w:noProof/>
                <w:webHidden/>
              </w:rPr>
              <w:fldChar w:fldCharType="end"/>
            </w:r>
          </w:hyperlink>
        </w:p>
        <w:p w14:paraId="65D4F895" w14:textId="37046D93" w:rsidR="008E2716" w:rsidRDefault="00A40CD8">
          <w:pPr>
            <w:pStyle w:val="TOC1"/>
            <w:rPr>
              <w:rFonts w:asciiTheme="minorHAnsi" w:eastAsiaTheme="minorEastAsia" w:hAnsiTheme="minorHAnsi"/>
              <w:noProof/>
              <w:sz w:val="22"/>
              <w:lang w:val="en-US" w:eastAsia="zh-TW"/>
            </w:rPr>
          </w:pPr>
          <w:hyperlink w:anchor="_Toc118885965" w:history="1">
            <w:r w:rsidR="008E2716" w:rsidRPr="003A14C8">
              <w:rPr>
                <w:rStyle w:val="Hyperlink"/>
                <w:noProof/>
              </w:rPr>
              <w:t>Instrucciones de seguridad para el montaje en bastidor</w:t>
            </w:r>
            <w:r w:rsidR="008E2716">
              <w:rPr>
                <w:noProof/>
                <w:webHidden/>
              </w:rPr>
              <w:tab/>
            </w:r>
            <w:r w:rsidR="008E2716">
              <w:rPr>
                <w:noProof/>
                <w:webHidden/>
              </w:rPr>
              <w:fldChar w:fldCharType="begin"/>
            </w:r>
            <w:r w:rsidR="008E2716">
              <w:rPr>
                <w:noProof/>
                <w:webHidden/>
              </w:rPr>
              <w:instrText xml:space="preserve"> PAGEREF _Toc118885965 \h </w:instrText>
            </w:r>
            <w:r w:rsidR="008E2716">
              <w:rPr>
                <w:noProof/>
                <w:webHidden/>
              </w:rPr>
            </w:r>
            <w:r w:rsidR="008E2716">
              <w:rPr>
                <w:noProof/>
                <w:webHidden/>
              </w:rPr>
              <w:fldChar w:fldCharType="separate"/>
            </w:r>
            <w:r w:rsidR="008E2716">
              <w:rPr>
                <w:noProof/>
                <w:webHidden/>
              </w:rPr>
              <w:t>18</w:t>
            </w:r>
            <w:r w:rsidR="008E2716">
              <w:rPr>
                <w:noProof/>
                <w:webHidden/>
              </w:rPr>
              <w:fldChar w:fldCharType="end"/>
            </w:r>
          </w:hyperlink>
        </w:p>
        <w:p w14:paraId="7020F41B" w14:textId="36516151" w:rsidR="002C7415" w:rsidRPr="006F2801" w:rsidRDefault="00B45971">
          <w:pPr>
            <w:rPr>
              <w:b/>
            </w:rPr>
          </w:pPr>
          <w:r>
            <w:rPr>
              <w:b/>
            </w:rPr>
            <w:fldChar w:fldCharType="end"/>
          </w:r>
        </w:p>
      </w:sdtContent>
    </w:sdt>
    <w:p w14:paraId="64B77610" w14:textId="413F0795" w:rsidR="002C7415" w:rsidRDefault="002C7415" w:rsidP="002C7415">
      <w:pPr>
        <w:pStyle w:val="Heading1"/>
      </w:pPr>
      <w:bookmarkStart w:id="0" w:name="_Toc118885918"/>
      <w:r>
        <w:t>Información y notificaciones de seguridad</w:t>
      </w:r>
      <w:bookmarkEnd w:id="0"/>
    </w:p>
    <w:p w14:paraId="2A12AAA9" w14:textId="6E458C41" w:rsidR="00434FDD" w:rsidRDefault="00434FDD" w:rsidP="007000CC">
      <w:pPr>
        <w:spacing w:after="0"/>
      </w:pPr>
      <w:r>
        <w:t xml:space="preserve">Siga las advertencias, precauciones y notas del documento de información reglamentaria y de seguridad del dispositivo correspondiente en la sección de cumplimiento de la seguridad de </w:t>
      </w:r>
      <w:hyperlink r:id="rId12" w:history="1">
        <w:r>
          <w:rPr>
            <w:rStyle w:val="Hyperlink"/>
          </w:rPr>
          <w:t>www.netgear.com/about/regulatory/</w:t>
        </w:r>
      </w:hyperlink>
    </w:p>
    <w:p w14:paraId="51FE6BC8" w14:textId="77777777" w:rsidR="00BF4BEC" w:rsidRPr="00434FDD" w:rsidRDefault="00BF4BEC" w:rsidP="007000CC">
      <w:pPr>
        <w:spacing w:after="0" w:line="240" w:lineRule="auto"/>
      </w:pPr>
    </w:p>
    <w:p w14:paraId="6D39395F" w14:textId="77777777" w:rsidR="002C7415" w:rsidRPr="003C0805" w:rsidRDefault="002C7415" w:rsidP="000C20D9">
      <w:pPr>
        <w:pStyle w:val="Heading3"/>
      </w:pPr>
      <w:bookmarkStart w:id="1" w:name="_Toc118885919"/>
      <w:r>
        <w:t>Seguridad de uso y manipulación de baterías</w:t>
      </w:r>
      <w:bookmarkEnd w:id="1"/>
    </w:p>
    <w:p w14:paraId="589F7F44" w14:textId="2FDEC1DB" w:rsidR="00BF4BEC" w:rsidRDefault="00BF4BEC" w:rsidP="00BF4BEC">
      <w:r>
        <w:t xml:space="preserve">Siga las advertencias, precauciones y notas del documento Aviso de seguridad de la batería en la sección de cumplimiento de la seguridad de </w:t>
      </w:r>
      <w:hyperlink r:id="rId13" w:history="1">
        <w:r>
          <w:rPr>
            <w:rStyle w:val="Hyperlink"/>
          </w:rPr>
          <w:t>www.netgear.com/about/regulatory/</w:t>
        </w:r>
      </w:hyperlink>
    </w:p>
    <w:p w14:paraId="551258F7" w14:textId="77777777" w:rsidR="002C7415" w:rsidRPr="00E109AA" w:rsidRDefault="002C7415" w:rsidP="002C7415">
      <w:pPr>
        <w:numPr>
          <w:ilvl w:val="0"/>
          <w:numId w:val="42"/>
        </w:numPr>
        <w:autoSpaceDE w:val="0"/>
        <w:autoSpaceDN w:val="0"/>
        <w:adjustRightInd w:val="0"/>
        <w:spacing w:after="0" w:line="240" w:lineRule="auto"/>
      </w:pPr>
      <w:r>
        <w:t>Si el adaptador de alimentación ha entrado en contacto con agua, otros líquidos o se ha expuesto a una humedad excesiva, llévelo a un centro de servicio autorizado para su inspección.</w:t>
      </w:r>
    </w:p>
    <w:p w14:paraId="3BEBD7BE" w14:textId="77777777" w:rsidR="002C7415" w:rsidRPr="00E109AA" w:rsidRDefault="002C7415" w:rsidP="002C7415">
      <w:pPr>
        <w:numPr>
          <w:ilvl w:val="0"/>
          <w:numId w:val="42"/>
        </w:numPr>
        <w:autoSpaceDE w:val="0"/>
        <w:autoSpaceDN w:val="0"/>
        <w:adjustRightInd w:val="0"/>
        <w:spacing w:after="0" w:line="240" w:lineRule="auto"/>
      </w:pPr>
    </w:p>
    <w:p w14:paraId="619547FB" w14:textId="77777777" w:rsidR="002C7415" w:rsidRPr="00E109AA" w:rsidRDefault="002C7415" w:rsidP="002C7415">
      <w:pPr>
        <w:numPr>
          <w:ilvl w:val="0"/>
          <w:numId w:val="44"/>
        </w:numPr>
        <w:autoSpaceDE w:val="0"/>
        <w:autoSpaceDN w:val="0"/>
        <w:adjustRightInd w:val="0"/>
        <w:spacing w:after="22" w:line="240" w:lineRule="auto"/>
      </w:pPr>
      <w:r>
        <w:t>El equipo solo debe conectarse a una toma de corriente que esté cerca del equipo y debe poder accederse a ella con facilidad.</w:t>
      </w:r>
    </w:p>
    <w:p w14:paraId="404D4A89" w14:textId="77777777" w:rsidR="002C7415" w:rsidRDefault="002C7415" w:rsidP="002C7415">
      <w:pPr>
        <w:autoSpaceDE w:val="0"/>
        <w:autoSpaceDN w:val="0"/>
        <w:adjustRightInd w:val="0"/>
        <w:spacing w:after="0" w:line="240" w:lineRule="auto"/>
        <w:rPr>
          <w:rFonts w:ascii="Foundry Sterling Book" w:hAnsi="Foundry Sterling Book" w:cs="Foundry Sterling Book"/>
          <w:color w:val="000000"/>
          <w:sz w:val="14"/>
          <w:szCs w:val="14"/>
        </w:rPr>
      </w:pPr>
    </w:p>
    <w:p w14:paraId="5DB786B3" w14:textId="744FA7BC" w:rsidR="002C7415" w:rsidRDefault="002C7415" w:rsidP="000C20D9">
      <w:pPr>
        <w:pStyle w:val="Heading2"/>
      </w:pPr>
      <w:bookmarkStart w:id="2" w:name="_Toc118885920"/>
      <w:r>
        <w:t>Ubicación del marcado</w:t>
      </w:r>
      <w:bookmarkEnd w:id="2"/>
    </w:p>
    <w:p w14:paraId="6B274B8B" w14:textId="44E4FD46" w:rsidR="002C7415" w:rsidRPr="00455E2C" w:rsidRDefault="002C7415" w:rsidP="00BB37EA">
      <w:bookmarkStart w:id="3" w:name="_Hlk41642397"/>
      <w:r>
        <w:t xml:space="preserve">La información de marcado de los productos </w:t>
      </w:r>
      <w:proofErr w:type="spellStart"/>
      <w:r>
        <w:t>Netgear</w:t>
      </w:r>
      <w:proofErr w:type="spellEnd"/>
      <w:r>
        <w:t xml:space="preserve">, incluidos todos los conmutadores </w:t>
      </w:r>
      <w:proofErr w:type="spellStart"/>
      <w:r>
        <w:t>Netgear</w:t>
      </w:r>
      <w:proofErr w:type="spellEnd"/>
      <w:r>
        <w:t xml:space="preserve"> y los productos </w:t>
      </w:r>
      <w:proofErr w:type="spellStart"/>
      <w:r>
        <w:t>ReadyNAS</w:t>
      </w:r>
      <w:proofErr w:type="spellEnd"/>
      <w:r>
        <w:t xml:space="preserve"> de montaje en bastidor y casi todos los </w:t>
      </w:r>
      <w:proofErr w:type="spellStart"/>
      <w:r>
        <w:t>routers</w:t>
      </w:r>
      <w:proofErr w:type="spellEnd"/>
      <w:r>
        <w:t xml:space="preserve"> inalámbricos y satélites, se encuentra en la parte inferior del aparato</w:t>
      </w:r>
      <w:bookmarkEnd w:id="3"/>
      <w:r>
        <w:t xml:space="preserve">. </w:t>
      </w:r>
    </w:p>
    <w:p w14:paraId="6874B7CE" w14:textId="77777777" w:rsidR="002C7415" w:rsidRPr="000C20D9" w:rsidRDefault="002C7415" w:rsidP="000C20D9">
      <w:pPr>
        <w:pStyle w:val="Heading2"/>
      </w:pPr>
      <w:bookmarkStart w:id="4" w:name="_Toc118885921"/>
      <w:r>
        <w:t>Uso en lugares en los que puede haber niños</w:t>
      </w:r>
      <w:bookmarkEnd w:id="4"/>
    </w:p>
    <w:p w14:paraId="60BC4DF9" w14:textId="38E4DE0D" w:rsidR="002C7415" w:rsidRDefault="002C7415" w:rsidP="002C7415">
      <w:r>
        <w:t>Debido a los cambios en las normas de seguridad, los siguientes productos no han sido evaluados para su uso en lugares donde puede haber niños mediante el dedo de prueba previsto en la norma EN 62368-1.</w:t>
      </w:r>
    </w:p>
    <w:tbl>
      <w:tblPr>
        <w:tblStyle w:val="TableGrid"/>
        <w:tblW w:w="0" w:type="auto"/>
        <w:tblLook w:val="04A0" w:firstRow="1" w:lastRow="0" w:firstColumn="1" w:lastColumn="0" w:noHBand="0" w:noVBand="1"/>
      </w:tblPr>
      <w:tblGrid>
        <w:gridCol w:w="1807"/>
        <w:gridCol w:w="1751"/>
        <w:gridCol w:w="2087"/>
        <w:gridCol w:w="1977"/>
        <w:gridCol w:w="1728"/>
      </w:tblGrid>
      <w:tr w:rsidR="007A37BA" w14:paraId="7E8ADA2B" w14:textId="77777777" w:rsidTr="007A37BA">
        <w:tc>
          <w:tcPr>
            <w:tcW w:w="1807" w:type="dxa"/>
          </w:tcPr>
          <w:p w14:paraId="33083821" w14:textId="64F24229" w:rsidR="007E040C" w:rsidRDefault="007E040C" w:rsidP="007E040C">
            <w:r>
              <w:t>GC510PP</w:t>
            </w:r>
          </w:p>
        </w:tc>
        <w:tc>
          <w:tcPr>
            <w:tcW w:w="1751" w:type="dxa"/>
          </w:tcPr>
          <w:p w14:paraId="5D5E0854" w14:textId="2517F6E4" w:rsidR="007E040C" w:rsidRDefault="007E040C" w:rsidP="007E040C">
            <w:r>
              <w:t>GS348/T</w:t>
            </w:r>
          </w:p>
        </w:tc>
        <w:tc>
          <w:tcPr>
            <w:tcW w:w="2087" w:type="dxa"/>
          </w:tcPr>
          <w:p w14:paraId="7B725D26" w14:textId="117D8E71" w:rsidR="007E040C" w:rsidRDefault="00F52ECD" w:rsidP="007E040C">
            <w:r>
              <w:t>GS710TUP</w:t>
            </w:r>
          </w:p>
        </w:tc>
        <w:tc>
          <w:tcPr>
            <w:tcW w:w="1977" w:type="dxa"/>
          </w:tcPr>
          <w:p w14:paraId="6D6C6473" w14:textId="1D77DFF1" w:rsidR="007E040C" w:rsidRDefault="0006445B" w:rsidP="007E040C">
            <w:r>
              <w:t>GS748T</w:t>
            </w:r>
          </w:p>
        </w:tc>
        <w:tc>
          <w:tcPr>
            <w:tcW w:w="1728" w:type="dxa"/>
          </w:tcPr>
          <w:p w14:paraId="72569479" w14:textId="6D45F0F9" w:rsidR="007E040C" w:rsidRDefault="0006445B" w:rsidP="007E040C">
            <w:r>
              <w:t>GSM4328PB/S</w:t>
            </w:r>
          </w:p>
        </w:tc>
      </w:tr>
      <w:tr w:rsidR="007A37BA" w14:paraId="03C0D3D1" w14:textId="77777777" w:rsidTr="007A37BA">
        <w:tc>
          <w:tcPr>
            <w:tcW w:w="1807" w:type="dxa"/>
          </w:tcPr>
          <w:p w14:paraId="2FE09956" w14:textId="3CE10FF6" w:rsidR="007E040C" w:rsidRDefault="007E040C" w:rsidP="007E040C">
            <w:r>
              <w:lastRenderedPageBreak/>
              <w:t>GC728X/XP</w:t>
            </w:r>
          </w:p>
        </w:tc>
        <w:tc>
          <w:tcPr>
            <w:tcW w:w="1751" w:type="dxa"/>
          </w:tcPr>
          <w:p w14:paraId="56673981" w14:textId="74C2F37B" w:rsidR="007E040C" w:rsidRDefault="007E040C" w:rsidP="007E040C">
            <w:r>
              <w:t>GS408EPP</w:t>
            </w:r>
          </w:p>
        </w:tc>
        <w:tc>
          <w:tcPr>
            <w:tcW w:w="2087" w:type="dxa"/>
          </w:tcPr>
          <w:p w14:paraId="5115EBB8" w14:textId="5C806CF3" w:rsidR="007E040C" w:rsidRDefault="0006445B" w:rsidP="007E040C">
            <w:r>
              <w:t>GS716T/TP/TPP</w:t>
            </w:r>
          </w:p>
        </w:tc>
        <w:tc>
          <w:tcPr>
            <w:tcW w:w="1977" w:type="dxa"/>
          </w:tcPr>
          <w:p w14:paraId="5100D439" w14:textId="6D99A8C5" w:rsidR="007E040C" w:rsidRDefault="0006445B" w:rsidP="007E040C">
            <w:r>
              <w:t>GS750E</w:t>
            </w:r>
          </w:p>
        </w:tc>
        <w:tc>
          <w:tcPr>
            <w:tcW w:w="1728" w:type="dxa"/>
          </w:tcPr>
          <w:p w14:paraId="27DA7B81" w14:textId="216FE42B" w:rsidR="007E040C" w:rsidRDefault="0006445B" w:rsidP="007E040C">
            <w:r>
              <w:t>GSM4352PB/S</w:t>
            </w:r>
          </w:p>
        </w:tc>
      </w:tr>
      <w:tr w:rsidR="007A37BA" w14:paraId="659BDA6F" w14:textId="77777777" w:rsidTr="007A37BA">
        <w:tc>
          <w:tcPr>
            <w:tcW w:w="1807" w:type="dxa"/>
          </w:tcPr>
          <w:p w14:paraId="178AA523" w14:textId="212E2DE1" w:rsidR="007E040C" w:rsidRDefault="007E040C" w:rsidP="007E040C">
            <w:r>
              <w:t>GC752X/XP</w:t>
            </w:r>
          </w:p>
        </w:tc>
        <w:tc>
          <w:tcPr>
            <w:tcW w:w="1751" w:type="dxa"/>
          </w:tcPr>
          <w:p w14:paraId="3CEDE9A3" w14:textId="079674C3" w:rsidR="007E040C" w:rsidRDefault="007576CC" w:rsidP="007E040C">
            <w:r>
              <w:t>XSM4396S</w:t>
            </w:r>
          </w:p>
        </w:tc>
        <w:tc>
          <w:tcPr>
            <w:tcW w:w="2087" w:type="dxa"/>
          </w:tcPr>
          <w:p w14:paraId="7BD2E4E7" w14:textId="77777777" w:rsidR="0006445B" w:rsidRDefault="0006445B" w:rsidP="007E040C">
            <w:r>
              <w:t>MS510TX/TXM/</w:t>
            </w:r>
          </w:p>
          <w:p w14:paraId="0E28D55B" w14:textId="792AD8FA" w:rsidR="007E040C" w:rsidRDefault="0006445B" w:rsidP="007E040C">
            <w:r>
              <w:t>TXPP/TXUP</w:t>
            </w:r>
          </w:p>
        </w:tc>
        <w:tc>
          <w:tcPr>
            <w:tcW w:w="1977" w:type="dxa"/>
          </w:tcPr>
          <w:p w14:paraId="641D905F" w14:textId="77777777" w:rsidR="0006445B" w:rsidRDefault="0006445B" w:rsidP="007E040C">
            <w:r>
              <w:t>GS752TP/TPP/TPSE/</w:t>
            </w:r>
          </w:p>
          <w:p w14:paraId="4F8DADF1" w14:textId="27B19E95" w:rsidR="007E040C" w:rsidRDefault="0006445B" w:rsidP="007E040C">
            <w:r>
              <w:t>TSB/TX/TXP/TXS</w:t>
            </w:r>
          </w:p>
        </w:tc>
        <w:tc>
          <w:tcPr>
            <w:tcW w:w="1728" w:type="dxa"/>
          </w:tcPr>
          <w:p w14:paraId="0956E500" w14:textId="54280342" w:rsidR="007E040C" w:rsidRDefault="0006445B" w:rsidP="007E040C">
            <w:r>
              <w:t>GSM7328FS</w:t>
            </w:r>
          </w:p>
        </w:tc>
      </w:tr>
      <w:tr w:rsidR="007A37BA" w14:paraId="4037C355" w14:textId="77777777" w:rsidTr="007A37BA">
        <w:tc>
          <w:tcPr>
            <w:tcW w:w="1807" w:type="dxa"/>
          </w:tcPr>
          <w:p w14:paraId="2717BF53" w14:textId="03A2DE98" w:rsidR="007E040C" w:rsidRDefault="007E040C" w:rsidP="007E040C">
            <w:r>
              <w:t>GS324/P/PP/T/TP</w:t>
            </w:r>
          </w:p>
        </w:tc>
        <w:tc>
          <w:tcPr>
            <w:tcW w:w="1751" w:type="dxa"/>
          </w:tcPr>
          <w:p w14:paraId="55139550" w14:textId="4567F4E2" w:rsidR="007E040C" w:rsidRDefault="007E040C" w:rsidP="007E040C">
            <w:r>
              <w:t>GS510TLP/TPP</w:t>
            </w:r>
          </w:p>
        </w:tc>
        <w:tc>
          <w:tcPr>
            <w:tcW w:w="2087" w:type="dxa"/>
          </w:tcPr>
          <w:p w14:paraId="6B5406CF" w14:textId="6DF97B64" w:rsidR="007E040C" w:rsidRDefault="0006445B" w:rsidP="007E040C">
            <w:r>
              <w:t>GS728TP/TPP/TX/TXP</w:t>
            </w:r>
          </w:p>
        </w:tc>
        <w:tc>
          <w:tcPr>
            <w:tcW w:w="1977" w:type="dxa"/>
          </w:tcPr>
          <w:p w14:paraId="119630DB" w14:textId="414AFD19" w:rsidR="007E040C" w:rsidRDefault="0006445B" w:rsidP="007E040C">
            <w:r>
              <w:t>GSM4210P</w:t>
            </w:r>
          </w:p>
        </w:tc>
        <w:tc>
          <w:tcPr>
            <w:tcW w:w="1728" w:type="dxa"/>
          </w:tcPr>
          <w:p w14:paraId="49DD0C90" w14:textId="455B37D5" w:rsidR="007E040C" w:rsidRDefault="0006445B" w:rsidP="007E040C">
            <w:r>
              <w:t>JGS516/PE</w:t>
            </w:r>
          </w:p>
        </w:tc>
      </w:tr>
      <w:tr w:rsidR="007A37BA" w14:paraId="03348542" w14:textId="77777777" w:rsidTr="007A37BA">
        <w:tc>
          <w:tcPr>
            <w:tcW w:w="1807" w:type="dxa"/>
          </w:tcPr>
          <w:p w14:paraId="2EB3B932" w14:textId="55018272" w:rsidR="0006445B" w:rsidRDefault="0006445B" w:rsidP="007E040C">
            <w:r>
              <w:t>JGS524/E/PE</w:t>
            </w:r>
          </w:p>
        </w:tc>
        <w:tc>
          <w:tcPr>
            <w:tcW w:w="1751" w:type="dxa"/>
          </w:tcPr>
          <w:p w14:paraId="3FD478D9" w14:textId="3C8DB8A5" w:rsidR="0006445B" w:rsidRDefault="0006445B" w:rsidP="007E040C">
            <w:r>
              <w:t>XS505M</w:t>
            </w:r>
          </w:p>
        </w:tc>
        <w:tc>
          <w:tcPr>
            <w:tcW w:w="2087" w:type="dxa"/>
          </w:tcPr>
          <w:p w14:paraId="552CF3D3" w14:textId="267BE9BC" w:rsidR="0006445B" w:rsidRDefault="0006445B" w:rsidP="007E040C">
            <w:r>
              <w:t>GS724T/TP/TPP</w:t>
            </w:r>
          </w:p>
        </w:tc>
        <w:tc>
          <w:tcPr>
            <w:tcW w:w="1977" w:type="dxa"/>
          </w:tcPr>
          <w:p w14:paraId="3892BB12" w14:textId="0B053EDD" w:rsidR="0006445B" w:rsidRDefault="0006445B" w:rsidP="007E040C">
            <w:r>
              <w:t>XS508M</w:t>
            </w:r>
          </w:p>
        </w:tc>
        <w:tc>
          <w:tcPr>
            <w:tcW w:w="1728" w:type="dxa"/>
          </w:tcPr>
          <w:p w14:paraId="701F7E13" w14:textId="31DED455" w:rsidR="0006445B" w:rsidRDefault="0006445B" w:rsidP="007E040C">
            <w:r>
              <w:t>XS512EM</w:t>
            </w:r>
          </w:p>
        </w:tc>
      </w:tr>
      <w:tr w:rsidR="0006445B" w14:paraId="4DC127B4" w14:textId="77777777" w:rsidTr="007A37BA">
        <w:tc>
          <w:tcPr>
            <w:tcW w:w="1807" w:type="dxa"/>
          </w:tcPr>
          <w:p w14:paraId="72826637" w14:textId="3420E4A2" w:rsidR="0006445B" w:rsidRDefault="0006445B" w:rsidP="007E040C">
            <w:r>
              <w:t>XS708E/T</w:t>
            </w:r>
          </w:p>
        </w:tc>
        <w:tc>
          <w:tcPr>
            <w:tcW w:w="1751" w:type="dxa"/>
          </w:tcPr>
          <w:p w14:paraId="0F9846CB" w14:textId="0D78BC0A" w:rsidR="0006445B" w:rsidRDefault="0006445B" w:rsidP="007E040C">
            <w:r>
              <w:t>XS712T</w:t>
            </w:r>
          </w:p>
        </w:tc>
        <w:tc>
          <w:tcPr>
            <w:tcW w:w="2087" w:type="dxa"/>
          </w:tcPr>
          <w:p w14:paraId="5FE08221" w14:textId="290D3BCB" w:rsidR="0006445B" w:rsidRDefault="007A37BA" w:rsidP="007E040C">
            <w:r>
              <w:t>XS716E/T</w:t>
            </w:r>
          </w:p>
        </w:tc>
        <w:tc>
          <w:tcPr>
            <w:tcW w:w="1977" w:type="dxa"/>
          </w:tcPr>
          <w:p w14:paraId="42ED2885" w14:textId="7843FEEF" w:rsidR="0006445B" w:rsidRDefault="007A37BA" w:rsidP="007E040C">
            <w:r>
              <w:t>XS724EM</w:t>
            </w:r>
          </w:p>
        </w:tc>
        <w:tc>
          <w:tcPr>
            <w:tcW w:w="1728" w:type="dxa"/>
          </w:tcPr>
          <w:p w14:paraId="1F384BD0" w14:textId="5E3B1016" w:rsidR="0006445B" w:rsidRDefault="007A37BA" w:rsidP="007E040C">
            <w:r>
              <w:t>XS728T</w:t>
            </w:r>
          </w:p>
        </w:tc>
      </w:tr>
      <w:tr w:rsidR="007A37BA" w14:paraId="55EB22D7" w14:textId="77777777" w:rsidTr="007A37BA">
        <w:tc>
          <w:tcPr>
            <w:tcW w:w="1807" w:type="dxa"/>
          </w:tcPr>
          <w:p w14:paraId="1649BF38" w14:textId="72264AA9" w:rsidR="007A37BA" w:rsidRDefault="007A37BA" w:rsidP="007A37BA">
            <w:r>
              <w:t>XS748T</w:t>
            </w:r>
          </w:p>
        </w:tc>
        <w:tc>
          <w:tcPr>
            <w:tcW w:w="1751" w:type="dxa"/>
          </w:tcPr>
          <w:p w14:paraId="2639834A" w14:textId="32EDEF0F" w:rsidR="007A37BA" w:rsidRDefault="007A37BA" w:rsidP="007A37BA">
            <w:r>
              <w:t>GS418TPP</w:t>
            </w:r>
          </w:p>
        </w:tc>
        <w:tc>
          <w:tcPr>
            <w:tcW w:w="2087" w:type="dxa"/>
          </w:tcPr>
          <w:p w14:paraId="076E6D5A" w14:textId="2EA62C64" w:rsidR="007A37BA" w:rsidRDefault="007A37BA" w:rsidP="007A37BA">
            <w:r>
              <w:t>XSM4316PA/PB/S</w:t>
            </w:r>
          </w:p>
        </w:tc>
        <w:tc>
          <w:tcPr>
            <w:tcW w:w="1977" w:type="dxa"/>
          </w:tcPr>
          <w:p w14:paraId="3265C367" w14:textId="48F43ECA" w:rsidR="007A37BA" w:rsidRDefault="007A37BA" w:rsidP="007A37BA">
            <w:r>
              <w:t>XSM4324CS/FS/S</w:t>
            </w:r>
          </w:p>
        </w:tc>
        <w:tc>
          <w:tcPr>
            <w:tcW w:w="1728" w:type="dxa"/>
          </w:tcPr>
          <w:p w14:paraId="0506189E" w14:textId="6FAD5490" w:rsidR="007A37BA" w:rsidRDefault="007A37BA" w:rsidP="007A37BA">
            <w:r>
              <w:t>XSM4348CS/FS/S</w:t>
            </w:r>
          </w:p>
        </w:tc>
      </w:tr>
      <w:tr w:rsidR="007576CC" w14:paraId="4AA32074" w14:textId="77777777" w:rsidTr="007A37BA">
        <w:tc>
          <w:tcPr>
            <w:tcW w:w="1807" w:type="dxa"/>
          </w:tcPr>
          <w:p w14:paraId="429FA849" w14:textId="0CA44568" w:rsidR="007576CC" w:rsidRDefault="007576CC" w:rsidP="007576CC">
            <w:r>
              <w:t>XSM4556</w:t>
            </w:r>
          </w:p>
        </w:tc>
        <w:tc>
          <w:tcPr>
            <w:tcW w:w="1751" w:type="dxa"/>
          </w:tcPr>
          <w:p w14:paraId="0207CBD8" w14:textId="0352C0A9" w:rsidR="007576CC" w:rsidRDefault="007576CC" w:rsidP="007576CC">
            <w:r>
              <w:t>RNR-12B</w:t>
            </w:r>
          </w:p>
        </w:tc>
        <w:tc>
          <w:tcPr>
            <w:tcW w:w="2087" w:type="dxa"/>
          </w:tcPr>
          <w:p w14:paraId="0023D059" w14:textId="2FBD9C5D" w:rsidR="007576CC" w:rsidRDefault="007576CC" w:rsidP="007576CC">
            <w:r>
              <w:t>R9000</w:t>
            </w:r>
          </w:p>
        </w:tc>
        <w:tc>
          <w:tcPr>
            <w:tcW w:w="1977" w:type="dxa"/>
          </w:tcPr>
          <w:p w14:paraId="78FCA69F" w14:textId="425F0931" w:rsidR="007576CC" w:rsidRDefault="007576CC" w:rsidP="007576CC">
            <w:r>
              <w:t>RAX120</w:t>
            </w:r>
          </w:p>
        </w:tc>
        <w:tc>
          <w:tcPr>
            <w:tcW w:w="1728" w:type="dxa"/>
          </w:tcPr>
          <w:p w14:paraId="0F910CC2" w14:textId="721CC223" w:rsidR="007576CC" w:rsidRDefault="007576CC" w:rsidP="007576CC">
            <w:r>
              <w:t>RAX200</w:t>
            </w:r>
          </w:p>
        </w:tc>
      </w:tr>
      <w:tr w:rsidR="007576CC" w14:paraId="4C113FD2" w14:textId="77777777" w:rsidTr="007A37BA">
        <w:tc>
          <w:tcPr>
            <w:tcW w:w="1807" w:type="dxa"/>
          </w:tcPr>
          <w:p w14:paraId="4974A46C" w14:textId="0D6CC7F4" w:rsidR="007576CC" w:rsidRDefault="007576CC" w:rsidP="007576CC">
            <w:r>
              <w:t>RND-2E</w:t>
            </w:r>
          </w:p>
        </w:tc>
        <w:tc>
          <w:tcPr>
            <w:tcW w:w="1751" w:type="dxa"/>
          </w:tcPr>
          <w:p w14:paraId="1AD48DF1" w14:textId="6B18E087" w:rsidR="007576CC" w:rsidRDefault="007576CC" w:rsidP="007576CC">
            <w:r>
              <w:t>RND-4E</w:t>
            </w:r>
          </w:p>
        </w:tc>
        <w:tc>
          <w:tcPr>
            <w:tcW w:w="2087" w:type="dxa"/>
          </w:tcPr>
          <w:p w14:paraId="67560DB2" w14:textId="2557B841" w:rsidR="007576CC" w:rsidRDefault="007576CC" w:rsidP="007576CC">
            <w:r>
              <w:t>RNR-4B</w:t>
            </w:r>
          </w:p>
        </w:tc>
        <w:tc>
          <w:tcPr>
            <w:tcW w:w="1977" w:type="dxa"/>
          </w:tcPr>
          <w:p w14:paraId="6B5859E0" w14:textId="2A1A53DD" w:rsidR="007576CC" w:rsidRDefault="007576CC" w:rsidP="007576CC">
            <w:r>
              <w:t>RND-2F</w:t>
            </w:r>
          </w:p>
        </w:tc>
        <w:tc>
          <w:tcPr>
            <w:tcW w:w="1728" w:type="dxa"/>
          </w:tcPr>
          <w:p w14:paraId="377CDC03" w14:textId="64E5E4BF" w:rsidR="007576CC" w:rsidRDefault="007576CC" w:rsidP="007576CC">
            <w:r>
              <w:t>RND-4G</w:t>
            </w:r>
          </w:p>
        </w:tc>
      </w:tr>
      <w:tr w:rsidR="007576CC" w14:paraId="15D0850B" w14:textId="77777777" w:rsidTr="007A37BA">
        <w:tc>
          <w:tcPr>
            <w:tcW w:w="1807" w:type="dxa"/>
          </w:tcPr>
          <w:p w14:paraId="7CCC1C74" w14:textId="75EF78A3" w:rsidR="007576CC" w:rsidRDefault="007576CC" w:rsidP="007576CC">
            <w:r>
              <w:t>RND-6E</w:t>
            </w:r>
          </w:p>
        </w:tc>
        <w:tc>
          <w:tcPr>
            <w:tcW w:w="1751" w:type="dxa"/>
          </w:tcPr>
          <w:p w14:paraId="3D6C7E29" w14:textId="681C4FB3" w:rsidR="007576CC" w:rsidRDefault="007576CC" w:rsidP="007576CC">
            <w:r>
              <w:t>RND-6F</w:t>
            </w:r>
          </w:p>
        </w:tc>
        <w:tc>
          <w:tcPr>
            <w:tcW w:w="2087" w:type="dxa"/>
          </w:tcPr>
          <w:p w14:paraId="0630B3A7" w14:textId="3BB38DC3" w:rsidR="007576CC" w:rsidRDefault="007576CC" w:rsidP="007576CC">
            <w:r>
              <w:t>RND-8A</w:t>
            </w:r>
          </w:p>
        </w:tc>
        <w:tc>
          <w:tcPr>
            <w:tcW w:w="1977" w:type="dxa"/>
          </w:tcPr>
          <w:p w14:paraId="1568CF75" w14:textId="06B231B3" w:rsidR="007576CC" w:rsidRDefault="007576CC" w:rsidP="007576CC">
            <w:r>
              <w:t>RND-8B</w:t>
            </w:r>
          </w:p>
        </w:tc>
        <w:tc>
          <w:tcPr>
            <w:tcW w:w="1728" w:type="dxa"/>
          </w:tcPr>
          <w:p w14:paraId="70EB8169" w14:textId="28B7B69F" w:rsidR="007576CC" w:rsidRDefault="007576CC" w:rsidP="007576CC">
            <w:r>
              <w:t>RNR-4C</w:t>
            </w:r>
          </w:p>
        </w:tc>
      </w:tr>
      <w:tr w:rsidR="007576CC" w14:paraId="1CA8887D" w14:textId="77777777" w:rsidTr="007A37BA">
        <w:tc>
          <w:tcPr>
            <w:tcW w:w="1807" w:type="dxa"/>
          </w:tcPr>
          <w:p w14:paraId="7B8CC00C" w14:textId="528710C6" w:rsidR="007576CC" w:rsidRDefault="006F2801" w:rsidP="007576CC">
            <w:r>
              <w:t>RNR-60A</w:t>
            </w:r>
          </w:p>
        </w:tc>
        <w:tc>
          <w:tcPr>
            <w:tcW w:w="1751" w:type="dxa"/>
          </w:tcPr>
          <w:p w14:paraId="61B09062" w14:textId="17C097AA" w:rsidR="007576CC" w:rsidRDefault="007576CC" w:rsidP="007576CC"/>
        </w:tc>
        <w:tc>
          <w:tcPr>
            <w:tcW w:w="2087" w:type="dxa"/>
          </w:tcPr>
          <w:p w14:paraId="4D9FDB8A" w14:textId="77777777" w:rsidR="007576CC" w:rsidRDefault="007576CC" w:rsidP="007576CC"/>
        </w:tc>
        <w:tc>
          <w:tcPr>
            <w:tcW w:w="1977" w:type="dxa"/>
          </w:tcPr>
          <w:p w14:paraId="08B6121B" w14:textId="77777777" w:rsidR="007576CC" w:rsidRDefault="007576CC" w:rsidP="007576CC"/>
        </w:tc>
        <w:tc>
          <w:tcPr>
            <w:tcW w:w="1728" w:type="dxa"/>
          </w:tcPr>
          <w:p w14:paraId="4BE14889" w14:textId="77777777" w:rsidR="007576CC" w:rsidRDefault="007576CC" w:rsidP="007576CC"/>
        </w:tc>
      </w:tr>
    </w:tbl>
    <w:p w14:paraId="6A296FDD" w14:textId="77777777" w:rsidR="002C7415" w:rsidRPr="000C20D9" w:rsidRDefault="002C7415" w:rsidP="000C20D9">
      <w:pPr>
        <w:pStyle w:val="Heading2"/>
      </w:pPr>
      <w:bookmarkStart w:id="5" w:name="_Toc118885922"/>
      <w:r>
        <w:t>Avisos de acceso restringido</w:t>
      </w:r>
      <w:bookmarkEnd w:id="5"/>
    </w:p>
    <w:p w14:paraId="6A84E702" w14:textId="6CC645CB" w:rsidR="00DC500E" w:rsidRDefault="00DC500E" w:rsidP="00DC500E">
      <w:r>
        <w:t>El siguiente equipo está diseñado únicamente para su instalación en una ubicación con acceso restringido y por personal de servicio cualificado:</w:t>
      </w:r>
    </w:p>
    <w:p w14:paraId="11D327FF" w14:textId="77777777" w:rsidR="002C7415" w:rsidRDefault="002C7415" w:rsidP="002C7415">
      <w:pPr>
        <w:pStyle w:val="ListParagraph"/>
        <w:numPr>
          <w:ilvl w:val="0"/>
          <w:numId w:val="23"/>
        </w:numPr>
      </w:pPr>
      <w:r>
        <w:t>RR2312</w:t>
      </w:r>
    </w:p>
    <w:p w14:paraId="6CB219D5" w14:textId="77777777" w:rsidR="002C7415" w:rsidRDefault="002C7415" w:rsidP="002C7415">
      <w:pPr>
        <w:pStyle w:val="ListParagraph"/>
        <w:numPr>
          <w:ilvl w:val="0"/>
          <w:numId w:val="23"/>
        </w:numPr>
      </w:pPr>
      <w:r>
        <w:t>RR3312</w:t>
      </w:r>
    </w:p>
    <w:p w14:paraId="0795E310" w14:textId="77777777" w:rsidR="002C7415" w:rsidRDefault="002C7415" w:rsidP="002C7415">
      <w:pPr>
        <w:pStyle w:val="ListParagraph"/>
        <w:numPr>
          <w:ilvl w:val="0"/>
          <w:numId w:val="23"/>
        </w:numPr>
      </w:pPr>
      <w:r>
        <w:t>RR4312</w:t>
      </w:r>
    </w:p>
    <w:p w14:paraId="70265AEB" w14:textId="77777777" w:rsidR="002C7415" w:rsidRPr="000C20D9" w:rsidRDefault="002C7415" w:rsidP="000C20D9">
      <w:pPr>
        <w:pStyle w:val="Heading2"/>
      </w:pPr>
      <w:bookmarkStart w:id="6" w:name="_Toc118885923"/>
      <w:r>
        <w:t>Aviso de conexión a Internet y TV por cable coaxial (en determinados modelos)</w:t>
      </w:r>
      <w:bookmarkEnd w:id="6"/>
    </w:p>
    <w:p w14:paraId="0A7AD0C7"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La información de esta sección se aplica a los productos NETGEAR que incorporan un sintonizador de TV. </w:t>
      </w:r>
    </w:p>
    <w:p w14:paraId="24A808E2" w14:textId="77777777" w:rsidR="002C7415" w:rsidRPr="002C233A" w:rsidRDefault="002C7415" w:rsidP="002C7415">
      <w:pPr>
        <w:shd w:val="clear" w:color="auto" w:fill="FFFFFF"/>
        <w:spacing w:after="0" w:line="240" w:lineRule="auto"/>
        <w:rPr>
          <w:rFonts w:eastAsia="Times New Roman" w:cs="Arial"/>
          <w:sz w:val="23"/>
          <w:szCs w:val="23"/>
        </w:rPr>
      </w:pPr>
      <w:r>
        <w:rPr>
          <w:sz w:val="23"/>
        </w:rPr>
        <w:t xml:space="preserve">Nota para el instalador del sistema de CATV: Este recordatorio se proporciona para llamar la atención del instalador del sistema de CATV sobre la Sección 820-93 del Código Eléctrico Nacional, que proporciona </w:t>
      </w:r>
    </w:p>
    <w:p w14:paraId="39EDBADC" w14:textId="5D698E7B" w:rsidR="002C7415" w:rsidRDefault="002C7415" w:rsidP="007000CC">
      <w:pPr>
        <w:spacing w:after="0"/>
      </w:pPr>
      <w:r>
        <w:rPr>
          <w:sz w:val="23"/>
        </w:rPr>
        <w:t>directrices para una correcta puesta a tierra y, en particular, especifica que la pantalla del cable coaxial se conecte al sistema de puesta a tierra del edificio lo más cerca posible del punto de entrada del cable.</w:t>
      </w:r>
    </w:p>
    <w:p w14:paraId="23F05E7D" w14:textId="5357F363" w:rsidR="004E534D" w:rsidRPr="004E534D" w:rsidRDefault="004E534D" w:rsidP="00481C42">
      <w:pPr>
        <w:pStyle w:val="Heading1"/>
      </w:pPr>
      <w:bookmarkStart w:id="7" w:name="_Toc118885924"/>
      <w:r>
        <w:t>Información sobre cumplimiento de normativas</w:t>
      </w:r>
      <w:bookmarkEnd w:id="7"/>
    </w:p>
    <w:p w14:paraId="5765B674" w14:textId="77777777" w:rsidR="004E534D" w:rsidRPr="004E534D" w:rsidRDefault="004E534D" w:rsidP="004E534D">
      <w:pPr>
        <w:rPr>
          <w:rFonts w:cs="Arial"/>
        </w:rPr>
      </w:pPr>
      <w:r>
        <w:t>En el presente documento se detallan los requisitos del usuario para el manejo de productos NETGEAR de acuerdo con las normativas nacionales, incluido el manejo de dispositivos de radiofrecuencia y el uso de su espectro. El incumplimiento de los requisitos aplicables por parte del usuario puede dar lugar a un uso ilícito del dispositivo y las autoridades regulatorias del país correspondiente podrían iniciar acciones legales contra él.</w:t>
      </w:r>
    </w:p>
    <w:p w14:paraId="74156BB3" w14:textId="77777777" w:rsidR="004E534D" w:rsidRDefault="008D3F8E" w:rsidP="004E534D">
      <w:pPr>
        <w:rPr>
          <w:rFonts w:cs="Arial"/>
        </w:rPr>
      </w:pPr>
      <w:r>
        <w:t>El firmware de producto inalámbrico NETGEAR limita el funcionamiento únicamente a los canales permitidos en cada país o región en particular. Por lo tanto, es posible que no todas las opciones descritas en el presente documento estén disponibles en su versión del producto.</w:t>
      </w:r>
    </w:p>
    <w:p w14:paraId="74D1953B" w14:textId="77777777" w:rsidR="00AC23E2" w:rsidRDefault="00AC23E2" w:rsidP="004E534D">
      <w:pPr>
        <w:rPr>
          <w:rFonts w:cs="Arial"/>
        </w:rPr>
      </w:pPr>
      <w:r>
        <w:t>Este documento es aplicable tanto a dispositivos de clase A como de clase B:</w:t>
      </w:r>
    </w:p>
    <w:p w14:paraId="2756E528" w14:textId="77777777" w:rsidR="00AC23E2" w:rsidRPr="00AC23E2" w:rsidRDefault="00375F22" w:rsidP="00AC23E2">
      <w:pPr>
        <w:pStyle w:val="ListParagraph"/>
        <w:numPr>
          <w:ilvl w:val="0"/>
          <w:numId w:val="14"/>
        </w:numPr>
        <w:rPr>
          <w:rFonts w:cs="Arial"/>
        </w:rPr>
      </w:pPr>
      <w:r>
        <w:t>Los dispositivos de clase A están diseñados para su uso en un entorno comercial o industrial.  Estos dispositivos no están diseñados para su uso en un entorno residenciales ni para estar a disposición del público general.</w:t>
      </w:r>
    </w:p>
    <w:p w14:paraId="4BA1F896" w14:textId="77777777" w:rsidR="001E4EB5" w:rsidRPr="00BE55C8" w:rsidRDefault="00375F22" w:rsidP="009B16CB">
      <w:pPr>
        <w:pStyle w:val="ListParagraph"/>
        <w:numPr>
          <w:ilvl w:val="0"/>
          <w:numId w:val="14"/>
        </w:numPr>
        <w:rPr>
          <w:rFonts w:cstheme="majorBidi"/>
        </w:rPr>
      </w:pPr>
      <w:r>
        <w:t>Los dispositivos de clase B están diseñados para su uso en entornos residenciales, así como para aplicaciones comerciales e industriales.  Los teléfonos, los ordenadores personales y las puertas de enlace de datos residenciales son ejemplos de dispositivos de clase B.</w:t>
      </w:r>
    </w:p>
    <w:p w14:paraId="1FCA7028" w14:textId="77777777" w:rsidR="00BE55C8" w:rsidRDefault="00BE55C8" w:rsidP="00BE55C8">
      <w:pPr>
        <w:pStyle w:val="ListParagraph"/>
        <w:numPr>
          <w:ilvl w:val="0"/>
          <w:numId w:val="14"/>
        </w:numPr>
        <w:spacing w:after="0" w:line="240" w:lineRule="auto"/>
        <w:contextualSpacing w:val="0"/>
      </w:pPr>
      <w:r>
        <w:t>Solo personal cualificado debe instalar los fusibles.</w:t>
      </w:r>
    </w:p>
    <w:p w14:paraId="343D63F5" w14:textId="77777777" w:rsidR="00BE55C8" w:rsidRDefault="00BE55C8" w:rsidP="00BE55C8">
      <w:pPr>
        <w:pStyle w:val="ListParagraph"/>
        <w:numPr>
          <w:ilvl w:val="0"/>
          <w:numId w:val="14"/>
        </w:numPr>
        <w:spacing w:after="0" w:line="240" w:lineRule="auto"/>
        <w:contextualSpacing w:val="0"/>
      </w:pPr>
      <w:r>
        <w:lastRenderedPageBreak/>
        <w:t>NETGEAR recomienda el uso de cables de línea telefónica de un calibre de 0,40 milímetros cuadrados o superior.</w:t>
      </w:r>
    </w:p>
    <w:p w14:paraId="30D2F333" w14:textId="15030AD4" w:rsidR="000A4B34" w:rsidRDefault="000A4B34" w:rsidP="007000CC">
      <w:pPr>
        <w:spacing w:after="0"/>
        <w:ind w:left="360"/>
      </w:pPr>
    </w:p>
    <w:p w14:paraId="1CC588A6" w14:textId="3BA5F85A" w:rsidR="00A670DE" w:rsidRDefault="00A670DE" w:rsidP="00A670DE">
      <w:pPr>
        <w:pStyle w:val="Heading2"/>
      </w:pPr>
      <w:bookmarkStart w:id="8" w:name="_Toc118885925"/>
      <w:r>
        <w:t>Equipos certificados para su uso en exteriores</w:t>
      </w:r>
      <w:bookmarkEnd w:id="8"/>
    </w:p>
    <w:p w14:paraId="1DBDC0E3" w14:textId="4B1C0261" w:rsidR="00995943" w:rsidRDefault="00995943" w:rsidP="00A670DE">
      <w:pPr>
        <w:rPr>
          <w:rFonts w:cs="Arial"/>
        </w:rPr>
      </w:pPr>
      <w:r>
        <w:t xml:space="preserve">Los productos </w:t>
      </w:r>
      <w:proofErr w:type="spellStart"/>
      <w:r>
        <w:t>Netgear</w:t>
      </w:r>
      <w:proofErr w:type="spellEnd"/>
      <w:r>
        <w:t xml:space="preserve"> están diseñados para su uso en interiores con la siguiente excepción:</w:t>
      </w:r>
    </w:p>
    <w:p w14:paraId="6A498825" w14:textId="31081296" w:rsidR="00A670DE" w:rsidRDefault="00A670DE" w:rsidP="00A670DE">
      <w:pPr>
        <w:rPr>
          <w:rFonts w:cs="Arial"/>
        </w:rPr>
      </w:pPr>
      <w:r>
        <w:t>Los siguientes productos están certificados para su uso en exteriores:</w:t>
      </w:r>
    </w:p>
    <w:p w14:paraId="21F8D2AD" w14:textId="7DCB25AC" w:rsidR="00A670DE" w:rsidRDefault="00A670DE" w:rsidP="00A670DE">
      <w:pPr>
        <w:pStyle w:val="Heading4"/>
      </w:pPr>
      <w:r>
        <w:t>Tabla 1: Productos certificados para su uso en exteriores</w:t>
      </w:r>
    </w:p>
    <w:tbl>
      <w:tblPr>
        <w:tblStyle w:val="TableGrid"/>
        <w:tblW w:w="0" w:type="auto"/>
        <w:tblLook w:val="04A0" w:firstRow="1" w:lastRow="0" w:firstColumn="1" w:lastColumn="0" w:noHBand="0" w:noVBand="1"/>
      </w:tblPr>
      <w:tblGrid>
        <w:gridCol w:w="1690"/>
        <w:gridCol w:w="1185"/>
        <w:gridCol w:w="1260"/>
        <w:gridCol w:w="1080"/>
        <w:gridCol w:w="1260"/>
        <w:gridCol w:w="1260"/>
      </w:tblGrid>
      <w:tr w:rsidR="00260503" w14:paraId="3325B1ED" w14:textId="396B803C" w:rsidTr="00260503">
        <w:tc>
          <w:tcPr>
            <w:tcW w:w="1690" w:type="dxa"/>
            <w:tcBorders>
              <w:bottom w:val="nil"/>
            </w:tcBorders>
          </w:tcPr>
          <w:p w14:paraId="0D932872" w14:textId="153A6124" w:rsidR="00260503" w:rsidRPr="00E63B27" w:rsidRDefault="00260503" w:rsidP="00260503">
            <w:pPr>
              <w:rPr>
                <w:rFonts w:cs="Arial"/>
                <w:u w:val="single"/>
              </w:rPr>
            </w:pPr>
            <w:r>
              <w:rPr>
                <w:u w:val="single"/>
              </w:rPr>
              <w:t>Fijos:</w:t>
            </w:r>
          </w:p>
        </w:tc>
        <w:tc>
          <w:tcPr>
            <w:tcW w:w="1185" w:type="dxa"/>
          </w:tcPr>
          <w:p w14:paraId="61B70B84" w14:textId="290DB2DA" w:rsidR="00260503" w:rsidRDefault="00260503" w:rsidP="00260503">
            <w:pPr>
              <w:rPr>
                <w:rFonts w:cs="Arial"/>
              </w:rPr>
            </w:pPr>
            <w:r>
              <w:t>WND930</w:t>
            </w:r>
          </w:p>
        </w:tc>
        <w:tc>
          <w:tcPr>
            <w:tcW w:w="1260" w:type="dxa"/>
          </w:tcPr>
          <w:p w14:paraId="4641AA88" w14:textId="77777777" w:rsidR="00260503" w:rsidRPr="0060535B" w:rsidRDefault="00260503" w:rsidP="00260503">
            <w:pPr>
              <w:rPr>
                <w:rFonts w:cs="Arial"/>
                <w:highlight w:val="yellow"/>
              </w:rPr>
            </w:pPr>
            <w:r>
              <w:t>WBC502</w:t>
            </w:r>
          </w:p>
        </w:tc>
        <w:tc>
          <w:tcPr>
            <w:tcW w:w="1080" w:type="dxa"/>
          </w:tcPr>
          <w:p w14:paraId="60380C9B" w14:textId="35F588A4" w:rsidR="00260503" w:rsidRPr="0060535B" w:rsidRDefault="00260503" w:rsidP="00260503">
            <w:pPr>
              <w:rPr>
                <w:rFonts w:cs="Arial"/>
                <w:highlight w:val="yellow"/>
              </w:rPr>
            </w:pPr>
            <w:r>
              <w:t>RBS50Y</w:t>
            </w:r>
          </w:p>
        </w:tc>
        <w:tc>
          <w:tcPr>
            <w:tcW w:w="1260" w:type="dxa"/>
          </w:tcPr>
          <w:p w14:paraId="6148710C" w14:textId="2787CE13" w:rsidR="00260503" w:rsidRDefault="00260503" w:rsidP="00260503">
            <w:pPr>
              <w:rPr>
                <w:rFonts w:cs="Arial"/>
              </w:rPr>
            </w:pPr>
            <w:r>
              <w:t>WAX610Y</w:t>
            </w:r>
          </w:p>
        </w:tc>
        <w:tc>
          <w:tcPr>
            <w:tcW w:w="1260" w:type="dxa"/>
          </w:tcPr>
          <w:p w14:paraId="6C23408E" w14:textId="77777777" w:rsidR="00260503" w:rsidRDefault="00260503" w:rsidP="00260503">
            <w:pPr>
              <w:rPr>
                <w:rFonts w:cs="Arial"/>
              </w:rPr>
            </w:pPr>
          </w:p>
        </w:tc>
      </w:tr>
      <w:tr w:rsidR="00260503" w14:paraId="57BBDDCF" w14:textId="1F7081B9" w:rsidTr="00260503">
        <w:tc>
          <w:tcPr>
            <w:tcW w:w="1690" w:type="dxa"/>
            <w:tcBorders>
              <w:top w:val="nil"/>
            </w:tcBorders>
          </w:tcPr>
          <w:p w14:paraId="04A0B991" w14:textId="77777777" w:rsidR="00260503" w:rsidRDefault="00260503" w:rsidP="00260503">
            <w:pPr>
              <w:rPr>
                <w:rFonts w:cs="Arial"/>
              </w:rPr>
            </w:pPr>
          </w:p>
        </w:tc>
        <w:tc>
          <w:tcPr>
            <w:tcW w:w="1185" w:type="dxa"/>
          </w:tcPr>
          <w:p w14:paraId="48279F66" w14:textId="77B63F89" w:rsidR="00260503" w:rsidRDefault="00260503" w:rsidP="00260503">
            <w:pPr>
              <w:rPr>
                <w:rFonts w:cs="Arial"/>
              </w:rPr>
            </w:pPr>
          </w:p>
        </w:tc>
        <w:tc>
          <w:tcPr>
            <w:tcW w:w="1260" w:type="dxa"/>
          </w:tcPr>
          <w:p w14:paraId="331ADEC7" w14:textId="23867153" w:rsidR="00260503" w:rsidRDefault="00260503" w:rsidP="00260503">
            <w:pPr>
              <w:rPr>
                <w:rFonts w:cs="Arial"/>
              </w:rPr>
            </w:pPr>
          </w:p>
        </w:tc>
        <w:tc>
          <w:tcPr>
            <w:tcW w:w="1080" w:type="dxa"/>
          </w:tcPr>
          <w:p w14:paraId="28E14027" w14:textId="77777777" w:rsidR="00260503" w:rsidRDefault="00260503" w:rsidP="00260503">
            <w:pPr>
              <w:rPr>
                <w:rFonts w:cs="Arial"/>
              </w:rPr>
            </w:pPr>
          </w:p>
        </w:tc>
        <w:tc>
          <w:tcPr>
            <w:tcW w:w="1260" w:type="dxa"/>
          </w:tcPr>
          <w:p w14:paraId="6466D30F" w14:textId="77777777" w:rsidR="00260503" w:rsidRDefault="00260503" w:rsidP="00260503">
            <w:pPr>
              <w:rPr>
                <w:rFonts w:cs="Arial"/>
              </w:rPr>
            </w:pPr>
          </w:p>
        </w:tc>
        <w:tc>
          <w:tcPr>
            <w:tcW w:w="1260" w:type="dxa"/>
          </w:tcPr>
          <w:p w14:paraId="3A2D4CAE" w14:textId="77777777" w:rsidR="00260503" w:rsidRDefault="00260503" w:rsidP="00260503">
            <w:pPr>
              <w:rPr>
                <w:rFonts w:cs="Arial"/>
              </w:rPr>
            </w:pPr>
          </w:p>
        </w:tc>
      </w:tr>
      <w:tr w:rsidR="00260503" w14:paraId="2BE46B21" w14:textId="76E38B12" w:rsidTr="00E63B27">
        <w:trPr>
          <w:trHeight w:val="89"/>
        </w:trPr>
        <w:tc>
          <w:tcPr>
            <w:tcW w:w="1690" w:type="dxa"/>
            <w:tcBorders>
              <w:bottom w:val="single" w:sz="4" w:space="0" w:color="auto"/>
            </w:tcBorders>
          </w:tcPr>
          <w:p w14:paraId="63C04B92" w14:textId="77777777" w:rsidR="00260503" w:rsidRDefault="00260503" w:rsidP="00260503">
            <w:pPr>
              <w:rPr>
                <w:rFonts w:cs="Arial"/>
              </w:rPr>
            </w:pPr>
          </w:p>
        </w:tc>
        <w:tc>
          <w:tcPr>
            <w:tcW w:w="1185" w:type="dxa"/>
          </w:tcPr>
          <w:p w14:paraId="70C61DD3" w14:textId="24FB9CEF" w:rsidR="00260503" w:rsidRDefault="00260503" w:rsidP="00260503">
            <w:pPr>
              <w:rPr>
                <w:rFonts w:cs="Arial"/>
              </w:rPr>
            </w:pPr>
          </w:p>
        </w:tc>
        <w:tc>
          <w:tcPr>
            <w:tcW w:w="1260" w:type="dxa"/>
          </w:tcPr>
          <w:p w14:paraId="7B732A40" w14:textId="77777777" w:rsidR="00260503" w:rsidRDefault="00260503" w:rsidP="00260503">
            <w:pPr>
              <w:rPr>
                <w:rFonts w:cs="Arial"/>
              </w:rPr>
            </w:pPr>
          </w:p>
        </w:tc>
        <w:tc>
          <w:tcPr>
            <w:tcW w:w="1080" w:type="dxa"/>
          </w:tcPr>
          <w:p w14:paraId="0C28CA2C" w14:textId="77777777" w:rsidR="00260503" w:rsidRDefault="00260503" w:rsidP="00260503">
            <w:pPr>
              <w:rPr>
                <w:rFonts w:cs="Arial"/>
              </w:rPr>
            </w:pPr>
          </w:p>
        </w:tc>
        <w:tc>
          <w:tcPr>
            <w:tcW w:w="1260" w:type="dxa"/>
          </w:tcPr>
          <w:p w14:paraId="13E0A346" w14:textId="77777777" w:rsidR="00260503" w:rsidRDefault="00260503" w:rsidP="00260503">
            <w:pPr>
              <w:rPr>
                <w:rFonts w:cs="Arial"/>
              </w:rPr>
            </w:pPr>
          </w:p>
        </w:tc>
        <w:tc>
          <w:tcPr>
            <w:tcW w:w="1260" w:type="dxa"/>
          </w:tcPr>
          <w:p w14:paraId="125B25E8" w14:textId="77777777" w:rsidR="00260503" w:rsidRDefault="00260503" w:rsidP="00260503">
            <w:pPr>
              <w:rPr>
                <w:rFonts w:cs="Arial"/>
              </w:rPr>
            </w:pPr>
          </w:p>
        </w:tc>
      </w:tr>
      <w:tr w:rsidR="00260503" w14:paraId="48ED5DD5" w14:textId="4DC9EC34" w:rsidTr="00260503">
        <w:tc>
          <w:tcPr>
            <w:tcW w:w="1690" w:type="dxa"/>
            <w:tcBorders>
              <w:bottom w:val="nil"/>
            </w:tcBorders>
          </w:tcPr>
          <w:p w14:paraId="61F4E288" w14:textId="7BAD6A88" w:rsidR="00260503" w:rsidRPr="00E63B27" w:rsidRDefault="00260503" w:rsidP="00260503">
            <w:pPr>
              <w:rPr>
                <w:rFonts w:cs="Arial"/>
                <w:u w:val="single"/>
              </w:rPr>
            </w:pPr>
            <w:r>
              <w:rPr>
                <w:u w:val="single"/>
              </w:rPr>
              <w:t>Portátiles:</w:t>
            </w:r>
          </w:p>
        </w:tc>
        <w:tc>
          <w:tcPr>
            <w:tcW w:w="1185" w:type="dxa"/>
          </w:tcPr>
          <w:p w14:paraId="66A8D0C7" w14:textId="63201C91" w:rsidR="00260503" w:rsidRDefault="00260503" w:rsidP="00260503">
            <w:pPr>
              <w:rPr>
                <w:rFonts w:cs="Arial"/>
              </w:rPr>
            </w:pPr>
            <w:r>
              <w:t>MR1100</w:t>
            </w:r>
          </w:p>
        </w:tc>
        <w:tc>
          <w:tcPr>
            <w:tcW w:w="1260" w:type="dxa"/>
          </w:tcPr>
          <w:p w14:paraId="755E4425" w14:textId="0282426E" w:rsidR="00260503" w:rsidRDefault="00260503" w:rsidP="00260503">
            <w:pPr>
              <w:rPr>
                <w:rFonts w:cs="Arial"/>
              </w:rPr>
            </w:pPr>
            <w:r>
              <w:t>MR2100</w:t>
            </w:r>
          </w:p>
        </w:tc>
        <w:tc>
          <w:tcPr>
            <w:tcW w:w="1080" w:type="dxa"/>
          </w:tcPr>
          <w:p w14:paraId="3C694830" w14:textId="3BA67D45" w:rsidR="00260503" w:rsidRDefault="00260503" w:rsidP="00260503">
            <w:pPr>
              <w:rPr>
                <w:rFonts w:cs="Arial"/>
              </w:rPr>
            </w:pPr>
            <w:r>
              <w:t>MR5100</w:t>
            </w:r>
          </w:p>
        </w:tc>
        <w:tc>
          <w:tcPr>
            <w:tcW w:w="1260" w:type="dxa"/>
          </w:tcPr>
          <w:p w14:paraId="2E031FF2" w14:textId="698B71A8" w:rsidR="00260503" w:rsidRDefault="00260503" w:rsidP="00260503">
            <w:pPr>
              <w:rPr>
                <w:rFonts w:cs="Arial"/>
              </w:rPr>
            </w:pPr>
            <w:r>
              <w:t>MR5200</w:t>
            </w:r>
          </w:p>
        </w:tc>
        <w:tc>
          <w:tcPr>
            <w:tcW w:w="1260" w:type="dxa"/>
          </w:tcPr>
          <w:p w14:paraId="56776633" w14:textId="77777777" w:rsidR="00260503" w:rsidRDefault="00260503" w:rsidP="00260503">
            <w:pPr>
              <w:rPr>
                <w:rFonts w:cs="Arial"/>
              </w:rPr>
            </w:pPr>
          </w:p>
        </w:tc>
      </w:tr>
      <w:tr w:rsidR="00260503" w14:paraId="71D84E0B" w14:textId="3D988E2A" w:rsidTr="00260503">
        <w:tc>
          <w:tcPr>
            <w:tcW w:w="1690" w:type="dxa"/>
            <w:tcBorders>
              <w:top w:val="nil"/>
              <w:bottom w:val="nil"/>
            </w:tcBorders>
          </w:tcPr>
          <w:p w14:paraId="387CF2E0" w14:textId="77777777" w:rsidR="00260503" w:rsidRPr="008172B1" w:rsidRDefault="00260503" w:rsidP="00260503">
            <w:pPr>
              <w:rPr>
                <w:rFonts w:cs="Arial"/>
              </w:rPr>
            </w:pPr>
          </w:p>
        </w:tc>
        <w:tc>
          <w:tcPr>
            <w:tcW w:w="1185" w:type="dxa"/>
          </w:tcPr>
          <w:p w14:paraId="0CFED318" w14:textId="0AA35EEA" w:rsidR="00260503" w:rsidRDefault="00260503" w:rsidP="00260503">
            <w:pPr>
              <w:rPr>
                <w:rFonts w:cs="Arial"/>
              </w:rPr>
            </w:pPr>
            <w:r>
              <w:t>MR61XX</w:t>
            </w:r>
          </w:p>
        </w:tc>
        <w:tc>
          <w:tcPr>
            <w:tcW w:w="1260" w:type="dxa"/>
          </w:tcPr>
          <w:p w14:paraId="26F4FFEF" w14:textId="7BD338F4" w:rsidR="00260503" w:rsidRDefault="00260503" w:rsidP="00260503">
            <w:pPr>
              <w:rPr>
                <w:rFonts w:cs="Arial"/>
              </w:rPr>
            </w:pPr>
            <w:r>
              <w:t>MR64XX</w:t>
            </w:r>
          </w:p>
        </w:tc>
        <w:tc>
          <w:tcPr>
            <w:tcW w:w="1080" w:type="dxa"/>
          </w:tcPr>
          <w:p w14:paraId="200B40DA" w14:textId="40D19BCB" w:rsidR="00260503" w:rsidRDefault="00260503" w:rsidP="00260503">
            <w:pPr>
              <w:rPr>
                <w:rFonts w:cs="Arial"/>
              </w:rPr>
            </w:pPr>
            <w:r>
              <w:t>MR65XX</w:t>
            </w:r>
          </w:p>
        </w:tc>
        <w:tc>
          <w:tcPr>
            <w:tcW w:w="1260" w:type="dxa"/>
          </w:tcPr>
          <w:p w14:paraId="6AC3BA8B" w14:textId="370748EA" w:rsidR="00260503" w:rsidRDefault="00260503" w:rsidP="00260503">
            <w:pPr>
              <w:rPr>
                <w:rFonts w:cs="Arial"/>
              </w:rPr>
            </w:pPr>
          </w:p>
        </w:tc>
        <w:tc>
          <w:tcPr>
            <w:tcW w:w="1260" w:type="dxa"/>
          </w:tcPr>
          <w:p w14:paraId="2092C0B8" w14:textId="77777777" w:rsidR="00260503" w:rsidRDefault="00260503" w:rsidP="00260503">
            <w:pPr>
              <w:rPr>
                <w:rFonts w:cs="Arial"/>
              </w:rPr>
            </w:pPr>
          </w:p>
        </w:tc>
      </w:tr>
      <w:tr w:rsidR="00260503" w14:paraId="5B0347CF" w14:textId="38F8160E" w:rsidTr="00260503">
        <w:tc>
          <w:tcPr>
            <w:tcW w:w="1690" w:type="dxa"/>
            <w:tcBorders>
              <w:top w:val="nil"/>
            </w:tcBorders>
          </w:tcPr>
          <w:p w14:paraId="065887FE" w14:textId="77777777" w:rsidR="00260503" w:rsidRDefault="00260503" w:rsidP="00260503">
            <w:pPr>
              <w:rPr>
                <w:rFonts w:cs="Arial"/>
              </w:rPr>
            </w:pPr>
          </w:p>
        </w:tc>
        <w:tc>
          <w:tcPr>
            <w:tcW w:w="1185" w:type="dxa"/>
          </w:tcPr>
          <w:p w14:paraId="24CB52F8" w14:textId="2C7E5A3C" w:rsidR="00260503" w:rsidRDefault="00260503" w:rsidP="00260503">
            <w:pPr>
              <w:rPr>
                <w:rFonts w:cs="Arial"/>
              </w:rPr>
            </w:pPr>
            <w:r>
              <w:t>A6100</w:t>
            </w:r>
          </w:p>
        </w:tc>
        <w:tc>
          <w:tcPr>
            <w:tcW w:w="1260" w:type="dxa"/>
          </w:tcPr>
          <w:p w14:paraId="273AC192" w14:textId="0395CF09" w:rsidR="00260503" w:rsidRDefault="00260503" w:rsidP="00260503">
            <w:pPr>
              <w:rPr>
                <w:rFonts w:cs="Arial"/>
              </w:rPr>
            </w:pPr>
            <w:r>
              <w:t>A6150</w:t>
            </w:r>
          </w:p>
        </w:tc>
        <w:tc>
          <w:tcPr>
            <w:tcW w:w="1080" w:type="dxa"/>
          </w:tcPr>
          <w:p w14:paraId="1420D0D6" w14:textId="25344AE9" w:rsidR="00260503" w:rsidRDefault="00260503" w:rsidP="00260503">
            <w:pPr>
              <w:rPr>
                <w:rFonts w:cs="Arial"/>
              </w:rPr>
            </w:pPr>
            <w:r>
              <w:t>A6210</w:t>
            </w:r>
          </w:p>
        </w:tc>
        <w:tc>
          <w:tcPr>
            <w:tcW w:w="1260" w:type="dxa"/>
          </w:tcPr>
          <w:p w14:paraId="49F87091" w14:textId="622AA0CA" w:rsidR="00260503" w:rsidRDefault="00260503" w:rsidP="00260503">
            <w:pPr>
              <w:rPr>
                <w:rFonts w:cs="Arial"/>
              </w:rPr>
            </w:pPr>
            <w:r>
              <w:t>A7000</w:t>
            </w:r>
          </w:p>
        </w:tc>
        <w:tc>
          <w:tcPr>
            <w:tcW w:w="1260" w:type="dxa"/>
          </w:tcPr>
          <w:p w14:paraId="2072EE4E" w14:textId="7740B07D" w:rsidR="00260503" w:rsidRDefault="00DF5D73" w:rsidP="00260503">
            <w:pPr>
              <w:rPr>
                <w:rFonts w:cs="Arial"/>
              </w:rPr>
            </w:pPr>
            <w:r>
              <w:t>A8000</w:t>
            </w:r>
          </w:p>
        </w:tc>
      </w:tr>
    </w:tbl>
    <w:p w14:paraId="5D393599" w14:textId="77777777" w:rsidR="00A670DE" w:rsidRDefault="00A670DE" w:rsidP="00A670DE">
      <w:pPr>
        <w:rPr>
          <w:rFonts w:cs="Arial"/>
        </w:rPr>
      </w:pPr>
    </w:p>
    <w:p w14:paraId="30C31AB8" w14:textId="25942375" w:rsidR="00A670DE" w:rsidRDefault="00A670DE" w:rsidP="006F2801">
      <w:r>
        <w:t xml:space="preserve">Tenga cuidado al </w:t>
      </w:r>
      <w:r>
        <w:rPr>
          <w:b/>
        </w:rPr>
        <w:t>instalar</w:t>
      </w:r>
      <w:r>
        <w:t xml:space="preserve"> este equipo en exteriores: Tenga en cuenta que las instalaciones en exteriores requieren especial atención y que solo debe realizarlas personal de instalación cualificado y con formación.  No se permite que usuarios corrientes instalen los productos inalámbricos NETGEAR en exteriores cuando sea necesario instalar antenas, alimentación y conexión a tierra externas para el funcionamiento.  Preste especial atención a las frecuencias operativas permitidas.  Si es necesario tener en cuenta detalles especiales para la instalación de este producto en exteriores, póngase en contacto con NETGEAR para obtener instrucciones sobre cómo ponerse en contacto con un instalador de operaciones exteriores.  Para obtener información detallada sobre la instalación en Francia, el usuario debe ponerse en contacto con las correspondientes autoridades nacionales de Francia (http://www.arcep.fr/).</w:t>
      </w:r>
    </w:p>
    <w:p w14:paraId="0D8A05E1" w14:textId="38604C89" w:rsidR="00430601" w:rsidRPr="000E6B64" w:rsidRDefault="00430601" w:rsidP="00D14AE9">
      <w:pPr>
        <w:spacing w:after="80" w:line="240" w:lineRule="auto"/>
      </w:pPr>
      <w:bookmarkStart w:id="9" w:name="_Hlk90038977"/>
      <w:r>
        <w:t>En algunos países, el dispositivo está restringido a uso en interiores únicamente cuando opera en los rangos de frecuencia:</w:t>
      </w:r>
    </w:p>
    <w:p w14:paraId="0310517F" w14:textId="77777777" w:rsidR="00430601" w:rsidRPr="000E6B64" w:rsidRDefault="00430601" w:rsidP="00430601">
      <w:pPr>
        <w:pStyle w:val="ListParagraph"/>
        <w:spacing w:after="0" w:line="240" w:lineRule="auto"/>
        <w:contextualSpacing w:val="0"/>
      </w:pPr>
      <w:r>
        <w:t>5150 a 5350 MHz</w:t>
      </w:r>
    </w:p>
    <w:p w14:paraId="241336ED" w14:textId="2466F7EC" w:rsidR="00430601" w:rsidRDefault="00430601" w:rsidP="00430601">
      <w:pPr>
        <w:pStyle w:val="ListParagraph"/>
        <w:spacing w:after="80" w:line="240" w:lineRule="auto"/>
        <w:contextualSpacing w:val="0"/>
      </w:pPr>
      <w:r>
        <w:t>5925 a 7125 MHz</w:t>
      </w:r>
    </w:p>
    <w:p w14:paraId="4C64A96E" w14:textId="3CEB85A4" w:rsidR="00430601" w:rsidRDefault="00430601" w:rsidP="006F2801">
      <w:r>
        <w:t>Las normativas de la FCC e ISED restringen el funcionamiento de este dispositivo a un uso en interiores únicamente para el modo de punto de acceso para las frecuencias 5850 - 7125 MHz.</w:t>
      </w:r>
      <w:bookmarkEnd w:id="9"/>
    </w:p>
    <w:p w14:paraId="27C8BB2E" w14:textId="77777777" w:rsidR="000A4B34" w:rsidRDefault="000A4B34" w:rsidP="007000CC">
      <w:pPr>
        <w:pStyle w:val="Heading2"/>
      </w:pPr>
      <w:bookmarkStart w:id="10" w:name="_Toc118885926"/>
      <w:r>
        <w:t>Equipo con antenas externas</w:t>
      </w:r>
      <w:bookmarkEnd w:id="10"/>
    </w:p>
    <w:p w14:paraId="5AC18A68" w14:textId="5D6BC179" w:rsidR="000A4B34" w:rsidRDefault="000A4B34" w:rsidP="000A4B34">
      <w:r>
        <w:t>Los equipos con antenas externas deben utilizar unas antenas y un cable determinados u otros para que la ganancia neta (de la antena + el cable) sea inferior a la indicada a continuación o, por el contrario, utilizar las antenas recomendadas:</w:t>
      </w:r>
    </w:p>
    <w:p w14:paraId="4DE7A88C" w14:textId="77777777" w:rsidR="000A4B34" w:rsidRDefault="000A4B34" w:rsidP="0060535B">
      <w:pPr>
        <w:pStyle w:val="Heading4"/>
      </w:pPr>
      <w:r>
        <w:t>Tabla 2: Ganancia de antena externa</w:t>
      </w:r>
    </w:p>
    <w:tbl>
      <w:tblPr>
        <w:tblStyle w:val="TableGrid"/>
        <w:tblW w:w="9895" w:type="dxa"/>
        <w:tblLook w:val="04A0" w:firstRow="1" w:lastRow="0" w:firstColumn="1" w:lastColumn="0" w:noHBand="0" w:noVBand="1"/>
      </w:tblPr>
      <w:tblGrid>
        <w:gridCol w:w="2065"/>
        <w:gridCol w:w="3690"/>
        <w:gridCol w:w="1077"/>
        <w:gridCol w:w="3063"/>
      </w:tblGrid>
      <w:tr w:rsidR="00CF0E11" w:rsidRPr="00DB1424" w14:paraId="37059F38" w14:textId="77777777" w:rsidTr="00260503">
        <w:tc>
          <w:tcPr>
            <w:tcW w:w="2065" w:type="dxa"/>
          </w:tcPr>
          <w:p w14:paraId="127F10B4" w14:textId="77777777" w:rsidR="00CF0E11" w:rsidRPr="00DB1424" w:rsidRDefault="00CF0E11" w:rsidP="00CF0E11">
            <w:pPr>
              <w:rPr>
                <w:b/>
              </w:rPr>
            </w:pPr>
            <w:bookmarkStart w:id="11" w:name="_Hlk106972936"/>
            <w:r>
              <w:rPr>
                <w:b/>
              </w:rPr>
              <w:t>Producto</w:t>
            </w:r>
          </w:p>
        </w:tc>
        <w:tc>
          <w:tcPr>
            <w:tcW w:w="3690" w:type="dxa"/>
          </w:tcPr>
          <w:p w14:paraId="2FB089E8" w14:textId="77777777" w:rsidR="00CF0E11" w:rsidRPr="00DB1424" w:rsidRDefault="00CF0E11" w:rsidP="00CF0E11">
            <w:pPr>
              <w:rPr>
                <w:b/>
              </w:rPr>
            </w:pPr>
            <w:r>
              <w:rPr>
                <w:b/>
              </w:rPr>
              <w:t>Frecuencia</w:t>
            </w:r>
          </w:p>
        </w:tc>
        <w:tc>
          <w:tcPr>
            <w:tcW w:w="1077" w:type="dxa"/>
          </w:tcPr>
          <w:p w14:paraId="22A74BD2" w14:textId="380011D9" w:rsidR="00CF0E11" w:rsidRPr="00DB1424" w:rsidRDefault="006D1744" w:rsidP="00CF0E11">
            <w:pPr>
              <w:rPr>
                <w:b/>
              </w:rPr>
            </w:pPr>
            <w:r>
              <w:rPr>
                <w:b/>
              </w:rPr>
              <w:t>Ganancia neta máxima de la antena externa (dBi)</w:t>
            </w:r>
          </w:p>
        </w:tc>
        <w:tc>
          <w:tcPr>
            <w:tcW w:w="3063" w:type="dxa"/>
          </w:tcPr>
          <w:p w14:paraId="07147628" w14:textId="3B9A763D" w:rsidR="00CF0E11" w:rsidRPr="00DB1424" w:rsidRDefault="00CF0E11" w:rsidP="00CF0E11">
            <w:pPr>
              <w:rPr>
                <w:b/>
              </w:rPr>
            </w:pPr>
            <w:r>
              <w:rPr>
                <w:b/>
              </w:rPr>
              <w:t>Antenas recomendadas o predeterminadas</w:t>
            </w:r>
          </w:p>
        </w:tc>
      </w:tr>
      <w:bookmarkEnd w:id="11"/>
      <w:tr w:rsidR="00CF0E11" w14:paraId="1DECA623" w14:textId="77777777" w:rsidTr="00260503">
        <w:tc>
          <w:tcPr>
            <w:tcW w:w="2065" w:type="dxa"/>
          </w:tcPr>
          <w:p w14:paraId="682A2009" w14:textId="3A0AD87F" w:rsidR="000A4B34" w:rsidRDefault="000A4B34" w:rsidP="008D4B1D">
            <w:r>
              <w:t>EX6200</w:t>
            </w:r>
          </w:p>
        </w:tc>
        <w:tc>
          <w:tcPr>
            <w:tcW w:w="3690" w:type="dxa"/>
          </w:tcPr>
          <w:p w14:paraId="5C51595D" w14:textId="4FB09232" w:rsidR="000A4B34" w:rsidRDefault="008A3B83" w:rsidP="008D4B1D">
            <w:r>
              <w:t>2400-2500 MHz</w:t>
            </w:r>
          </w:p>
          <w:p w14:paraId="331BE2FF" w14:textId="1EB5EE5C" w:rsidR="008A3B83" w:rsidRDefault="008A3B83" w:rsidP="008D4B1D">
            <w:r>
              <w:t>5100-5850 MHz</w:t>
            </w:r>
          </w:p>
        </w:tc>
        <w:tc>
          <w:tcPr>
            <w:tcW w:w="1077" w:type="dxa"/>
          </w:tcPr>
          <w:p w14:paraId="4FE00F6D" w14:textId="0C015180" w:rsidR="008A3B83" w:rsidRDefault="008A3B83" w:rsidP="008D4B1D"/>
        </w:tc>
        <w:tc>
          <w:tcPr>
            <w:tcW w:w="3063" w:type="dxa"/>
          </w:tcPr>
          <w:p w14:paraId="61BCAAAD" w14:textId="473373DF" w:rsidR="000A4B34" w:rsidRDefault="008A3B83" w:rsidP="008D4B1D">
            <w:proofErr w:type="spellStart"/>
            <w:r>
              <w:t>Masterwave</w:t>
            </w:r>
            <w:proofErr w:type="spellEnd"/>
            <w:r>
              <w:t xml:space="preserve"> </w:t>
            </w:r>
            <w:hyperlink r:id="rId14" w:history="1">
              <w:r>
                <w:rPr>
                  <w:rStyle w:val="Hyperlink"/>
                  <w:color w:val="auto"/>
                  <w:sz w:val="17"/>
                  <w:u w:val="none"/>
                </w:rPr>
                <w:t>98619PRSX005</w:t>
              </w:r>
            </w:hyperlink>
          </w:p>
        </w:tc>
      </w:tr>
      <w:tr w:rsidR="00CF0E11" w14:paraId="0254762D" w14:textId="77777777" w:rsidTr="00260503">
        <w:tc>
          <w:tcPr>
            <w:tcW w:w="2065" w:type="dxa"/>
          </w:tcPr>
          <w:p w14:paraId="1AAE46C9" w14:textId="7A9FB905" w:rsidR="00AA7FAE" w:rsidRDefault="00AA7FAE" w:rsidP="00AA7FAE">
            <w:r>
              <w:t>RS400</w:t>
            </w:r>
          </w:p>
        </w:tc>
        <w:tc>
          <w:tcPr>
            <w:tcW w:w="3690" w:type="dxa"/>
          </w:tcPr>
          <w:p w14:paraId="53F892B6" w14:textId="77777777" w:rsidR="00AA7FAE" w:rsidRDefault="00AA7FAE" w:rsidP="00AA7FAE">
            <w:r>
              <w:t>2400-2500 MHz</w:t>
            </w:r>
          </w:p>
          <w:p w14:paraId="2ADE5E18" w14:textId="02212D42" w:rsidR="00AA7FAE" w:rsidRDefault="00AA7FAE" w:rsidP="00AA7FAE">
            <w:r>
              <w:t>5100-5850 MHz</w:t>
            </w:r>
          </w:p>
        </w:tc>
        <w:tc>
          <w:tcPr>
            <w:tcW w:w="1077" w:type="dxa"/>
          </w:tcPr>
          <w:p w14:paraId="2FCC86BA" w14:textId="29A063F5" w:rsidR="00AA7FAE" w:rsidRDefault="00AA7FAE" w:rsidP="00AA7FAE"/>
        </w:tc>
        <w:tc>
          <w:tcPr>
            <w:tcW w:w="3063" w:type="dxa"/>
          </w:tcPr>
          <w:p w14:paraId="54595666" w14:textId="19567375" w:rsidR="00AA7FAE" w:rsidRDefault="00AA7FAE" w:rsidP="00AA7FAE">
            <w:proofErr w:type="spellStart"/>
            <w:r>
              <w:t>Masterwave</w:t>
            </w:r>
            <w:proofErr w:type="spellEnd"/>
            <w:r>
              <w:t xml:space="preserve"> 98364PRSX004</w:t>
            </w:r>
          </w:p>
        </w:tc>
      </w:tr>
      <w:tr w:rsidR="00CF0E11" w14:paraId="0D2B0AE0" w14:textId="77777777" w:rsidTr="00260503">
        <w:tc>
          <w:tcPr>
            <w:tcW w:w="2065" w:type="dxa"/>
          </w:tcPr>
          <w:p w14:paraId="7D465E22" w14:textId="33E86E39" w:rsidR="009A054E" w:rsidRDefault="009A054E" w:rsidP="009A054E">
            <w:r>
              <w:t>R6800</w:t>
            </w:r>
          </w:p>
        </w:tc>
        <w:tc>
          <w:tcPr>
            <w:tcW w:w="3690" w:type="dxa"/>
          </w:tcPr>
          <w:p w14:paraId="2F806D67" w14:textId="77777777" w:rsidR="009A054E" w:rsidRDefault="009A054E" w:rsidP="009A054E">
            <w:r>
              <w:t>2400-2500 MHz</w:t>
            </w:r>
          </w:p>
          <w:p w14:paraId="0F962AA1" w14:textId="6CF1DB10" w:rsidR="009A054E" w:rsidRDefault="009A054E" w:rsidP="009A054E">
            <w:r>
              <w:t>5100-5850 MHz</w:t>
            </w:r>
          </w:p>
        </w:tc>
        <w:tc>
          <w:tcPr>
            <w:tcW w:w="1077" w:type="dxa"/>
          </w:tcPr>
          <w:p w14:paraId="0EEE18AA" w14:textId="09277A49" w:rsidR="009A054E" w:rsidRDefault="009A054E" w:rsidP="009A054E"/>
        </w:tc>
        <w:tc>
          <w:tcPr>
            <w:tcW w:w="3063" w:type="dxa"/>
          </w:tcPr>
          <w:p w14:paraId="5F34F1BF" w14:textId="03F92659" w:rsidR="009A054E" w:rsidRDefault="009A054E" w:rsidP="009A054E">
            <w:proofErr w:type="spellStart"/>
            <w:r>
              <w:t>Masterwave</w:t>
            </w:r>
            <w:proofErr w:type="spellEnd"/>
            <w:r>
              <w:t xml:space="preserve"> 98364PRSX004</w:t>
            </w:r>
          </w:p>
        </w:tc>
      </w:tr>
      <w:tr w:rsidR="00CF0E11" w14:paraId="61DCF2B1" w14:textId="77777777" w:rsidTr="00260503">
        <w:tc>
          <w:tcPr>
            <w:tcW w:w="2065" w:type="dxa"/>
          </w:tcPr>
          <w:p w14:paraId="495DE587" w14:textId="3AC5C1AC" w:rsidR="00BB66B4" w:rsidRDefault="00BB66B4" w:rsidP="00BB66B4">
            <w:r>
              <w:t>R6900P, R7000P</w:t>
            </w:r>
          </w:p>
        </w:tc>
        <w:tc>
          <w:tcPr>
            <w:tcW w:w="3690" w:type="dxa"/>
          </w:tcPr>
          <w:p w14:paraId="3BEE52BA" w14:textId="77777777" w:rsidR="00BB66B4" w:rsidRDefault="00BB66B4" w:rsidP="00BB66B4">
            <w:r>
              <w:t>2400-2500 MHz</w:t>
            </w:r>
          </w:p>
          <w:p w14:paraId="323B37B9" w14:textId="40E86CEE" w:rsidR="00BB66B4" w:rsidRDefault="00BB66B4" w:rsidP="00BB66B4">
            <w:r>
              <w:t>5100-5850 MHz</w:t>
            </w:r>
          </w:p>
        </w:tc>
        <w:tc>
          <w:tcPr>
            <w:tcW w:w="1077" w:type="dxa"/>
          </w:tcPr>
          <w:p w14:paraId="24D57938" w14:textId="4A8AF28C" w:rsidR="00BB66B4" w:rsidRDefault="00BB66B4" w:rsidP="00BB66B4"/>
        </w:tc>
        <w:tc>
          <w:tcPr>
            <w:tcW w:w="3063" w:type="dxa"/>
          </w:tcPr>
          <w:p w14:paraId="2C9817FC" w14:textId="2426BCDA" w:rsidR="00BB66B4" w:rsidRDefault="00BB66B4" w:rsidP="00BB66B4">
            <w:proofErr w:type="spellStart"/>
            <w:r>
              <w:t>Masterwave</w:t>
            </w:r>
            <w:proofErr w:type="spellEnd"/>
            <w:r>
              <w:t xml:space="preserve"> 98364PRSX004</w:t>
            </w:r>
          </w:p>
        </w:tc>
      </w:tr>
      <w:tr w:rsidR="00CF0E11" w14:paraId="210F4A4D" w14:textId="77777777" w:rsidTr="00260503">
        <w:tc>
          <w:tcPr>
            <w:tcW w:w="2065" w:type="dxa"/>
          </w:tcPr>
          <w:p w14:paraId="4F645E14" w14:textId="624D758F" w:rsidR="00BB66B4" w:rsidRDefault="00BB66B4" w:rsidP="00BB66B4">
            <w:r>
              <w:lastRenderedPageBreak/>
              <w:t>R6900, R7450</w:t>
            </w:r>
          </w:p>
        </w:tc>
        <w:tc>
          <w:tcPr>
            <w:tcW w:w="3690" w:type="dxa"/>
          </w:tcPr>
          <w:p w14:paraId="04429390" w14:textId="77777777" w:rsidR="00BB66B4" w:rsidRDefault="00BB66B4" w:rsidP="00BB66B4">
            <w:r>
              <w:t>2400-2500 MHz</w:t>
            </w:r>
          </w:p>
          <w:p w14:paraId="587A0925" w14:textId="0923A3B4" w:rsidR="00BB66B4" w:rsidRDefault="00BB66B4" w:rsidP="00BB66B4">
            <w:r>
              <w:t>5100-5850 MHz</w:t>
            </w:r>
          </w:p>
        </w:tc>
        <w:tc>
          <w:tcPr>
            <w:tcW w:w="1077" w:type="dxa"/>
          </w:tcPr>
          <w:p w14:paraId="5CBDAF26" w14:textId="4F87CF42" w:rsidR="00BB66B4" w:rsidRDefault="00BB66B4" w:rsidP="00BB66B4"/>
        </w:tc>
        <w:tc>
          <w:tcPr>
            <w:tcW w:w="3063" w:type="dxa"/>
          </w:tcPr>
          <w:p w14:paraId="73F5356B" w14:textId="0B82950A" w:rsidR="00BB66B4" w:rsidRDefault="00BB66B4" w:rsidP="00BB66B4">
            <w:proofErr w:type="spellStart"/>
            <w:r>
              <w:t>Masterwave</w:t>
            </w:r>
            <w:proofErr w:type="spellEnd"/>
            <w:r>
              <w:t xml:space="preserve"> 98364PRSX009</w:t>
            </w:r>
          </w:p>
        </w:tc>
      </w:tr>
      <w:tr w:rsidR="00CF0E11" w14:paraId="7E39978B" w14:textId="77777777" w:rsidTr="00260503">
        <w:tc>
          <w:tcPr>
            <w:tcW w:w="2065" w:type="dxa"/>
          </w:tcPr>
          <w:p w14:paraId="718CB771" w14:textId="3137C2ED" w:rsidR="00D76DE3" w:rsidRDefault="00D76DE3" w:rsidP="00D76DE3">
            <w:r>
              <w:t xml:space="preserve">AC2600 </w:t>
            </w:r>
          </w:p>
        </w:tc>
        <w:tc>
          <w:tcPr>
            <w:tcW w:w="3690" w:type="dxa"/>
          </w:tcPr>
          <w:p w14:paraId="0290509A" w14:textId="77777777" w:rsidR="00D76DE3" w:rsidRDefault="00D76DE3" w:rsidP="00D76DE3">
            <w:r>
              <w:t>2400-2500 MHz</w:t>
            </w:r>
          </w:p>
          <w:p w14:paraId="3E665AF8" w14:textId="7570E38E" w:rsidR="00D76DE3" w:rsidRDefault="00D76DE3" w:rsidP="00D76DE3">
            <w:r>
              <w:t>5100-5850 MHz</w:t>
            </w:r>
          </w:p>
        </w:tc>
        <w:tc>
          <w:tcPr>
            <w:tcW w:w="1077" w:type="dxa"/>
          </w:tcPr>
          <w:p w14:paraId="77BCABBD" w14:textId="2826EE1F" w:rsidR="00D76DE3" w:rsidRDefault="00D76DE3" w:rsidP="00D76DE3"/>
        </w:tc>
        <w:tc>
          <w:tcPr>
            <w:tcW w:w="3063" w:type="dxa"/>
          </w:tcPr>
          <w:p w14:paraId="1C157516" w14:textId="6AB21B9A" w:rsidR="00D76DE3" w:rsidRDefault="00D76DE3" w:rsidP="00D76DE3">
            <w:proofErr w:type="spellStart"/>
            <w:r>
              <w:t>Masterwave</w:t>
            </w:r>
            <w:proofErr w:type="spellEnd"/>
            <w:r>
              <w:t xml:space="preserve"> 98364PRSX009</w:t>
            </w:r>
          </w:p>
        </w:tc>
      </w:tr>
      <w:tr w:rsidR="00CF0E11" w14:paraId="61939BFC" w14:textId="77777777" w:rsidTr="00260503">
        <w:tc>
          <w:tcPr>
            <w:tcW w:w="2065" w:type="dxa"/>
          </w:tcPr>
          <w:p w14:paraId="0277A570" w14:textId="15D3694F" w:rsidR="00D76DE3" w:rsidRDefault="00D76DE3" w:rsidP="00D76DE3">
            <w:r>
              <w:t>R7200, R7350, R7400</w:t>
            </w:r>
          </w:p>
        </w:tc>
        <w:tc>
          <w:tcPr>
            <w:tcW w:w="3690" w:type="dxa"/>
          </w:tcPr>
          <w:p w14:paraId="7E5C7F3E" w14:textId="77777777" w:rsidR="00D76DE3" w:rsidRDefault="00D76DE3" w:rsidP="00D76DE3">
            <w:r>
              <w:t>2400-2500 MHz</w:t>
            </w:r>
          </w:p>
          <w:p w14:paraId="43126991" w14:textId="3D8A71A0" w:rsidR="00D76DE3" w:rsidRDefault="00D76DE3" w:rsidP="00D76DE3">
            <w:r>
              <w:t>5100-5850 MHz</w:t>
            </w:r>
          </w:p>
        </w:tc>
        <w:tc>
          <w:tcPr>
            <w:tcW w:w="1077" w:type="dxa"/>
          </w:tcPr>
          <w:p w14:paraId="3468BC24" w14:textId="7889D840" w:rsidR="00D76DE3" w:rsidRDefault="00D76DE3" w:rsidP="00D76DE3"/>
        </w:tc>
        <w:tc>
          <w:tcPr>
            <w:tcW w:w="3063" w:type="dxa"/>
          </w:tcPr>
          <w:p w14:paraId="3106811A" w14:textId="78D1A42B" w:rsidR="00D76DE3" w:rsidRDefault="00D76DE3" w:rsidP="00D76DE3">
            <w:proofErr w:type="spellStart"/>
            <w:r>
              <w:t>Masterwave</w:t>
            </w:r>
            <w:proofErr w:type="spellEnd"/>
            <w:r>
              <w:t xml:space="preserve"> 98364PRSX009</w:t>
            </w:r>
          </w:p>
        </w:tc>
      </w:tr>
      <w:tr w:rsidR="00CF0E11" w14:paraId="238B29A9" w14:textId="77777777" w:rsidTr="00260503">
        <w:tc>
          <w:tcPr>
            <w:tcW w:w="2065" w:type="dxa"/>
          </w:tcPr>
          <w:p w14:paraId="74574976" w14:textId="4B8BAFE5" w:rsidR="00D76DE3" w:rsidRDefault="00D76DE3" w:rsidP="00D76DE3">
            <w:r>
              <w:t>D7000</w:t>
            </w:r>
          </w:p>
        </w:tc>
        <w:tc>
          <w:tcPr>
            <w:tcW w:w="3690" w:type="dxa"/>
          </w:tcPr>
          <w:p w14:paraId="791B15B2" w14:textId="77777777" w:rsidR="00D76DE3" w:rsidRDefault="00D76DE3" w:rsidP="00D76DE3">
            <w:r>
              <w:t>2400-2500 MHz</w:t>
            </w:r>
          </w:p>
          <w:p w14:paraId="53AA39EA" w14:textId="1F1C51EA" w:rsidR="00D76DE3" w:rsidRDefault="00D76DE3" w:rsidP="00D76DE3">
            <w:r>
              <w:t>5100-5850 MHz</w:t>
            </w:r>
          </w:p>
        </w:tc>
        <w:tc>
          <w:tcPr>
            <w:tcW w:w="1077" w:type="dxa"/>
          </w:tcPr>
          <w:p w14:paraId="447C9E33" w14:textId="5B3A09E8" w:rsidR="00D76DE3" w:rsidRDefault="00D76DE3" w:rsidP="00D76DE3"/>
        </w:tc>
        <w:tc>
          <w:tcPr>
            <w:tcW w:w="3063" w:type="dxa"/>
          </w:tcPr>
          <w:p w14:paraId="7BCDDC59" w14:textId="532EA4F8" w:rsidR="00D76DE3" w:rsidRDefault="00D76DE3" w:rsidP="00D76DE3">
            <w:proofErr w:type="spellStart"/>
            <w:r>
              <w:t>Masterwave</w:t>
            </w:r>
            <w:proofErr w:type="spellEnd"/>
            <w:r>
              <w:t xml:space="preserve"> </w:t>
            </w:r>
            <w:r>
              <w:rPr>
                <w:color w:val="333333"/>
                <w:sz w:val="17"/>
              </w:rPr>
              <w:t>98365PRSX000</w:t>
            </w:r>
          </w:p>
        </w:tc>
      </w:tr>
      <w:tr w:rsidR="00CF0E11" w14:paraId="2E453C45" w14:textId="77777777" w:rsidTr="00260503">
        <w:tc>
          <w:tcPr>
            <w:tcW w:w="2065" w:type="dxa"/>
          </w:tcPr>
          <w:p w14:paraId="2CC9FE74" w14:textId="3D11C28A" w:rsidR="00620E05" w:rsidRDefault="00620E05" w:rsidP="00620E05">
            <w:r>
              <w:t>EX7000, DC112A</w:t>
            </w:r>
          </w:p>
        </w:tc>
        <w:tc>
          <w:tcPr>
            <w:tcW w:w="3690" w:type="dxa"/>
          </w:tcPr>
          <w:p w14:paraId="34F58689" w14:textId="77777777" w:rsidR="00620E05" w:rsidRDefault="00620E05" w:rsidP="00620E05">
            <w:r>
              <w:t>2400-2500 MHz</w:t>
            </w:r>
          </w:p>
          <w:p w14:paraId="5C337B9C" w14:textId="4A36FFA6" w:rsidR="00620E05" w:rsidRDefault="00620E05" w:rsidP="00620E05">
            <w:r>
              <w:t>5100-5850 MHz</w:t>
            </w:r>
          </w:p>
        </w:tc>
        <w:tc>
          <w:tcPr>
            <w:tcW w:w="1077" w:type="dxa"/>
          </w:tcPr>
          <w:p w14:paraId="3E19F6D9" w14:textId="7C94EF01" w:rsidR="00620E05" w:rsidRDefault="006F2801" w:rsidP="00620E05">
            <w:r>
              <w:t>2 dB</w:t>
            </w:r>
          </w:p>
        </w:tc>
        <w:tc>
          <w:tcPr>
            <w:tcW w:w="3063" w:type="dxa"/>
          </w:tcPr>
          <w:p w14:paraId="051FC13F" w14:textId="0E2D9653" w:rsidR="00620E05" w:rsidRDefault="00620E05" w:rsidP="00620E05">
            <w:proofErr w:type="spellStart"/>
            <w:r>
              <w:rPr>
                <w:color w:val="333333"/>
                <w:sz w:val="17"/>
              </w:rPr>
              <w:t>Masterwave</w:t>
            </w:r>
            <w:proofErr w:type="spellEnd"/>
            <w:r>
              <w:rPr>
                <w:color w:val="333333"/>
                <w:sz w:val="17"/>
              </w:rPr>
              <w:t xml:space="preserve"> 98619PRSX006</w:t>
            </w:r>
          </w:p>
        </w:tc>
      </w:tr>
      <w:tr w:rsidR="00CF0E11" w14:paraId="681B26C2" w14:textId="77777777" w:rsidTr="00260503">
        <w:tc>
          <w:tcPr>
            <w:tcW w:w="2065" w:type="dxa"/>
          </w:tcPr>
          <w:p w14:paraId="5E85FE76" w14:textId="348D4703" w:rsidR="00AD5F1E" w:rsidRDefault="00AD5F1E" w:rsidP="00AD5F1E">
            <w:r>
              <w:t>D7800, R7800</w:t>
            </w:r>
          </w:p>
        </w:tc>
        <w:tc>
          <w:tcPr>
            <w:tcW w:w="3690" w:type="dxa"/>
          </w:tcPr>
          <w:p w14:paraId="435A5BC3" w14:textId="77777777" w:rsidR="00AD5F1E" w:rsidRDefault="00AD5F1E" w:rsidP="00AD5F1E">
            <w:r>
              <w:t>2400-2500 MHz</w:t>
            </w:r>
          </w:p>
          <w:p w14:paraId="557FEFD3" w14:textId="7C7F13BD" w:rsidR="00AD5F1E" w:rsidRDefault="00AD5F1E" w:rsidP="00AD5F1E">
            <w:r>
              <w:t>5100-5850 MHz</w:t>
            </w:r>
          </w:p>
        </w:tc>
        <w:tc>
          <w:tcPr>
            <w:tcW w:w="1077" w:type="dxa"/>
          </w:tcPr>
          <w:p w14:paraId="28204E44" w14:textId="3F0796EA" w:rsidR="00AD5F1E" w:rsidRDefault="00AD5F1E" w:rsidP="00AD5F1E"/>
        </w:tc>
        <w:tc>
          <w:tcPr>
            <w:tcW w:w="3063" w:type="dxa"/>
          </w:tcPr>
          <w:p w14:paraId="2591B78F" w14:textId="77777777" w:rsidR="00AD5F1E" w:rsidRDefault="001D77A4" w:rsidP="00AD5F1E">
            <w:pPr>
              <w:rPr>
                <w:rFonts w:cs="Arial"/>
                <w:color w:val="333333"/>
                <w:sz w:val="17"/>
                <w:szCs w:val="17"/>
              </w:rPr>
            </w:pPr>
            <w:proofErr w:type="spellStart"/>
            <w:r>
              <w:t>Masterwave</w:t>
            </w:r>
            <w:proofErr w:type="spellEnd"/>
            <w:r>
              <w:t xml:space="preserve"> </w:t>
            </w:r>
            <w:r>
              <w:rPr>
                <w:color w:val="333333"/>
                <w:sz w:val="17"/>
              </w:rPr>
              <w:t>98365PRSX003</w:t>
            </w:r>
          </w:p>
          <w:p w14:paraId="7A674DA8" w14:textId="768170C3" w:rsidR="001D77A4" w:rsidRDefault="001D77A4" w:rsidP="00AD5F1E">
            <w:r>
              <w:rPr>
                <w:color w:val="333333"/>
                <w:sz w:val="17"/>
              </w:rPr>
              <w:t>98365PRSX004</w:t>
            </w:r>
          </w:p>
        </w:tc>
      </w:tr>
      <w:tr w:rsidR="00CF0E11" w14:paraId="4BF4C16A" w14:textId="77777777" w:rsidTr="00260503">
        <w:tc>
          <w:tcPr>
            <w:tcW w:w="2065" w:type="dxa"/>
          </w:tcPr>
          <w:p w14:paraId="74AABCB6" w14:textId="34A99AD9" w:rsidR="007F284C" w:rsidRDefault="007F284C" w:rsidP="007F284C">
            <w:r>
              <w:t>C6220</w:t>
            </w:r>
          </w:p>
        </w:tc>
        <w:tc>
          <w:tcPr>
            <w:tcW w:w="3690" w:type="dxa"/>
          </w:tcPr>
          <w:p w14:paraId="1282C75A" w14:textId="77777777" w:rsidR="007F284C" w:rsidRDefault="007F284C" w:rsidP="007F284C">
            <w:r>
              <w:t>2400-2500 MHz</w:t>
            </w:r>
          </w:p>
          <w:p w14:paraId="551682F5" w14:textId="3E2689EF" w:rsidR="007F284C" w:rsidRDefault="007F284C" w:rsidP="007F284C">
            <w:r>
              <w:t>5100-5850 MHz</w:t>
            </w:r>
          </w:p>
        </w:tc>
        <w:tc>
          <w:tcPr>
            <w:tcW w:w="1077" w:type="dxa"/>
          </w:tcPr>
          <w:p w14:paraId="5BAAE01F" w14:textId="213563C1" w:rsidR="007F284C" w:rsidRDefault="007F284C" w:rsidP="007F284C"/>
        </w:tc>
        <w:tc>
          <w:tcPr>
            <w:tcW w:w="3063" w:type="dxa"/>
          </w:tcPr>
          <w:p w14:paraId="0E934D51" w14:textId="77777777" w:rsidR="007F284C" w:rsidRDefault="007F284C" w:rsidP="007F284C">
            <w:pPr>
              <w:rPr>
                <w:rFonts w:cs="Arial"/>
                <w:color w:val="333333"/>
                <w:sz w:val="17"/>
                <w:szCs w:val="17"/>
              </w:rPr>
            </w:pPr>
            <w:proofErr w:type="spellStart"/>
            <w:r>
              <w:t>Masterwave</w:t>
            </w:r>
            <w:proofErr w:type="spellEnd"/>
            <w:r>
              <w:t xml:space="preserve"> </w:t>
            </w:r>
            <w:r>
              <w:rPr>
                <w:color w:val="333333"/>
                <w:sz w:val="17"/>
              </w:rPr>
              <w:t>98365PRSX003</w:t>
            </w:r>
          </w:p>
          <w:p w14:paraId="4564ED69" w14:textId="4409C94F" w:rsidR="007F284C" w:rsidRDefault="007F284C" w:rsidP="007F284C">
            <w:r>
              <w:rPr>
                <w:color w:val="333333"/>
                <w:sz w:val="17"/>
              </w:rPr>
              <w:t>98365PRSX004</w:t>
            </w:r>
          </w:p>
        </w:tc>
      </w:tr>
      <w:tr w:rsidR="00CF0E11" w14:paraId="5CEF4F49" w14:textId="77777777" w:rsidTr="00260503">
        <w:tc>
          <w:tcPr>
            <w:tcW w:w="2065" w:type="dxa"/>
          </w:tcPr>
          <w:p w14:paraId="07ACEB69" w14:textId="33EC11AE" w:rsidR="00D76DE3" w:rsidRDefault="00D76DE3" w:rsidP="00D76DE3">
            <w:r>
              <w:t>XR450, XR500</w:t>
            </w:r>
          </w:p>
        </w:tc>
        <w:tc>
          <w:tcPr>
            <w:tcW w:w="3690" w:type="dxa"/>
          </w:tcPr>
          <w:p w14:paraId="24DE65DD" w14:textId="77777777" w:rsidR="00180FB9" w:rsidRDefault="00180FB9" w:rsidP="00180FB9">
            <w:r>
              <w:t>2400-2500 MHz</w:t>
            </w:r>
          </w:p>
          <w:p w14:paraId="0FCFBDD7" w14:textId="02F68277" w:rsidR="00D76DE3" w:rsidRDefault="00180FB9" w:rsidP="00180FB9">
            <w:r>
              <w:t>5100-5850 MHz</w:t>
            </w:r>
          </w:p>
        </w:tc>
        <w:tc>
          <w:tcPr>
            <w:tcW w:w="1077" w:type="dxa"/>
          </w:tcPr>
          <w:p w14:paraId="2FB29867" w14:textId="1840A74D" w:rsidR="00F409B7" w:rsidRDefault="00F409B7" w:rsidP="00F409B7"/>
        </w:tc>
        <w:tc>
          <w:tcPr>
            <w:tcW w:w="3063" w:type="dxa"/>
          </w:tcPr>
          <w:p w14:paraId="4DBDCED2" w14:textId="77777777" w:rsidR="00D76DE3" w:rsidRDefault="00F409B7" w:rsidP="00D76DE3">
            <w:pPr>
              <w:rPr>
                <w:rFonts w:cs="Arial"/>
                <w:color w:val="333333"/>
                <w:sz w:val="17"/>
                <w:szCs w:val="17"/>
              </w:rPr>
            </w:pPr>
            <w:proofErr w:type="spellStart"/>
            <w:r>
              <w:t>Masterwave</w:t>
            </w:r>
            <w:proofErr w:type="spellEnd"/>
            <w:r>
              <w:t xml:space="preserve"> </w:t>
            </w:r>
            <w:r>
              <w:rPr>
                <w:color w:val="333333"/>
                <w:sz w:val="17"/>
              </w:rPr>
              <w:t>98366PRSX000</w:t>
            </w:r>
          </w:p>
          <w:p w14:paraId="21313658" w14:textId="77777777" w:rsidR="00F409B7" w:rsidRDefault="00F409B7" w:rsidP="00D76DE3">
            <w:pPr>
              <w:rPr>
                <w:rFonts w:cs="Arial"/>
                <w:color w:val="333333"/>
                <w:sz w:val="17"/>
                <w:szCs w:val="17"/>
              </w:rPr>
            </w:pPr>
            <w:r>
              <w:rPr>
                <w:color w:val="333333"/>
                <w:sz w:val="17"/>
              </w:rPr>
              <w:t>98366PRSX001</w:t>
            </w:r>
          </w:p>
          <w:p w14:paraId="718D8334" w14:textId="3F2F34FC" w:rsidR="00F409B7" w:rsidRDefault="00F409B7" w:rsidP="00D76DE3">
            <w:r>
              <w:rPr>
                <w:color w:val="333333"/>
                <w:sz w:val="17"/>
              </w:rPr>
              <w:t>98366PRSX002</w:t>
            </w:r>
          </w:p>
        </w:tc>
      </w:tr>
      <w:tr w:rsidR="00CF0E11" w14:paraId="7B0FCBB4" w14:textId="77777777" w:rsidTr="00260503">
        <w:tc>
          <w:tcPr>
            <w:tcW w:w="2065" w:type="dxa"/>
          </w:tcPr>
          <w:p w14:paraId="63C184D9" w14:textId="69B00642" w:rsidR="00180FB9" w:rsidRPr="008350C8" w:rsidRDefault="00C77FC0" w:rsidP="00180FB9">
            <w:bookmarkStart w:id="12" w:name="_Hlk37158303"/>
            <w:r>
              <w:t>RAX42, RAX43, RAX45, RAX48</w:t>
            </w:r>
          </w:p>
        </w:tc>
        <w:tc>
          <w:tcPr>
            <w:tcW w:w="3690" w:type="dxa"/>
          </w:tcPr>
          <w:p w14:paraId="55BD8E1D" w14:textId="77777777" w:rsidR="00180FB9" w:rsidRPr="008350C8" w:rsidRDefault="00180FB9" w:rsidP="00180FB9">
            <w:r>
              <w:t>2400-2500 MHz</w:t>
            </w:r>
          </w:p>
          <w:p w14:paraId="1212772A" w14:textId="6401CB98" w:rsidR="00180FB9" w:rsidRPr="008350C8" w:rsidRDefault="00180FB9" w:rsidP="00180FB9">
            <w:r>
              <w:t>5100-5850 MHz</w:t>
            </w:r>
          </w:p>
        </w:tc>
        <w:tc>
          <w:tcPr>
            <w:tcW w:w="1077" w:type="dxa"/>
          </w:tcPr>
          <w:p w14:paraId="6972432C" w14:textId="035EF3B1" w:rsidR="00180FB9" w:rsidRPr="008350C8" w:rsidRDefault="00180FB9" w:rsidP="00180FB9"/>
        </w:tc>
        <w:tc>
          <w:tcPr>
            <w:tcW w:w="3063" w:type="dxa"/>
          </w:tcPr>
          <w:p w14:paraId="0E750BF9" w14:textId="098038E4" w:rsidR="00180FB9" w:rsidRPr="008350C8" w:rsidRDefault="00180FB9" w:rsidP="00180FB9">
            <w:pPr>
              <w:rPr>
                <w:rFonts w:cs="Arial"/>
                <w:color w:val="333333"/>
                <w:sz w:val="17"/>
                <w:szCs w:val="17"/>
              </w:rPr>
            </w:pPr>
            <w:proofErr w:type="spellStart"/>
            <w:r>
              <w:t>Masterwave</w:t>
            </w:r>
            <w:proofErr w:type="spellEnd"/>
            <w:r>
              <w:t xml:space="preserve"> </w:t>
            </w:r>
            <w:r>
              <w:rPr>
                <w:color w:val="333333"/>
                <w:sz w:val="17"/>
              </w:rPr>
              <w:t>98369PRSX000,</w:t>
            </w:r>
          </w:p>
          <w:p w14:paraId="5F87E2AC" w14:textId="035FDF9B" w:rsidR="00180FB9" w:rsidRPr="008350C8" w:rsidRDefault="00180FB9" w:rsidP="00180FB9">
            <w:r>
              <w:rPr>
                <w:color w:val="333333"/>
                <w:sz w:val="17"/>
              </w:rPr>
              <w:t>98369URSX000, 98369PRSX001</w:t>
            </w:r>
          </w:p>
        </w:tc>
      </w:tr>
      <w:tr w:rsidR="00A03195" w14:paraId="71777BC4" w14:textId="77777777" w:rsidTr="00260503">
        <w:tc>
          <w:tcPr>
            <w:tcW w:w="2065" w:type="dxa"/>
          </w:tcPr>
          <w:p w14:paraId="71BCF967" w14:textId="1ADC6B8A" w:rsidR="00A03195" w:rsidRDefault="00A03195" w:rsidP="00A03195">
            <w:bookmarkStart w:id="13" w:name="_Hlk37144583"/>
            <w:bookmarkEnd w:id="12"/>
            <w:r>
              <w:t>RAX50, RAX50S</w:t>
            </w:r>
          </w:p>
        </w:tc>
        <w:tc>
          <w:tcPr>
            <w:tcW w:w="3690" w:type="dxa"/>
          </w:tcPr>
          <w:p w14:paraId="681CF493" w14:textId="77777777" w:rsidR="00A03195" w:rsidRPr="008350C8" w:rsidRDefault="00A03195" w:rsidP="00A03195">
            <w:r>
              <w:t>2400-2500 MHz</w:t>
            </w:r>
          </w:p>
          <w:p w14:paraId="79B8E751" w14:textId="39DF992C" w:rsidR="00A03195" w:rsidRDefault="00A03195" w:rsidP="00A03195">
            <w:r>
              <w:t>5100-5850 MHz</w:t>
            </w:r>
          </w:p>
        </w:tc>
        <w:tc>
          <w:tcPr>
            <w:tcW w:w="1077" w:type="dxa"/>
          </w:tcPr>
          <w:p w14:paraId="458EF4DA" w14:textId="77777777" w:rsidR="00A03195" w:rsidRDefault="00A03195" w:rsidP="00A03195"/>
        </w:tc>
        <w:tc>
          <w:tcPr>
            <w:tcW w:w="3063" w:type="dxa"/>
          </w:tcPr>
          <w:p w14:paraId="52040ACB" w14:textId="77777777" w:rsidR="00A03195" w:rsidRPr="008350C8" w:rsidRDefault="00A03195" w:rsidP="00A03195">
            <w:pPr>
              <w:rPr>
                <w:rFonts w:cs="Arial"/>
                <w:color w:val="333333"/>
                <w:sz w:val="17"/>
                <w:szCs w:val="17"/>
              </w:rPr>
            </w:pPr>
            <w:proofErr w:type="spellStart"/>
            <w:r>
              <w:t>Masterwave</w:t>
            </w:r>
            <w:proofErr w:type="spellEnd"/>
            <w:r>
              <w:t xml:space="preserve"> </w:t>
            </w:r>
            <w:r>
              <w:rPr>
                <w:color w:val="333333"/>
                <w:sz w:val="17"/>
              </w:rPr>
              <w:t>98369PRSX000,</w:t>
            </w:r>
          </w:p>
          <w:p w14:paraId="185434BA" w14:textId="001EF779" w:rsidR="00A03195" w:rsidRDefault="00A03195" w:rsidP="00A03195">
            <w:r>
              <w:rPr>
                <w:color w:val="333333"/>
                <w:sz w:val="17"/>
              </w:rPr>
              <w:t>98369URSX000, 98369PRSX001</w:t>
            </w:r>
          </w:p>
        </w:tc>
      </w:tr>
      <w:tr w:rsidR="00A03195" w14:paraId="6F00C26C" w14:textId="77777777" w:rsidTr="00260503">
        <w:tc>
          <w:tcPr>
            <w:tcW w:w="2065" w:type="dxa"/>
          </w:tcPr>
          <w:p w14:paraId="0FD3F0E3" w14:textId="77777777" w:rsidR="00A03195" w:rsidRDefault="00A03195" w:rsidP="00A03195"/>
        </w:tc>
        <w:tc>
          <w:tcPr>
            <w:tcW w:w="3690" w:type="dxa"/>
            <w:tcBorders>
              <w:bottom w:val="single" w:sz="4" w:space="0" w:color="auto"/>
            </w:tcBorders>
          </w:tcPr>
          <w:p w14:paraId="50CCF07B" w14:textId="77777777" w:rsidR="00A03195" w:rsidRDefault="00A03195" w:rsidP="00A03195"/>
        </w:tc>
        <w:tc>
          <w:tcPr>
            <w:tcW w:w="1077" w:type="dxa"/>
            <w:tcBorders>
              <w:bottom w:val="single" w:sz="4" w:space="0" w:color="auto"/>
            </w:tcBorders>
          </w:tcPr>
          <w:p w14:paraId="61328B7A" w14:textId="77777777" w:rsidR="00A03195" w:rsidRDefault="00A03195" w:rsidP="00A03195"/>
        </w:tc>
        <w:tc>
          <w:tcPr>
            <w:tcW w:w="3063" w:type="dxa"/>
          </w:tcPr>
          <w:p w14:paraId="6B1DBDA1" w14:textId="77777777" w:rsidR="00A03195" w:rsidRDefault="00A03195" w:rsidP="00A03195"/>
        </w:tc>
      </w:tr>
      <w:bookmarkEnd w:id="13"/>
      <w:tr w:rsidR="00F550FF" w14:paraId="61D0DDBA" w14:textId="77777777" w:rsidTr="00260503">
        <w:tc>
          <w:tcPr>
            <w:tcW w:w="2065" w:type="dxa"/>
          </w:tcPr>
          <w:p w14:paraId="4C92035B" w14:textId="34B2B18C" w:rsidR="00F550FF" w:rsidRDefault="00F550FF" w:rsidP="00F550FF">
            <w:r>
              <w:t>MR1100, MR2100</w:t>
            </w:r>
          </w:p>
        </w:tc>
        <w:tc>
          <w:tcPr>
            <w:tcW w:w="3690" w:type="dxa"/>
            <w:tcBorders>
              <w:bottom w:val="nil"/>
            </w:tcBorders>
          </w:tcPr>
          <w:p w14:paraId="7E45B5C0" w14:textId="4DABE2AF" w:rsidR="00F550FF" w:rsidRDefault="00F550FF" w:rsidP="00F550FF">
            <w:r>
              <w:t>2,4 y 5 GHz</w:t>
            </w:r>
          </w:p>
          <w:p w14:paraId="1897A522" w14:textId="535A848E" w:rsidR="00F550FF" w:rsidRDefault="00F550FF" w:rsidP="00F550FF">
            <w:r>
              <w:t>Bandas WCDMA y LTE</w:t>
            </w:r>
          </w:p>
        </w:tc>
        <w:tc>
          <w:tcPr>
            <w:tcW w:w="1077" w:type="dxa"/>
            <w:tcBorders>
              <w:bottom w:val="nil"/>
            </w:tcBorders>
          </w:tcPr>
          <w:p w14:paraId="0CA6D27C" w14:textId="1A50671E" w:rsidR="00F550FF" w:rsidRDefault="00F550FF" w:rsidP="00F550FF">
            <w:r>
              <w:t>internas</w:t>
            </w:r>
          </w:p>
        </w:tc>
        <w:tc>
          <w:tcPr>
            <w:tcW w:w="3063" w:type="dxa"/>
          </w:tcPr>
          <w:p w14:paraId="7487F82D" w14:textId="199625D1" w:rsidR="00F550FF" w:rsidRDefault="00F550FF" w:rsidP="00F550FF">
            <w:r>
              <w:t>Internas</w:t>
            </w:r>
          </w:p>
          <w:p w14:paraId="76E59D4F" w14:textId="5BC43F9D" w:rsidR="00F550FF" w:rsidRDefault="00F550FF" w:rsidP="00F550FF">
            <w:r>
              <w:t xml:space="preserve">Internas o </w:t>
            </w:r>
            <w:proofErr w:type="spellStart"/>
            <w:r>
              <w:t>Netgear</w:t>
            </w:r>
            <w:proofErr w:type="spellEnd"/>
            <w:r>
              <w:t xml:space="preserve"> 6000451</w:t>
            </w:r>
          </w:p>
        </w:tc>
      </w:tr>
      <w:tr w:rsidR="00F550FF" w14:paraId="1B8387CE" w14:textId="77777777" w:rsidTr="00260503">
        <w:tc>
          <w:tcPr>
            <w:tcW w:w="2065" w:type="dxa"/>
          </w:tcPr>
          <w:p w14:paraId="6FFB371A" w14:textId="3377DC85" w:rsidR="00F550FF" w:rsidRDefault="00F550FF" w:rsidP="00F550FF">
            <w:r>
              <w:t>XR1000</w:t>
            </w:r>
          </w:p>
        </w:tc>
        <w:tc>
          <w:tcPr>
            <w:tcW w:w="3690" w:type="dxa"/>
          </w:tcPr>
          <w:p w14:paraId="247BFE48" w14:textId="77777777" w:rsidR="00F550FF" w:rsidRPr="008350C8" w:rsidRDefault="00F550FF" w:rsidP="00F550FF">
            <w:r>
              <w:t>2400-2500 MHz</w:t>
            </w:r>
          </w:p>
          <w:p w14:paraId="137DC501" w14:textId="43D6DCCF" w:rsidR="00F550FF" w:rsidRDefault="00F550FF" w:rsidP="00F550FF">
            <w:r>
              <w:t>5100-5850 MHz</w:t>
            </w:r>
          </w:p>
        </w:tc>
        <w:tc>
          <w:tcPr>
            <w:tcW w:w="1077" w:type="dxa"/>
          </w:tcPr>
          <w:p w14:paraId="5AFB61D9" w14:textId="77777777" w:rsidR="00F550FF" w:rsidRDefault="00F550FF" w:rsidP="00F550FF"/>
        </w:tc>
        <w:tc>
          <w:tcPr>
            <w:tcW w:w="3063" w:type="dxa"/>
          </w:tcPr>
          <w:p w14:paraId="78E59B4B" w14:textId="3367D605" w:rsidR="00F550FF" w:rsidRDefault="00F550FF" w:rsidP="00F550FF">
            <w:proofErr w:type="spellStart"/>
            <w:r>
              <w:t>Netgear</w:t>
            </w:r>
            <w:proofErr w:type="spellEnd"/>
            <w:r>
              <w:t xml:space="preserve"> 400-10088-01, 400-10090-01, 400-10094-01</w:t>
            </w:r>
          </w:p>
        </w:tc>
      </w:tr>
      <w:tr w:rsidR="00F550FF" w14:paraId="185012CB" w14:textId="77777777" w:rsidTr="00260503">
        <w:tc>
          <w:tcPr>
            <w:tcW w:w="2065" w:type="dxa"/>
          </w:tcPr>
          <w:p w14:paraId="1FFDB18B" w14:textId="65869F44" w:rsidR="00F550FF" w:rsidRDefault="00F550FF" w:rsidP="00F550FF">
            <w:r>
              <w:t>MR5100/MR5200</w:t>
            </w:r>
          </w:p>
        </w:tc>
        <w:tc>
          <w:tcPr>
            <w:tcW w:w="3690" w:type="dxa"/>
          </w:tcPr>
          <w:p w14:paraId="20886D8B" w14:textId="7EDC5B0B" w:rsidR="00F550FF" w:rsidRDefault="00F550FF" w:rsidP="00F550FF">
            <w:r>
              <w:t>2,4 y 5 GHz</w:t>
            </w:r>
          </w:p>
          <w:p w14:paraId="46AB1800" w14:textId="57586108" w:rsidR="00F550FF" w:rsidRDefault="00F550FF" w:rsidP="00F550FF">
            <w:r>
              <w:t>Bandas WCDMA, LTE y 5G:</w:t>
            </w:r>
          </w:p>
          <w:p w14:paraId="7F3E1DA8" w14:textId="3B8D14A1" w:rsidR="00F550FF" w:rsidRDefault="00F550FF" w:rsidP="00F550FF">
            <w:r>
              <w:t>B2, B4, B25, B66</w:t>
            </w:r>
          </w:p>
          <w:p w14:paraId="616E4C01" w14:textId="3FB00F82" w:rsidR="00F550FF" w:rsidRDefault="00F550FF" w:rsidP="00F550FF">
            <w:r>
              <w:t>B5, B12, B13, B17, B71</w:t>
            </w:r>
          </w:p>
          <w:p w14:paraId="6290F4D1" w14:textId="5A799F20" w:rsidR="00F550FF" w:rsidRDefault="00F550FF" w:rsidP="00F550FF">
            <w:r>
              <w:t>B7, B30, B38, B41</w:t>
            </w:r>
          </w:p>
        </w:tc>
        <w:tc>
          <w:tcPr>
            <w:tcW w:w="1077" w:type="dxa"/>
          </w:tcPr>
          <w:p w14:paraId="2FD16934" w14:textId="5500417B" w:rsidR="00F550FF" w:rsidRDefault="00F550FF" w:rsidP="00F550FF">
            <w:r>
              <w:t>Internas.</w:t>
            </w:r>
          </w:p>
          <w:p w14:paraId="503B82E0" w14:textId="77777777" w:rsidR="00F550FF" w:rsidRDefault="00F550FF" w:rsidP="00F550FF"/>
          <w:p w14:paraId="2C1E238F" w14:textId="77777777" w:rsidR="00F550FF" w:rsidRDefault="00F550FF" w:rsidP="00F550FF">
            <w:r>
              <w:t>-.48, 0,25</w:t>
            </w:r>
          </w:p>
          <w:p w14:paraId="57C35AA2" w14:textId="77777777" w:rsidR="00F550FF" w:rsidRDefault="00F550FF" w:rsidP="00F550FF">
            <w:r>
              <w:t>0,54, 0,48</w:t>
            </w:r>
          </w:p>
          <w:p w14:paraId="6E0CCF2A" w14:textId="06DA8444" w:rsidR="00F550FF" w:rsidRDefault="00F550FF" w:rsidP="00F550FF">
            <w:r>
              <w:t>0,24, 0,28</w:t>
            </w:r>
          </w:p>
        </w:tc>
        <w:tc>
          <w:tcPr>
            <w:tcW w:w="3063" w:type="dxa"/>
          </w:tcPr>
          <w:p w14:paraId="524D8B7D" w14:textId="77777777" w:rsidR="00F550FF" w:rsidRDefault="00F550FF" w:rsidP="00F550FF"/>
          <w:p w14:paraId="7C7464E8" w14:textId="03B46FB1" w:rsidR="00F550FF" w:rsidRDefault="00F550FF" w:rsidP="00F550FF">
            <w:r>
              <w:t>Internas</w:t>
            </w:r>
          </w:p>
        </w:tc>
      </w:tr>
      <w:tr w:rsidR="00F550FF" w14:paraId="5A0AC148" w14:textId="77777777" w:rsidTr="00260503">
        <w:tc>
          <w:tcPr>
            <w:tcW w:w="2065" w:type="dxa"/>
          </w:tcPr>
          <w:p w14:paraId="52EDA89F" w14:textId="456C39C4" w:rsidR="00F550FF" w:rsidRDefault="00F550FF" w:rsidP="00F550FF">
            <w:r>
              <w:t>LAX20</w:t>
            </w:r>
          </w:p>
        </w:tc>
        <w:tc>
          <w:tcPr>
            <w:tcW w:w="3690" w:type="dxa"/>
          </w:tcPr>
          <w:p w14:paraId="058B696D" w14:textId="77777777" w:rsidR="00F550FF" w:rsidRDefault="00F550FF" w:rsidP="00F550FF">
            <w:r>
              <w:t>2400-2500 MHz</w:t>
            </w:r>
          </w:p>
          <w:p w14:paraId="484DC322" w14:textId="77777777" w:rsidR="00F550FF" w:rsidRDefault="00F550FF" w:rsidP="00F550FF">
            <w:r>
              <w:t>5100-5850 MHz</w:t>
            </w:r>
          </w:p>
          <w:p w14:paraId="026AC26B" w14:textId="3D936805" w:rsidR="00F550FF" w:rsidRDefault="00F550FF" w:rsidP="00F550FF">
            <w:r>
              <w:t>Bandas WCDMA y LTE</w:t>
            </w:r>
          </w:p>
        </w:tc>
        <w:tc>
          <w:tcPr>
            <w:tcW w:w="1077" w:type="dxa"/>
          </w:tcPr>
          <w:p w14:paraId="54B13080" w14:textId="77777777" w:rsidR="00F550FF" w:rsidRDefault="00F550FF" w:rsidP="00F550FF"/>
        </w:tc>
        <w:tc>
          <w:tcPr>
            <w:tcW w:w="3063" w:type="dxa"/>
          </w:tcPr>
          <w:p w14:paraId="6CF25812" w14:textId="77777777" w:rsidR="00F550FF" w:rsidRDefault="00F550FF" w:rsidP="00F550FF">
            <w:proofErr w:type="spellStart"/>
            <w:r>
              <w:t>Netgear</w:t>
            </w:r>
            <w:proofErr w:type="spellEnd"/>
            <w:r>
              <w:t xml:space="preserve"> 400-10092-01</w:t>
            </w:r>
          </w:p>
          <w:p w14:paraId="31DC4D9B" w14:textId="77777777" w:rsidR="00F550FF" w:rsidRDefault="00F550FF" w:rsidP="00F550FF">
            <w:proofErr w:type="spellStart"/>
            <w:r>
              <w:t>Netgear</w:t>
            </w:r>
            <w:proofErr w:type="spellEnd"/>
            <w:r>
              <w:t xml:space="preserve"> 400-10092-01</w:t>
            </w:r>
          </w:p>
          <w:p w14:paraId="2C9E9018" w14:textId="295DFB24" w:rsidR="00F550FF" w:rsidRDefault="00F550FF" w:rsidP="00F550FF">
            <w:r>
              <w:t>Internas</w:t>
            </w:r>
          </w:p>
        </w:tc>
      </w:tr>
      <w:tr w:rsidR="00F550FF" w14:paraId="5D9AA5FB" w14:textId="77777777" w:rsidTr="00260503">
        <w:tc>
          <w:tcPr>
            <w:tcW w:w="2065" w:type="dxa"/>
          </w:tcPr>
          <w:p w14:paraId="69A5DBD1" w14:textId="2370EC96" w:rsidR="00F550FF" w:rsidRDefault="00F550FF" w:rsidP="00F550FF">
            <w:r>
              <w:t>LM1200</w:t>
            </w:r>
          </w:p>
        </w:tc>
        <w:tc>
          <w:tcPr>
            <w:tcW w:w="3690" w:type="dxa"/>
          </w:tcPr>
          <w:p w14:paraId="1CAE7747" w14:textId="77777777" w:rsidR="00F550FF" w:rsidRDefault="00F550FF" w:rsidP="00F550FF">
            <w:r>
              <w:t>600 MHz</w:t>
            </w:r>
          </w:p>
          <w:p w14:paraId="288BAC77" w14:textId="77777777" w:rsidR="00F550FF" w:rsidRDefault="00F550FF" w:rsidP="00F550FF">
            <w:r>
              <w:t>700 MHz</w:t>
            </w:r>
          </w:p>
          <w:p w14:paraId="08751F5D" w14:textId="77777777" w:rsidR="00F550FF" w:rsidRDefault="00F550FF" w:rsidP="00F550FF">
            <w:r>
              <w:t>800 MHz</w:t>
            </w:r>
          </w:p>
          <w:p w14:paraId="07ED480D" w14:textId="77777777" w:rsidR="00F550FF" w:rsidRDefault="00F550FF" w:rsidP="00F550FF">
            <w:r>
              <w:t>1700 MHz</w:t>
            </w:r>
          </w:p>
          <w:p w14:paraId="1AEEDA03" w14:textId="625FD847" w:rsidR="00F550FF" w:rsidRDefault="00F550FF" w:rsidP="00F550FF">
            <w:r>
              <w:t>1800 MHz</w:t>
            </w:r>
          </w:p>
        </w:tc>
        <w:tc>
          <w:tcPr>
            <w:tcW w:w="1077" w:type="dxa"/>
          </w:tcPr>
          <w:p w14:paraId="6B29F60A" w14:textId="77777777" w:rsidR="00F550FF" w:rsidRDefault="00F550FF" w:rsidP="00F550FF">
            <w:r>
              <w:t>8,55</w:t>
            </w:r>
          </w:p>
          <w:p w14:paraId="065E3C7A" w14:textId="77777777" w:rsidR="00F550FF" w:rsidRDefault="00F550FF" w:rsidP="00F550FF">
            <w:r>
              <w:t>8,73</w:t>
            </w:r>
          </w:p>
          <w:p w14:paraId="162D4B54" w14:textId="77777777" w:rsidR="00F550FF" w:rsidRDefault="00F550FF" w:rsidP="00F550FF">
            <w:r>
              <w:t>9,42</w:t>
            </w:r>
          </w:p>
          <w:p w14:paraId="5BDD6AB7" w14:textId="77777777" w:rsidR="00F550FF" w:rsidRDefault="00F550FF" w:rsidP="00F550FF">
            <w:r>
              <w:t>5</w:t>
            </w:r>
          </w:p>
          <w:p w14:paraId="582E6CF2" w14:textId="5853CFF6" w:rsidR="00F550FF" w:rsidRDefault="00F550FF" w:rsidP="00F550FF">
            <w:r>
              <w:t>8</w:t>
            </w:r>
          </w:p>
        </w:tc>
        <w:tc>
          <w:tcPr>
            <w:tcW w:w="3063" w:type="dxa"/>
          </w:tcPr>
          <w:p w14:paraId="0816612D" w14:textId="77777777" w:rsidR="00F550FF" w:rsidRDefault="00F550FF" w:rsidP="00F550FF"/>
        </w:tc>
      </w:tr>
      <w:tr w:rsidR="00F550FF" w14:paraId="68230531" w14:textId="77777777" w:rsidTr="00260503">
        <w:tc>
          <w:tcPr>
            <w:tcW w:w="2065" w:type="dxa"/>
          </w:tcPr>
          <w:p w14:paraId="6907F81F" w14:textId="6DCE3C61" w:rsidR="00F550FF" w:rsidRDefault="00F550FF" w:rsidP="00F550FF">
            <w:r>
              <w:t>NBR750</w:t>
            </w:r>
          </w:p>
        </w:tc>
        <w:tc>
          <w:tcPr>
            <w:tcW w:w="3690" w:type="dxa"/>
          </w:tcPr>
          <w:p w14:paraId="6FE32294" w14:textId="77777777" w:rsidR="00F550FF" w:rsidRDefault="00F550FF" w:rsidP="00F550FF">
            <w:r>
              <w:t>2,4 y 5 GHz</w:t>
            </w:r>
          </w:p>
          <w:p w14:paraId="6CED2B56" w14:textId="4D4CA644" w:rsidR="00F550FF" w:rsidRDefault="00F550FF" w:rsidP="00F550FF">
            <w:r>
              <w:t>Bandas WCDMA, LTE y 5G:</w:t>
            </w:r>
          </w:p>
          <w:p w14:paraId="1673B4CF" w14:textId="43888582" w:rsidR="00F550FF" w:rsidRDefault="00F550FF" w:rsidP="00F550FF">
            <w:r>
              <w:t>663-849</w:t>
            </w:r>
          </w:p>
          <w:p w14:paraId="298F741A" w14:textId="55653280" w:rsidR="00F550FF" w:rsidRDefault="00F550FF" w:rsidP="00F550FF">
            <w:r>
              <w:t>1710-1915</w:t>
            </w:r>
          </w:p>
          <w:p w14:paraId="71C6AB1B" w14:textId="7BC541AB" w:rsidR="00F550FF" w:rsidRDefault="00F550FF" w:rsidP="00F550FF">
            <w:r>
              <w:t>2305-3700</w:t>
            </w:r>
          </w:p>
        </w:tc>
        <w:tc>
          <w:tcPr>
            <w:tcW w:w="1077" w:type="dxa"/>
          </w:tcPr>
          <w:p w14:paraId="01118EA7" w14:textId="34A754E7" w:rsidR="00F550FF" w:rsidRDefault="00F550FF" w:rsidP="00F550FF">
            <w:r>
              <w:t>Internas</w:t>
            </w:r>
          </w:p>
          <w:p w14:paraId="509126A6" w14:textId="77777777" w:rsidR="00F550FF" w:rsidRDefault="00F550FF" w:rsidP="00F550FF"/>
          <w:p w14:paraId="63E48ED5" w14:textId="77777777" w:rsidR="00F550FF" w:rsidRDefault="00F550FF" w:rsidP="00F550FF">
            <w:r>
              <w:t>-2,8</w:t>
            </w:r>
          </w:p>
          <w:p w14:paraId="2E1E1BD4" w14:textId="70E387FB" w:rsidR="00F550FF" w:rsidRDefault="00F550FF" w:rsidP="00F550FF">
            <w:r>
              <w:t>-4,0</w:t>
            </w:r>
          </w:p>
          <w:p w14:paraId="6D9F0F96" w14:textId="38B00166" w:rsidR="00F550FF" w:rsidRDefault="00F550FF" w:rsidP="00F550FF">
            <w:r>
              <w:t>-4,53</w:t>
            </w:r>
          </w:p>
        </w:tc>
        <w:tc>
          <w:tcPr>
            <w:tcW w:w="3063" w:type="dxa"/>
          </w:tcPr>
          <w:p w14:paraId="4955D0F4" w14:textId="77777777" w:rsidR="00F550FF" w:rsidRDefault="00F550FF" w:rsidP="00F550FF"/>
          <w:p w14:paraId="0A25D32C" w14:textId="7C3E0351" w:rsidR="00F550FF" w:rsidRDefault="00F550FF" w:rsidP="00F550FF">
            <w:r>
              <w:t>Internas</w:t>
            </w:r>
          </w:p>
        </w:tc>
      </w:tr>
      <w:tr w:rsidR="00F550FF" w14:paraId="4985B816" w14:textId="77777777" w:rsidTr="00260503">
        <w:tc>
          <w:tcPr>
            <w:tcW w:w="2065" w:type="dxa"/>
          </w:tcPr>
          <w:p w14:paraId="2C3F6DC9" w14:textId="1FA595D6" w:rsidR="00F550FF" w:rsidRDefault="00F550FF" w:rsidP="00F550FF">
            <w:r>
              <w:t>LBR20</w:t>
            </w:r>
          </w:p>
        </w:tc>
        <w:tc>
          <w:tcPr>
            <w:tcW w:w="3690" w:type="dxa"/>
          </w:tcPr>
          <w:p w14:paraId="39EAF38D" w14:textId="77777777" w:rsidR="00F550FF" w:rsidRDefault="00F550FF" w:rsidP="00F550FF">
            <w:r>
              <w:t>2,4 y 5 GHz</w:t>
            </w:r>
          </w:p>
          <w:p w14:paraId="1863814D" w14:textId="058E2C69" w:rsidR="00F550FF" w:rsidRDefault="00F550FF" w:rsidP="00F550FF">
            <w:r>
              <w:t>Bandas WCDMA y LTE</w:t>
            </w:r>
          </w:p>
        </w:tc>
        <w:tc>
          <w:tcPr>
            <w:tcW w:w="1077" w:type="dxa"/>
          </w:tcPr>
          <w:p w14:paraId="3C64332D" w14:textId="3A4A76DC" w:rsidR="00F550FF" w:rsidRDefault="00F550FF" w:rsidP="00F550FF">
            <w:r>
              <w:t>internas</w:t>
            </w:r>
          </w:p>
        </w:tc>
        <w:tc>
          <w:tcPr>
            <w:tcW w:w="3063" w:type="dxa"/>
          </w:tcPr>
          <w:p w14:paraId="55BEB109" w14:textId="77777777" w:rsidR="00F550FF" w:rsidRDefault="00F550FF" w:rsidP="00F550FF">
            <w:r>
              <w:t>Internas</w:t>
            </w:r>
          </w:p>
          <w:p w14:paraId="6B0C14C5" w14:textId="0F9A7B51" w:rsidR="00F550FF" w:rsidRDefault="00F550FF" w:rsidP="00F550FF">
            <w:r>
              <w:t xml:space="preserve">Internas o </w:t>
            </w:r>
            <w:proofErr w:type="spellStart"/>
            <w:r>
              <w:t>Netgear</w:t>
            </w:r>
            <w:proofErr w:type="spellEnd"/>
            <w:r>
              <w:t xml:space="preserve"> 6000451</w:t>
            </w:r>
          </w:p>
        </w:tc>
      </w:tr>
      <w:tr w:rsidR="00260503" w14:paraId="66586DFF" w14:textId="77777777" w:rsidTr="00260503">
        <w:tc>
          <w:tcPr>
            <w:tcW w:w="2065" w:type="dxa"/>
          </w:tcPr>
          <w:p w14:paraId="355D9A58" w14:textId="4E61DDC9" w:rsidR="00260503" w:rsidRPr="00E63B27" w:rsidRDefault="00260503" w:rsidP="00260503">
            <w:pPr>
              <w:rPr>
                <w:color w:val="FF0000"/>
              </w:rPr>
            </w:pPr>
            <w:bookmarkStart w:id="14" w:name="_Hlk106972905"/>
            <w:r>
              <w:rPr>
                <w:color w:val="FF0000"/>
              </w:rPr>
              <w:t>MR61XX, MR64XX, MR65XX</w:t>
            </w:r>
          </w:p>
        </w:tc>
        <w:tc>
          <w:tcPr>
            <w:tcW w:w="3690" w:type="dxa"/>
          </w:tcPr>
          <w:p w14:paraId="4F478A8F" w14:textId="087FA31B" w:rsidR="00260503" w:rsidRDefault="00260503" w:rsidP="00260503">
            <w:r>
              <w:t>2,4 GHz, 5 GHz, 6 GHz</w:t>
            </w:r>
          </w:p>
          <w:p w14:paraId="069B7BC6" w14:textId="3B970B1C" w:rsidR="00260503" w:rsidRDefault="00260503" w:rsidP="00260503">
            <w:r>
              <w:t>Bandas WCDMA, LTE y 5G:</w:t>
            </w:r>
          </w:p>
          <w:p w14:paraId="625A9F6D" w14:textId="7D7D8EAF" w:rsidR="0034553B" w:rsidRDefault="0034553B" w:rsidP="00260503">
            <w:r>
              <w:t>B30 (2305-2312,5 MHz)</w:t>
            </w:r>
          </w:p>
          <w:p w14:paraId="4F7A6DC7" w14:textId="3080144B" w:rsidR="0034553B" w:rsidRDefault="0034553B" w:rsidP="00260503">
            <w:r>
              <w:t>B48 (3552,5-3697,5 MHz)</w:t>
            </w:r>
          </w:p>
          <w:p w14:paraId="7F755109" w14:textId="056A1190" w:rsidR="0034553B" w:rsidRDefault="0034553B" w:rsidP="00260503">
            <w:r>
              <w:t>Todas las demás bandas LTE y 5G</w:t>
            </w:r>
          </w:p>
          <w:p w14:paraId="62F6EFBE" w14:textId="6089CDA5" w:rsidR="00620D32" w:rsidRDefault="00620D32" w:rsidP="00260503"/>
        </w:tc>
        <w:tc>
          <w:tcPr>
            <w:tcW w:w="1077" w:type="dxa"/>
          </w:tcPr>
          <w:p w14:paraId="51CFDB2C" w14:textId="77777777" w:rsidR="00260503" w:rsidRDefault="00260503" w:rsidP="00260503">
            <w:r>
              <w:t>Internas.</w:t>
            </w:r>
          </w:p>
          <w:p w14:paraId="2E17F68F" w14:textId="2B05662F" w:rsidR="00260503" w:rsidRDefault="00AC1FC9" w:rsidP="00260503">
            <w:r>
              <w:t>Ant1, Ant2</w:t>
            </w:r>
          </w:p>
          <w:p w14:paraId="48CCB446" w14:textId="3CBAA69D" w:rsidR="0034553B" w:rsidRDefault="00AC1FC9" w:rsidP="00260503">
            <w:r>
              <w:t xml:space="preserve">   1,05</w:t>
            </w:r>
          </w:p>
          <w:p w14:paraId="7EBA3C01" w14:textId="6010F207" w:rsidR="0034553B" w:rsidRDefault="009C2166" w:rsidP="00260503">
            <w:r>
              <w:t>0,17, 0,47</w:t>
            </w:r>
          </w:p>
          <w:p w14:paraId="1FE001FF" w14:textId="19195216" w:rsidR="002B58BB" w:rsidRDefault="00AC1FC9" w:rsidP="00260503">
            <w:r>
              <w:t xml:space="preserve">   4, 4</w:t>
            </w:r>
          </w:p>
          <w:p w14:paraId="36583AB2" w14:textId="0A474958" w:rsidR="00F21D50" w:rsidRDefault="00F21D50"/>
        </w:tc>
        <w:tc>
          <w:tcPr>
            <w:tcW w:w="3063" w:type="dxa"/>
          </w:tcPr>
          <w:p w14:paraId="2A0E9E7C" w14:textId="77777777" w:rsidR="00260503" w:rsidRDefault="00260503" w:rsidP="00260503"/>
          <w:p w14:paraId="71D07D00" w14:textId="0DE2BE09" w:rsidR="00260503" w:rsidRDefault="00260503" w:rsidP="00260503">
            <w:r>
              <w:t>Internas</w:t>
            </w:r>
          </w:p>
        </w:tc>
      </w:tr>
      <w:tr w:rsidR="00260503" w14:paraId="354C974B" w14:textId="77777777" w:rsidTr="00260503">
        <w:tc>
          <w:tcPr>
            <w:tcW w:w="2065" w:type="dxa"/>
          </w:tcPr>
          <w:p w14:paraId="60011B86" w14:textId="57105735" w:rsidR="00260503" w:rsidRPr="00E63B27" w:rsidRDefault="00260503" w:rsidP="00F550FF">
            <w:pPr>
              <w:rPr>
                <w:color w:val="FF0000"/>
              </w:rPr>
            </w:pPr>
          </w:p>
        </w:tc>
        <w:tc>
          <w:tcPr>
            <w:tcW w:w="3690" w:type="dxa"/>
          </w:tcPr>
          <w:p w14:paraId="2589DB1E" w14:textId="66ADDCA5" w:rsidR="00315237" w:rsidRDefault="00315237" w:rsidP="00F550FF"/>
        </w:tc>
        <w:tc>
          <w:tcPr>
            <w:tcW w:w="1077" w:type="dxa"/>
          </w:tcPr>
          <w:p w14:paraId="34A7D5E8" w14:textId="0D2EDCF6" w:rsidR="00315237" w:rsidRDefault="00315237" w:rsidP="00F550FF"/>
        </w:tc>
        <w:tc>
          <w:tcPr>
            <w:tcW w:w="3063" w:type="dxa"/>
          </w:tcPr>
          <w:p w14:paraId="25C5EE1D" w14:textId="77777777" w:rsidR="00260503" w:rsidRDefault="00260503" w:rsidP="00F550FF"/>
        </w:tc>
      </w:tr>
    </w:tbl>
    <w:p w14:paraId="32307509" w14:textId="2D34DF45" w:rsidR="004E534D" w:rsidRPr="004E534D" w:rsidRDefault="00086ECA" w:rsidP="00481C42">
      <w:pPr>
        <w:pStyle w:val="Heading1"/>
      </w:pPr>
      <w:bookmarkStart w:id="15" w:name="_Toc118885927"/>
      <w:bookmarkEnd w:id="14"/>
      <w:r>
        <w:t>Requisitos normativos para el uso en Europa (Gran Bretaña, Reino Unido y UE)</w:t>
      </w:r>
      <w:bookmarkEnd w:id="15"/>
    </w:p>
    <w:p w14:paraId="0806BB9B" w14:textId="5326F58B" w:rsidR="00AC23E2" w:rsidRDefault="00AC23E2" w:rsidP="004E534D">
      <w:pPr>
        <w:spacing w:line="240" w:lineRule="auto"/>
        <w:rPr>
          <w:rFonts w:cs="Arial"/>
        </w:rPr>
      </w:pPr>
      <w:r>
        <w:t>Esta sección se aplica a los productos con la marca CE y/o la marca UKCA:</w:t>
      </w:r>
    </w:p>
    <w:p w14:paraId="0557DAEA" w14:textId="2DB31AB2" w:rsidR="00AC23E2" w:rsidRDefault="00AC23E2" w:rsidP="004E534D">
      <w:pPr>
        <w:spacing w:line="240" w:lineRule="auto"/>
        <w:rPr>
          <w:rFonts w:cs="Arial"/>
        </w:rPr>
      </w:pPr>
      <w:r>
        <w:rPr>
          <w:noProof/>
        </w:rPr>
        <w:lastRenderedPageBreak/>
        <w:drawing>
          <wp:inline distT="0" distB="0" distL="0" distR="0" wp14:anchorId="64BECF13" wp14:editId="581FB314">
            <wp:extent cx="323850" cy="222595"/>
            <wp:effectExtent l="0" t="0" r="0" b="6350"/>
            <wp:docPr id="2" name="Picture 2" descr="V:\Engineering\TechnicalPublications\4TechPubs\Templates\Manuals FM-10\Manuals_FM10_5April13\FrameSrc\Images\ImgSrc\CE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gineering\TechnicalPublications\4TechPubs\Templates\Manuals FM-10\Manuals_FM10_5April13\FrameSrc\Images\ImgSrc\CE_Ma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461" cy="227139"/>
                    </a:xfrm>
                    <a:prstGeom prst="rect">
                      <a:avLst/>
                    </a:prstGeom>
                    <a:noFill/>
                    <a:ln>
                      <a:noFill/>
                    </a:ln>
                  </pic:spPr>
                </pic:pic>
              </a:graphicData>
            </a:graphic>
          </wp:inline>
        </w:drawing>
      </w:r>
      <w:r>
        <w:t xml:space="preserve">          </w:t>
      </w:r>
      <w:r>
        <w:rPr>
          <w:noProof/>
        </w:rPr>
        <w:drawing>
          <wp:inline distT="0" distB="0" distL="0" distR="0" wp14:anchorId="4B13EE9D" wp14:editId="6938FDAA">
            <wp:extent cx="238125" cy="23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CA black fill.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5" cy="250564"/>
                    </a:xfrm>
                    <a:prstGeom prst="rect">
                      <a:avLst/>
                    </a:prstGeom>
                  </pic:spPr>
                </pic:pic>
              </a:graphicData>
            </a:graphic>
          </wp:inline>
        </w:drawing>
      </w:r>
      <w:r>
        <w:t xml:space="preserve">         </w:t>
      </w:r>
    </w:p>
    <w:p w14:paraId="1675FFED" w14:textId="77777777" w:rsidR="004E534D" w:rsidRPr="004E534D" w:rsidRDefault="004E534D" w:rsidP="004E534D">
      <w:pPr>
        <w:spacing w:line="240" w:lineRule="auto"/>
        <w:rPr>
          <w:rFonts w:cs="Arial"/>
        </w:rPr>
      </w:pPr>
      <w:r>
        <w:t>Los productos con la marca CE cumplen las siguientes directivas de la UE:</w:t>
      </w:r>
    </w:p>
    <w:p w14:paraId="47E7F46C" w14:textId="77777777" w:rsidR="00086ECA" w:rsidRDefault="00086ECA" w:rsidP="00086ECA">
      <w:pPr>
        <w:pStyle w:val="ListParagraph"/>
        <w:numPr>
          <w:ilvl w:val="0"/>
          <w:numId w:val="11"/>
        </w:numPr>
        <w:spacing w:line="240" w:lineRule="auto"/>
        <w:rPr>
          <w:rFonts w:cs="Arial"/>
        </w:rPr>
      </w:pPr>
      <w:r>
        <w:t>Diseño ecológico (directiva 2009/125/EC)</w:t>
      </w:r>
    </w:p>
    <w:p w14:paraId="2898BE75" w14:textId="77777777" w:rsidR="00086ECA" w:rsidRDefault="00086ECA" w:rsidP="00086ECA">
      <w:pPr>
        <w:pStyle w:val="ListParagraph"/>
        <w:numPr>
          <w:ilvl w:val="0"/>
          <w:numId w:val="11"/>
        </w:numPr>
        <w:spacing w:after="60" w:line="240" w:lineRule="auto"/>
        <w:rPr>
          <w:rFonts w:cs="Arial"/>
        </w:rPr>
      </w:pPr>
      <w:r>
        <w:t>RoHS (directiva 2011/65/EU)</w:t>
      </w:r>
    </w:p>
    <w:p w14:paraId="06CF6593" w14:textId="77777777" w:rsidR="00086ECA" w:rsidRPr="00086ECA" w:rsidRDefault="00086ECA" w:rsidP="00086ECA">
      <w:pPr>
        <w:spacing w:after="0" w:line="240" w:lineRule="auto"/>
        <w:ind w:left="360"/>
        <w:rPr>
          <w:rFonts w:cs="Arial"/>
        </w:rPr>
      </w:pPr>
      <w:r>
        <w:t>Para equipos que no son de radiofrecuencia:</w:t>
      </w:r>
    </w:p>
    <w:p w14:paraId="5D786E6D" w14:textId="77777777" w:rsidR="004E534D" w:rsidRPr="004E534D" w:rsidRDefault="00594E54" w:rsidP="004E534D">
      <w:pPr>
        <w:pStyle w:val="ListParagraph"/>
        <w:numPr>
          <w:ilvl w:val="0"/>
          <w:numId w:val="11"/>
        </w:numPr>
        <w:spacing w:line="240" w:lineRule="auto"/>
        <w:rPr>
          <w:rFonts w:cs="Arial"/>
        </w:rPr>
      </w:pPr>
      <w:r>
        <w:t>EMC (directiva 2014/30/EU)</w:t>
      </w:r>
    </w:p>
    <w:p w14:paraId="70312403" w14:textId="77777777" w:rsidR="004E534D" w:rsidRDefault="004E534D" w:rsidP="00086ECA">
      <w:pPr>
        <w:pStyle w:val="ListParagraph"/>
        <w:numPr>
          <w:ilvl w:val="0"/>
          <w:numId w:val="11"/>
        </w:numPr>
        <w:spacing w:after="60" w:line="240" w:lineRule="auto"/>
        <w:rPr>
          <w:rFonts w:cs="Arial"/>
        </w:rPr>
      </w:pPr>
      <w:r>
        <w:t>Baja tensión (directiva 2014/35/EU)</w:t>
      </w:r>
    </w:p>
    <w:p w14:paraId="283F6DD1" w14:textId="77777777" w:rsidR="00086ECA" w:rsidRPr="00086ECA" w:rsidRDefault="00086ECA" w:rsidP="00086ECA">
      <w:pPr>
        <w:spacing w:after="0" w:line="240" w:lineRule="auto"/>
        <w:ind w:left="360"/>
        <w:rPr>
          <w:rFonts w:cs="Arial"/>
        </w:rPr>
      </w:pPr>
      <w:r>
        <w:t>Para equipos de radiofrecuencia:</w:t>
      </w:r>
    </w:p>
    <w:p w14:paraId="2464C5F7" w14:textId="77777777" w:rsidR="00631365" w:rsidRDefault="00631365" w:rsidP="004E534D">
      <w:pPr>
        <w:pStyle w:val="ListParagraph"/>
        <w:numPr>
          <w:ilvl w:val="0"/>
          <w:numId w:val="11"/>
        </w:numPr>
        <w:spacing w:line="240" w:lineRule="auto"/>
        <w:rPr>
          <w:rFonts w:cs="Arial"/>
        </w:rPr>
      </w:pPr>
      <w:r>
        <w:t>Directiva de equipos de radiofrecuencia (RED) 2014/53/EU</w:t>
      </w:r>
    </w:p>
    <w:p w14:paraId="490B62CE" w14:textId="0846C88B" w:rsidR="004E534D" w:rsidRDefault="004E534D" w:rsidP="004E534D">
      <w:pPr>
        <w:rPr>
          <w:rFonts w:cs="Arial"/>
        </w:rPr>
      </w:pPr>
      <w:r>
        <w:t xml:space="preserve">El cumplimiento de estas directivas implica la conformidad con las normas europeas armonizadas que se recogen en la declaración de conformidad de la UE. Para consultar la declaración de conformidad de la CE/UE, visite el siguiente enlace: </w:t>
      </w:r>
      <w:hyperlink r:id="rId17" w:history="1">
        <w:r>
          <w:rPr>
            <w:rStyle w:val="Hyperlink"/>
          </w:rPr>
          <w:t>http://support.netgear.com/app/answers/detail/a_id/11621/</w:t>
        </w:r>
      </w:hyperlink>
      <w:r>
        <w:t>.</w:t>
      </w:r>
    </w:p>
    <w:p w14:paraId="0C2C461C" w14:textId="23454CDD" w:rsidR="000A4825" w:rsidRDefault="000A4825" w:rsidP="000A4825">
      <w:pPr>
        <w:spacing w:line="240" w:lineRule="auto"/>
        <w:rPr>
          <w:rFonts w:cs="Arial"/>
        </w:rPr>
      </w:pPr>
      <w:r>
        <w:t>Los productos que llevan el marcado UKCA cumplen con los Instrumentos Estatutarios del Reino Unido y las normas designadas apropiadas como se indica en la Declaración de Conformidad UKCA. Para consultar la declaración de conformidad de la UKCA, visite el siguiente enlace:</w:t>
      </w:r>
    </w:p>
    <w:p w14:paraId="34A28F2E" w14:textId="6C9C12FC" w:rsidR="000A4825" w:rsidRPr="004E534D" w:rsidRDefault="00A40CD8" w:rsidP="000A4825">
      <w:pPr>
        <w:spacing w:line="240" w:lineRule="auto"/>
        <w:rPr>
          <w:rFonts w:cs="Arial"/>
        </w:rPr>
      </w:pPr>
      <w:hyperlink r:id="rId18" w:history="1">
        <w:r w:rsidR="00E63B27">
          <w:rPr>
            <w:color w:val="0563C1"/>
            <w:u w:val="single"/>
          </w:rPr>
          <w:t>https://kb.netgear.com/000062897/UKCA-Declarations-of-Conformity</w:t>
        </w:r>
      </w:hyperlink>
    </w:p>
    <w:p w14:paraId="54DA5D04" w14:textId="77777777" w:rsidR="000C0C1B" w:rsidRDefault="000C0C1B" w:rsidP="0060535B">
      <w:pPr>
        <w:pStyle w:val="Heading2"/>
      </w:pPr>
      <w:bookmarkStart w:id="16" w:name="_Toc118885928"/>
      <w:r>
        <w:t>Conformidad con la directiva de equipos de radiofrecuencia (RED) 2014/53/UE</w:t>
      </w:r>
      <w:bookmarkEnd w:id="16"/>
    </w:p>
    <w:p w14:paraId="2651449F" w14:textId="247618D8" w:rsidR="00944A3B" w:rsidRDefault="00B76660" w:rsidP="004E534D">
      <w:pPr>
        <w:rPr>
          <w:rFonts w:cs="Arial"/>
        </w:rPr>
      </w:pPr>
      <w:r>
        <w:t xml:space="preserve">Los productos NETGEAR con la marca CE cumplen lo estipulado en el artículo 10 (2), ya que se pueden utilizar en al menos un estado miembro de la UE, según lo observado. </w:t>
      </w:r>
    </w:p>
    <w:p w14:paraId="16C23CF7" w14:textId="1EB1C1AB" w:rsidR="00B76660" w:rsidRDefault="00944A3B" w:rsidP="004E534D">
      <w:pPr>
        <w:rPr>
          <w:rFonts w:cs="Arial"/>
        </w:rPr>
      </w:pPr>
      <w:r>
        <w:t>De conformidad con el artículo 10 (10), los productos NETGEAR que llevan el siguiente pictograma en el embalaje indican que este dispositivo tiene las restricciones descritas a continuación en los países indicados:</w:t>
      </w:r>
    </w:p>
    <w:p w14:paraId="34A981DC" w14:textId="77B738A4" w:rsidR="00944A3B" w:rsidRDefault="001F2CF2" w:rsidP="008E0AE0">
      <w:pPr>
        <w:rPr>
          <w:rFonts w:cs="Arial"/>
        </w:rPr>
      </w:pPr>
      <w:r>
        <w:rPr>
          <w:noProof/>
        </w:rPr>
        <w:drawing>
          <wp:inline distT="0" distB="0" distL="0" distR="0" wp14:anchorId="4112DDF7" wp14:editId="4A21484B">
            <wp:extent cx="1778091" cy="75568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gram.PNG"/>
                    <pic:cNvPicPr/>
                  </pic:nvPicPr>
                  <pic:blipFill>
                    <a:blip r:embed="rId19">
                      <a:extLst>
                        <a:ext uri="{28A0092B-C50C-407E-A947-70E740481C1C}">
                          <a14:useLocalDpi xmlns:a14="http://schemas.microsoft.com/office/drawing/2010/main" val="0"/>
                        </a:ext>
                      </a:extLst>
                    </a:blip>
                    <a:stretch>
                      <a:fillRect/>
                    </a:stretch>
                  </pic:blipFill>
                  <pic:spPr>
                    <a:xfrm>
                      <a:off x="0" y="0"/>
                      <a:ext cx="1778091" cy="755689"/>
                    </a:xfrm>
                    <a:prstGeom prst="rect">
                      <a:avLst/>
                    </a:prstGeom>
                  </pic:spPr>
                </pic:pic>
              </a:graphicData>
            </a:graphic>
          </wp:inline>
        </w:drawing>
      </w:r>
    </w:p>
    <w:p w14:paraId="15F5F37E" w14:textId="77777777" w:rsidR="00683FD5" w:rsidRPr="000E6B64" w:rsidRDefault="00683FD5" w:rsidP="000E6B64">
      <w:pPr>
        <w:pStyle w:val="ListParagraph"/>
        <w:numPr>
          <w:ilvl w:val="0"/>
          <w:numId w:val="11"/>
        </w:numPr>
        <w:spacing w:after="80" w:line="240" w:lineRule="auto"/>
        <w:contextualSpacing w:val="0"/>
      </w:pPr>
      <w:r>
        <w:t>El dispositivo está restringido a uso en interiores únicamente cuando opera en los rangos de frecuencia:</w:t>
      </w:r>
    </w:p>
    <w:p w14:paraId="178AF14F" w14:textId="77777777" w:rsidR="00683FD5" w:rsidRPr="000E6B64" w:rsidRDefault="00683FD5" w:rsidP="000E6B64">
      <w:pPr>
        <w:pStyle w:val="ListParagraph"/>
        <w:spacing w:after="0" w:line="240" w:lineRule="auto"/>
        <w:contextualSpacing w:val="0"/>
      </w:pPr>
      <w:r>
        <w:t>5150 a 5350 MHz</w:t>
      </w:r>
    </w:p>
    <w:p w14:paraId="48581095" w14:textId="6C73678A" w:rsidR="00683FD5" w:rsidRDefault="00683FD5" w:rsidP="000E6B64">
      <w:pPr>
        <w:pStyle w:val="ListParagraph"/>
        <w:spacing w:after="80" w:line="240" w:lineRule="auto"/>
        <w:contextualSpacing w:val="0"/>
      </w:pPr>
      <w:r>
        <w:t>5945 a 6425 MHz</w:t>
      </w:r>
    </w:p>
    <w:p w14:paraId="249ADA6A" w14:textId="77777777" w:rsidR="00BB2455" w:rsidRDefault="00BB2455" w:rsidP="00BB2455">
      <w:pPr>
        <w:pStyle w:val="ListParagraph"/>
        <w:spacing w:after="80" w:line="240" w:lineRule="auto"/>
        <w:contextualSpacing w:val="0"/>
      </w:pPr>
      <w:r>
        <w:t>(Los modelos MR61XX, MR64XX y MR65XX no están restringidos a su funcionamiento en interiores)</w:t>
      </w:r>
    </w:p>
    <w:p w14:paraId="2257FD3D" w14:textId="77777777" w:rsidR="00BB2455" w:rsidRDefault="00BB2455" w:rsidP="000E6B64">
      <w:pPr>
        <w:pStyle w:val="ListParagraph"/>
        <w:spacing w:after="80" w:line="240" w:lineRule="auto"/>
        <w:contextualSpacing w:val="0"/>
      </w:pPr>
    </w:p>
    <w:p w14:paraId="64777D0B" w14:textId="21B367B8" w:rsidR="0052671E" w:rsidRDefault="0052671E">
      <w:pPr>
        <w:pStyle w:val="ListParagraph"/>
        <w:numPr>
          <w:ilvl w:val="0"/>
          <w:numId w:val="11"/>
        </w:numPr>
        <w:spacing w:after="80" w:line="240" w:lineRule="auto"/>
        <w:contextualSpacing w:val="0"/>
      </w:pPr>
      <w:r>
        <w:t xml:space="preserve">El funcionamiento en la gama de frecuencias 5945-6425 MHz no estaba permitido en los países de la UE y la AELC antes de diciembre de 2021, excepto en CY, CZ, DE, FR, SI, NO y UK(NI). </w:t>
      </w:r>
    </w:p>
    <w:p w14:paraId="0B719C94" w14:textId="0FE969BE" w:rsidR="00643CD4" w:rsidRDefault="00EB1502">
      <w:pPr>
        <w:pStyle w:val="ListParagraph"/>
        <w:numPr>
          <w:ilvl w:val="0"/>
          <w:numId w:val="11"/>
        </w:numPr>
        <w:spacing w:after="80" w:line="240" w:lineRule="auto"/>
        <w:contextualSpacing w:val="0"/>
      </w:pPr>
      <w:r>
        <w:t>Los dispositivos de 5945-6425 MHz están permitidos en Bélgica a partir de octubre de 2021 bajo el Régimen de Autorización hasta que se actualice el Real Decreto para que esta banda de frecuencias quede exenta o sin licencia. Cada ubicación en la que se encuentran los dispositivos requiere una licencia general, véase el BIPT para más información. Referencias adicionales:</w:t>
      </w:r>
    </w:p>
    <w:p w14:paraId="753CA84C" w14:textId="713E6911" w:rsidR="00EB1502" w:rsidRDefault="00A40CD8" w:rsidP="00EB1502">
      <w:pPr>
        <w:pStyle w:val="ListParagraph"/>
        <w:numPr>
          <w:ilvl w:val="1"/>
          <w:numId w:val="11"/>
        </w:numPr>
        <w:spacing w:after="80" w:line="240" w:lineRule="auto"/>
        <w:contextualSpacing w:val="0"/>
      </w:pPr>
      <w:hyperlink r:id="rId20" w:history="1">
        <w:r w:rsidR="00E63B27">
          <w:rPr>
            <w:rStyle w:val="Hyperlink"/>
          </w:rPr>
          <w:t>https://www.bipt.be/consumers/free-use-of-radio</w:t>
        </w:r>
      </w:hyperlink>
    </w:p>
    <w:p w14:paraId="6739C049" w14:textId="10A4A3B8" w:rsidR="00EB1502" w:rsidRDefault="00A40CD8" w:rsidP="000E6B64">
      <w:pPr>
        <w:pStyle w:val="ListParagraph"/>
        <w:numPr>
          <w:ilvl w:val="1"/>
          <w:numId w:val="11"/>
        </w:numPr>
        <w:spacing w:after="80" w:line="240" w:lineRule="auto"/>
        <w:contextualSpacing w:val="0"/>
      </w:pPr>
      <w:hyperlink r:id="rId21" w:history="1">
        <w:r w:rsidR="00E63B27">
          <w:rPr>
            <w:rStyle w:val="Hyperlink"/>
          </w:rPr>
          <w:t>https://www.bipt.be/operators/general-holders-licences</w:t>
        </w:r>
      </w:hyperlink>
    </w:p>
    <w:p w14:paraId="4B04E5F0" w14:textId="77777777" w:rsidR="00683FD5" w:rsidRPr="004E534D" w:rsidRDefault="00683FD5" w:rsidP="007000CC">
      <w:pPr>
        <w:spacing w:after="0"/>
      </w:pPr>
    </w:p>
    <w:p w14:paraId="077F017B" w14:textId="77777777" w:rsidR="00A81D71" w:rsidRDefault="00A81D71" w:rsidP="007000CC">
      <w:pPr>
        <w:pStyle w:val="Heading3"/>
      </w:pPr>
      <w:bookmarkStart w:id="17" w:name="_Toc118885929"/>
      <w:r>
        <w:lastRenderedPageBreak/>
        <w:t>Guía para la exposición a radiofrecuencia</w:t>
      </w:r>
      <w:bookmarkEnd w:id="17"/>
    </w:p>
    <w:p w14:paraId="2E688860" w14:textId="18E71016" w:rsidR="00A81D71" w:rsidRDefault="00A81D71" w:rsidP="0060535B">
      <w:pPr>
        <w:spacing w:before="80" w:after="80"/>
        <w:jc w:val="both"/>
        <w:rPr>
          <w:highlight w:val="yellow"/>
        </w:rPr>
      </w:pPr>
      <w:r>
        <w:t xml:space="preserve">Para cumplir las condiciones de exposición máxima permitida (PME) de los dispositivos que no sean </w:t>
      </w:r>
      <w:proofErr w:type="spellStart"/>
      <w:r>
        <w:t>hotspots</w:t>
      </w:r>
      <w:proofErr w:type="spellEnd"/>
      <w:r>
        <w:t xml:space="preserve"> móviles ni módems USB, asegúrese de mantener una distancia mínima de 20 cm entre el dispositivo inalámbrico NETGEAR y el cuerpo del usuario. Para obtener más información, consulte la sección sobre exposición a radio en:</w:t>
      </w:r>
    </w:p>
    <w:p w14:paraId="18D51646" w14:textId="2E3535E7" w:rsidR="008350C8" w:rsidRDefault="00A40CD8" w:rsidP="008350C8">
      <w:hyperlink r:id="rId22" w:history="1">
        <w:r w:rsidR="00E63B27">
          <w:rPr>
            <w:rStyle w:val="Hyperlink"/>
          </w:rPr>
          <w:t>https://www.netgear.com/about/regulatory/</w:t>
        </w:r>
      </w:hyperlink>
    </w:p>
    <w:p w14:paraId="11C541B8" w14:textId="5CDCE30B" w:rsidR="00711C6D" w:rsidRDefault="00711C6D" w:rsidP="00631365">
      <w:r>
        <w:t>De acuerdo con el artículo 10.8 (a) y 10.8 (b) de la directiva RED, en la siguiente tabla se proporciona información sobre las bandas de frecuencia utilizadas y la potencia de transmisión de radiofrecuencia máxima para los productos inalámbricos NETGEAR a la venta en la UE:</w:t>
      </w:r>
    </w:p>
    <w:p w14:paraId="5776E1F8" w14:textId="77777777" w:rsidR="003B3E0A" w:rsidRPr="003B3E0A" w:rsidRDefault="003B3E0A" w:rsidP="0037608F">
      <w:pPr>
        <w:rPr>
          <w:i/>
        </w:rPr>
      </w:pPr>
      <w:proofErr w:type="spellStart"/>
      <w:r>
        <w:rPr>
          <w:i/>
        </w:rPr>
        <w:t>WiFi</w:t>
      </w:r>
      <w:proofErr w:type="spellEnd"/>
    </w:p>
    <w:tbl>
      <w:tblPr>
        <w:tblW w:w="0" w:type="auto"/>
        <w:tblCellMar>
          <w:left w:w="0" w:type="dxa"/>
          <w:right w:w="0" w:type="dxa"/>
        </w:tblCellMar>
        <w:tblLook w:val="04A0" w:firstRow="1" w:lastRow="0" w:firstColumn="1" w:lastColumn="0" w:noHBand="0" w:noVBand="1"/>
      </w:tblPr>
      <w:tblGrid>
        <w:gridCol w:w="2496"/>
        <w:gridCol w:w="1671"/>
        <w:gridCol w:w="3299"/>
      </w:tblGrid>
      <w:tr w:rsidR="00711C6D" w:rsidRPr="00711C6D" w14:paraId="29CABE01" w14:textId="77777777" w:rsidTr="00711C6D">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C7D4CB" w14:textId="77777777" w:rsidR="00711C6D" w:rsidRPr="00711C6D" w:rsidRDefault="00711C6D">
            <w:pPr>
              <w:rPr>
                <w:rFonts w:ascii="Calibri" w:hAnsi="Calibri"/>
                <w:b/>
                <w:sz w:val="22"/>
              </w:rPr>
            </w:pPr>
            <w:r>
              <w:rPr>
                <w:b/>
              </w:rPr>
              <w:t>Rango de frecuencia (MHz)</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B203A" w14:textId="77777777" w:rsidR="00711C6D" w:rsidRPr="00711C6D" w:rsidRDefault="00711C6D">
            <w:pPr>
              <w:rPr>
                <w:b/>
              </w:rPr>
            </w:pPr>
            <w:r>
              <w:rPr>
                <w:b/>
              </w:rPr>
              <w:t>Canales utilizados</w:t>
            </w: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0188D" w14:textId="77777777" w:rsidR="00711C6D" w:rsidRPr="00711C6D" w:rsidRDefault="00711C6D">
            <w:pPr>
              <w:rPr>
                <w:b/>
              </w:rPr>
            </w:pPr>
            <w:r>
              <w:rPr>
                <w:b/>
              </w:rPr>
              <w:t>Potencia de transmisión máx. (dBm/</w:t>
            </w:r>
            <w:proofErr w:type="spellStart"/>
            <w:r>
              <w:rPr>
                <w:b/>
              </w:rPr>
              <w:t>mW</w:t>
            </w:r>
            <w:proofErr w:type="spellEnd"/>
            <w:r>
              <w:rPr>
                <w:b/>
              </w:rPr>
              <w:t>)</w:t>
            </w:r>
          </w:p>
        </w:tc>
      </w:tr>
      <w:tr w:rsidR="00711C6D" w14:paraId="78B5A32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7EB9A" w14:textId="77777777" w:rsidR="00711C6D" w:rsidRDefault="00711C6D" w:rsidP="00711C6D">
            <w:pPr>
              <w:spacing w:after="0"/>
            </w:pPr>
            <w:r>
              <w:t>2400-2483,5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946587A" w14:textId="77777777" w:rsidR="00711C6D" w:rsidRDefault="00711C6D" w:rsidP="00711C6D">
            <w:pPr>
              <w:spacing w:after="0"/>
            </w:pPr>
            <w:r>
              <w:t>1-13</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3ABCF884" w14:textId="77777777" w:rsidR="00711C6D" w:rsidRDefault="00711C6D" w:rsidP="00711C6D">
            <w:pPr>
              <w:spacing w:after="0"/>
            </w:pPr>
            <w:r>
              <w:t>ODFM: 19,9 dBm (97,7 </w:t>
            </w:r>
            <w:proofErr w:type="spellStart"/>
            <w:r>
              <w:t>mW</w:t>
            </w:r>
            <w:proofErr w:type="spellEnd"/>
            <w:r>
              <w:t>)</w:t>
            </w:r>
          </w:p>
          <w:p w14:paraId="7E96C2A1" w14:textId="77777777" w:rsidR="00711C6D" w:rsidRDefault="00711C6D" w:rsidP="00711C6D">
            <w:pPr>
              <w:spacing w:after="0"/>
            </w:pPr>
            <w:r>
              <w:t>CCK: 17,9 dBm (61,7 </w:t>
            </w:r>
            <w:proofErr w:type="spellStart"/>
            <w:r>
              <w:t>mW</w:t>
            </w:r>
            <w:proofErr w:type="spellEnd"/>
            <w:r>
              <w:t>)</w:t>
            </w:r>
          </w:p>
        </w:tc>
      </w:tr>
      <w:tr w:rsidR="00711C6D" w14:paraId="5FBD2AA8"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11B5B" w14:textId="77777777" w:rsidR="00711C6D" w:rsidRDefault="00711C6D" w:rsidP="00711C6D">
            <w:pPr>
              <w:spacing w:after="0"/>
            </w:pPr>
            <w:r>
              <w:t>5150-5250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BC36C91" w14:textId="77777777" w:rsidR="00711C6D" w:rsidRDefault="00711C6D" w:rsidP="00711C6D">
            <w:pPr>
              <w:spacing w:after="0"/>
            </w:pPr>
            <w:r>
              <w:t>36-48</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5328CFEA" w14:textId="77777777" w:rsidR="00711C6D" w:rsidRDefault="00711C6D" w:rsidP="00711C6D">
            <w:pPr>
              <w:spacing w:after="0"/>
            </w:pPr>
            <w:r>
              <w:t>22,9 dBm (195 </w:t>
            </w:r>
            <w:proofErr w:type="spellStart"/>
            <w:r>
              <w:t>mW</w:t>
            </w:r>
            <w:proofErr w:type="spellEnd"/>
            <w:r>
              <w:t>)</w:t>
            </w:r>
          </w:p>
        </w:tc>
      </w:tr>
      <w:tr w:rsidR="00711C6D" w14:paraId="2028A40D" w14:textId="77777777" w:rsidTr="00711C6D">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A6963" w14:textId="77777777" w:rsidR="00711C6D" w:rsidRDefault="00711C6D" w:rsidP="00711C6D">
            <w:pPr>
              <w:spacing w:after="0"/>
            </w:pPr>
            <w:r>
              <w:t>5250-5350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B49EC8E" w14:textId="77777777" w:rsidR="00711C6D" w:rsidRDefault="00711C6D" w:rsidP="00711C6D">
            <w:pPr>
              <w:spacing w:after="0"/>
            </w:pPr>
            <w:r>
              <w:t>52-64</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6E04EB82" w14:textId="77777777" w:rsidR="00711C6D" w:rsidRDefault="00711C6D" w:rsidP="00711C6D">
            <w:pPr>
              <w:spacing w:after="0"/>
            </w:pPr>
            <w:r>
              <w:t>22,9 dBm (195 </w:t>
            </w:r>
            <w:proofErr w:type="spellStart"/>
            <w:r>
              <w:t>mW</w:t>
            </w:r>
            <w:proofErr w:type="spellEnd"/>
            <w:r>
              <w:t>) con TPC</w:t>
            </w:r>
          </w:p>
          <w:p w14:paraId="4DCBD7F5" w14:textId="77777777" w:rsidR="00711C6D" w:rsidRDefault="00711C6D" w:rsidP="00711C6D">
            <w:pPr>
              <w:spacing w:after="0"/>
            </w:pPr>
            <w:r>
              <w:t>19,9 dBm (97,7 </w:t>
            </w:r>
            <w:proofErr w:type="spellStart"/>
            <w:r>
              <w:t>mW</w:t>
            </w:r>
            <w:proofErr w:type="spellEnd"/>
            <w:r>
              <w:t>) sin TPC</w:t>
            </w:r>
          </w:p>
        </w:tc>
      </w:tr>
      <w:tr w:rsidR="00711C6D" w14:paraId="3C7A7DB4" w14:textId="77777777" w:rsidTr="000E6B64">
        <w:tc>
          <w:tcPr>
            <w:tcW w:w="24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A5C97" w14:textId="77777777" w:rsidR="00711C6D" w:rsidRDefault="00711C6D" w:rsidP="00711C6D">
            <w:pPr>
              <w:spacing w:after="0"/>
            </w:pPr>
            <w:r>
              <w:t>5470-5725</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3E2EECD7" w14:textId="77777777" w:rsidR="00711C6D" w:rsidRDefault="00711C6D" w:rsidP="00711C6D">
            <w:pPr>
              <w:spacing w:after="0"/>
            </w:pPr>
            <w:r>
              <w:t>100-140</w:t>
            </w:r>
          </w:p>
        </w:tc>
        <w:tc>
          <w:tcPr>
            <w:tcW w:w="3299" w:type="dxa"/>
            <w:tcBorders>
              <w:top w:val="nil"/>
              <w:left w:val="nil"/>
              <w:bottom w:val="single" w:sz="8" w:space="0" w:color="auto"/>
              <w:right w:val="single" w:sz="8" w:space="0" w:color="auto"/>
            </w:tcBorders>
            <w:tcMar>
              <w:top w:w="0" w:type="dxa"/>
              <w:left w:w="108" w:type="dxa"/>
              <w:bottom w:w="0" w:type="dxa"/>
              <w:right w:w="108" w:type="dxa"/>
            </w:tcMar>
            <w:hideMark/>
          </w:tcPr>
          <w:p w14:paraId="2940C1BC" w14:textId="77777777" w:rsidR="00711C6D" w:rsidRDefault="00711C6D" w:rsidP="00711C6D">
            <w:pPr>
              <w:spacing w:after="0"/>
            </w:pPr>
            <w:r>
              <w:t>29,9 dBm (977 </w:t>
            </w:r>
            <w:proofErr w:type="spellStart"/>
            <w:r>
              <w:t>mW</w:t>
            </w:r>
            <w:proofErr w:type="spellEnd"/>
            <w:r>
              <w:t>) con TPC</w:t>
            </w:r>
          </w:p>
          <w:p w14:paraId="345503AB" w14:textId="77777777" w:rsidR="00711C6D" w:rsidRDefault="00711C6D" w:rsidP="00711C6D">
            <w:pPr>
              <w:spacing w:after="0"/>
            </w:pPr>
            <w:r>
              <w:t>26,9 dBm (490 </w:t>
            </w:r>
            <w:proofErr w:type="spellStart"/>
            <w:r>
              <w:t>mW</w:t>
            </w:r>
            <w:proofErr w:type="spellEnd"/>
            <w:r>
              <w:t>) sin TPC</w:t>
            </w:r>
          </w:p>
        </w:tc>
      </w:tr>
      <w:tr w:rsidR="00683FD5" w14:paraId="248016E0" w14:textId="77777777" w:rsidTr="000E6B64">
        <w:tc>
          <w:tcPr>
            <w:tcW w:w="24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138824" w14:textId="751E6F91" w:rsidR="00683FD5" w:rsidRDefault="00683FD5" w:rsidP="00683FD5">
            <w:pPr>
              <w:spacing w:after="0"/>
            </w:pPr>
            <w:r>
              <w:t>5945-6425</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5AAD71" w14:textId="77777777" w:rsidR="00683FD5" w:rsidRDefault="00683FD5" w:rsidP="00683FD5">
            <w:pPr>
              <w:spacing w:after="0"/>
            </w:pPr>
          </w:p>
        </w:tc>
        <w:tc>
          <w:tcPr>
            <w:tcW w:w="32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BC6BCB" w14:textId="2BAB1632" w:rsidR="00683FD5" w:rsidRDefault="00683FD5" w:rsidP="00683FD5">
            <w:pPr>
              <w:spacing w:after="0"/>
            </w:pPr>
            <w:r>
              <w:t>22,9 dBm (195 </w:t>
            </w:r>
            <w:proofErr w:type="spellStart"/>
            <w:r>
              <w:t>mW</w:t>
            </w:r>
            <w:proofErr w:type="spellEnd"/>
            <w:r>
              <w:t>)</w:t>
            </w:r>
          </w:p>
        </w:tc>
      </w:tr>
    </w:tbl>
    <w:p w14:paraId="42354047" w14:textId="77777777" w:rsidR="00844B44" w:rsidRDefault="00844B44" w:rsidP="00844B44">
      <w:pPr>
        <w:spacing w:after="0"/>
      </w:pPr>
    </w:p>
    <w:p w14:paraId="0FEFAE20" w14:textId="77777777" w:rsidR="003B3E0A" w:rsidRDefault="00711C6D" w:rsidP="0037608F">
      <w:r>
        <w:t>TPC: control de la potencia de transmisión.</w:t>
      </w:r>
    </w:p>
    <w:p w14:paraId="78F7BC4A" w14:textId="77777777" w:rsidR="00711C6D" w:rsidRPr="003B3E0A" w:rsidRDefault="003B3E0A" w:rsidP="0037608F">
      <w:pPr>
        <w:rPr>
          <w:i/>
        </w:rPr>
      </w:pPr>
      <w:r>
        <w:rPr>
          <w:i/>
        </w:rPr>
        <w:t>Red móvil</w:t>
      </w:r>
    </w:p>
    <w:tbl>
      <w:tblPr>
        <w:tblStyle w:val="TableGrid"/>
        <w:tblW w:w="0" w:type="auto"/>
        <w:tblLook w:val="04A0" w:firstRow="1" w:lastRow="0" w:firstColumn="1" w:lastColumn="0" w:noHBand="0" w:noVBand="1"/>
      </w:tblPr>
      <w:tblGrid>
        <w:gridCol w:w="2515"/>
        <w:gridCol w:w="1620"/>
        <w:gridCol w:w="5215"/>
      </w:tblGrid>
      <w:tr w:rsidR="003B3E0A" w:rsidRPr="003B3E0A" w14:paraId="058A3622" w14:textId="77777777" w:rsidTr="003B3E0A">
        <w:tc>
          <w:tcPr>
            <w:tcW w:w="2515" w:type="dxa"/>
          </w:tcPr>
          <w:p w14:paraId="52FF6BB3" w14:textId="77777777" w:rsidR="003B3E0A" w:rsidRPr="003B3E0A" w:rsidRDefault="003B3E0A" w:rsidP="0037608F">
            <w:pPr>
              <w:rPr>
                <w:b/>
              </w:rPr>
            </w:pPr>
            <w:bookmarkStart w:id="18" w:name="_Hlk106973063"/>
            <w:r>
              <w:rPr>
                <w:b/>
              </w:rPr>
              <w:t>Frecuencia (MHz)</w:t>
            </w:r>
          </w:p>
        </w:tc>
        <w:tc>
          <w:tcPr>
            <w:tcW w:w="1620" w:type="dxa"/>
          </w:tcPr>
          <w:p w14:paraId="2BD3A5F1" w14:textId="77777777" w:rsidR="003B3E0A" w:rsidRPr="003B3E0A" w:rsidRDefault="003B3E0A" w:rsidP="0037608F">
            <w:pPr>
              <w:rPr>
                <w:b/>
              </w:rPr>
            </w:pPr>
            <w:r>
              <w:rPr>
                <w:b/>
              </w:rPr>
              <w:t>Bandas utilizadas</w:t>
            </w:r>
          </w:p>
        </w:tc>
        <w:tc>
          <w:tcPr>
            <w:tcW w:w="5215" w:type="dxa"/>
          </w:tcPr>
          <w:p w14:paraId="7191E850" w14:textId="77777777" w:rsidR="003B3E0A" w:rsidRPr="003B3E0A" w:rsidRDefault="003B3E0A" w:rsidP="0037608F">
            <w:pPr>
              <w:rPr>
                <w:b/>
              </w:rPr>
            </w:pPr>
            <w:r>
              <w:rPr>
                <w:b/>
              </w:rPr>
              <w:t>Potencia de transmisión máx. (dBm/</w:t>
            </w:r>
            <w:proofErr w:type="spellStart"/>
            <w:r>
              <w:rPr>
                <w:b/>
              </w:rPr>
              <w:t>mW</w:t>
            </w:r>
            <w:proofErr w:type="spellEnd"/>
            <w:r>
              <w:rPr>
                <w:b/>
              </w:rPr>
              <w:t>)</w:t>
            </w:r>
          </w:p>
        </w:tc>
      </w:tr>
      <w:tr w:rsidR="003B3E0A" w:rsidRPr="003B3E0A" w14:paraId="3AF796E1" w14:textId="77777777" w:rsidTr="003B3E0A">
        <w:tc>
          <w:tcPr>
            <w:tcW w:w="2515" w:type="dxa"/>
          </w:tcPr>
          <w:p w14:paraId="224B6D93" w14:textId="7212AE7A" w:rsidR="003B3E0A" w:rsidRPr="003B3E0A" w:rsidRDefault="003B3E0A" w:rsidP="0037608F">
            <w:r>
              <w:t>703-748</w:t>
            </w:r>
          </w:p>
        </w:tc>
        <w:tc>
          <w:tcPr>
            <w:tcW w:w="1620" w:type="dxa"/>
          </w:tcPr>
          <w:p w14:paraId="42B77539" w14:textId="51BC7CE0" w:rsidR="003B3E0A" w:rsidRPr="003B3E0A" w:rsidRDefault="003B3E0A" w:rsidP="0037608F">
            <w:r>
              <w:t>Banda 28</w:t>
            </w:r>
          </w:p>
        </w:tc>
        <w:tc>
          <w:tcPr>
            <w:tcW w:w="5215" w:type="dxa"/>
          </w:tcPr>
          <w:p w14:paraId="1318D6DD" w14:textId="470F6F46" w:rsidR="003B3E0A" w:rsidRPr="003B3E0A" w:rsidRDefault="003B3E0A" w:rsidP="0037608F">
            <w:r>
              <w:t>23,9 dBm (245 </w:t>
            </w:r>
            <w:proofErr w:type="spellStart"/>
            <w:r>
              <w:t>mW</w:t>
            </w:r>
            <w:proofErr w:type="spellEnd"/>
            <w:r>
              <w:t>)</w:t>
            </w:r>
          </w:p>
        </w:tc>
      </w:tr>
      <w:tr w:rsidR="003B3E0A" w:rsidRPr="003B3E0A" w14:paraId="76D80DF3" w14:textId="77777777" w:rsidTr="003B3E0A">
        <w:tc>
          <w:tcPr>
            <w:tcW w:w="2515" w:type="dxa"/>
          </w:tcPr>
          <w:p w14:paraId="4764113A" w14:textId="362C985D" w:rsidR="003B3E0A" w:rsidRDefault="003B3E0A" w:rsidP="003B3E0A">
            <w:r>
              <w:t>832-862</w:t>
            </w:r>
          </w:p>
        </w:tc>
        <w:tc>
          <w:tcPr>
            <w:tcW w:w="1620" w:type="dxa"/>
          </w:tcPr>
          <w:p w14:paraId="64F5AF97" w14:textId="67DDE9A5" w:rsidR="003B3E0A" w:rsidRDefault="003B3E0A" w:rsidP="003B3E0A">
            <w:r>
              <w:t>Banda 20</w:t>
            </w:r>
          </w:p>
        </w:tc>
        <w:tc>
          <w:tcPr>
            <w:tcW w:w="5215" w:type="dxa"/>
          </w:tcPr>
          <w:p w14:paraId="405E25AC" w14:textId="4759522E" w:rsidR="003B3E0A" w:rsidRPr="003B3E0A" w:rsidRDefault="003B3E0A" w:rsidP="003B3E0A">
            <w:r>
              <w:t>23,9 dBm (245 </w:t>
            </w:r>
            <w:proofErr w:type="spellStart"/>
            <w:r>
              <w:t>mW</w:t>
            </w:r>
            <w:proofErr w:type="spellEnd"/>
            <w:r>
              <w:t>)</w:t>
            </w:r>
          </w:p>
        </w:tc>
      </w:tr>
      <w:tr w:rsidR="003B3E0A" w14:paraId="759366BE" w14:textId="77777777" w:rsidTr="003B3E0A">
        <w:tc>
          <w:tcPr>
            <w:tcW w:w="2515" w:type="dxa"/>
          </w:tcPr>
          <w:p w14:paraId="599C14A5" w14:textId="48B2967D" w:rsidR="003B3E0A" w:rsidRDefault="000B36AE" w:rsidP="003B3E0A">
            <w:r>
              <w:t>880-915</w:t>
            </w:r>
          </w:p>
        </w:tc>
        <w:tc>
          <w:tcPr>
            <w:tcW w:w="1620" w:type="dxa"/>
          </w:tcPr>
          <w:p w14:paraId="53D0D109" w14:textId="064402D8" w:rsidR="003B3E0A" w:rsidRDefault="001F3313" w:rsidP="003B3E0A">
            <w:r>
              <w:t>Banda 8</w:t>
            </w:r>
          </w:p>
        </w:tc>
        <w:tc>
          <w:tcPr>
            <w:tcW w:w="5215" w:type="dxa"/>
          </w:tcPr>
          <w:p w14:paraId="0CF030F9" w14:textId="4A015411" w:rsidR="003B3E0A" w:rsidRPr="003B3E0A" w:rsidRDefault="003B3E0A" w:rsidP="003B3E0A">
            <w:r>
              <w:t>23,9 dBm (245 </w:t>
            </w:r>
            <w:proofErr w:type="spellStart"/>
            <w:r>
              <w:t>mW</w:t>
            </w:r>
            <w:proofErr w:type="spellEnd"/>
            <w:r>
              <w:t>)</w:t>
            </w:r>
          </w:p>
        </w:tc>
      </w:tr>
      <w:tr w:rsidR="00821506" w14:paraId="3EFAD9A0" w14:textId="77777777" w:rsidTr="003B3E0A">
        <w:tc>
          <w:tcPr>
            <w:tcW w:w="2515" w:type="dxa"/>
          </w:tcPr>
          <w:p w14:paraId="3BBE6E24" w14:textId="3002FF98" w:rsidR="00821506" w:rsidRDefault="00821506" w:rsidP="00821506">
            <w:r>
              <w:t>1710-1785</w:t>
            </w:r>
          </w:p>
        </w:tc>
        <w:tc>
          <w:tcPr>
            <w:tcW w:w="1620" w:type="dxa"/>
          </w:tcPr>
          <w:p w14:paraId="13941E24" w14:textId="7E1447E0" w:rsidR="00821506" w:rsidRDefault="00821506" w:rsidP="00821506">
            <w:r>
              <w:t>Banda 3</w:t>
            </w:r>
          </w:p>
        </w:tc>
        <w:tc>
          <w:tcPr>
            <w:tcW w:w="5215" w:type="dxa"/>
          </w:tcPr>
          <w:p w14:paraId="3455145C" w14:textId="77777777" w:rsidR="00821506" w:rsidRPr="003B3E0A" w:rsidRDefault="00821506" w:rsidP="00821506">
            <w:r>
              <w:t>FDD: 23,9 dBm (245 </w:t>
            </w:r>
            <w:proofErr w:type="spellStart"/>
            <w:r>
              <w:t>mW</w:t>
            </w:r>
            <w:proofErr w:type="spellEnd"/>
            <w:r>
              <w:t>)</w:t>
            </w:r>
          </w:p>
        </w:tc>
      </w:tr>
      <w:tr w:rsidR="00821506" w14:paraId="19BDF464" w14:textId="77777777" w:rsidTr="003B3E0A">
        <w:tc>
          <w:tcPr>
            <w:tcW w:w="2515" w:type="dxa"/>
          </w:tcPr>
          <w:p w14:paraId="387B9E8D" w14:textId="6B165E86" w:rsidR="00821506" w:rsidRDefault="000B36AE" w:rsidP="00821506">
            <w:r>
              <w:t>1920-1980</w:t>
            </w:r>
          </w:p>
        </w:tc>
        <w:tc>
          <w:tcPr>
            <w:tcW w:w="1620" w:type="dxa"/>
          </w:tcPr>
          <w:p w14:paraId="797E4F60" w14:textId="54352826" w:rsidR="00821506" w:rsidRDefault="00821506" w:rsidP="00821506">
            <w:r>
              <w:t>Banda 1</w:t>
            </w:r>
          </w:p>
        </w:tc>
        <w:tc>
          <w:tcPr>
            <w:tcW w:w="5215" w:type="dxa"/>
          </w:tcPr>
          <w:p w14:paraId="7DB81300" w14:textId="1652222F" w:rsidR="00821506" w:rsidRPr="003B3E0A" w:rsidRDefault="00821506" w:rsidP="00821506">
            <w:r>
              <w:t>23,9 dBm (245 </w:t>
            </w:r>
            <w:proofErr w:type="spellStart"/>
            <w:r>
              <w:t>mW</w:t>
            </w:r>
            <w:proofErr w:type="spellEnd"/>
            <w:r>
              <w:t>)</w:t>
            </w:r>
          </w:p>
        </w:tc>
      </w:tr>
      <w:tr w:rsidR="00821506" w14:paraId="7FD51F81" w14:textId="77777777" w:rsidTr="003B3E0A">
        <w:tc>
          <w:tcPr>
            <w:tcW w:w="2515" w:type="dxa"/>
          </w:tcPr>
          <w:p w14:paraId="4E3C070C" w14:textId="45CFEAAF" w:rsidR="00821506" w:rsidRDefault="00821506" w:rsidP="00821506">
            <w:r>
              <w:t>2300-2400</w:t>
            </w:r>
          </w:p>
        </w:tc>
        <w:tc>
          <w:tcPr>
            <w:tcW w:w="1620" w:type="dxa"/>
          </w:tcPr>
          <w:p w14:paraId="6FE73A7D" w14:textId="67F61986" w:rsidR="00821506" w:rsidRDefault="00821506" w:rsidP="00821506">
            <w:r>
              <w:t>Banda 40</w:t>
            </w:r>
          </w:p>
        </w:tc>
        <w:tc>
          <w:tcPr>
            <w:tcW w:w="5215" w:type="dxa"/>
          </w:tcPr>
          <w:p w14:paraId="14BBB32A" w14:textId="673E0936" w:rsidR="00821506" w:rsidRPr="003B3E0A" w:rsidRDefault="00821506" w:rsidP="00821506">
            <w:r>
              <w:t>23,9 dBm (245 </w:t>
            </w:r>
            <w:proofErr w:type="spellStart"/>
            <w:r>
              <w:t>mW</w:t>
            </w:r>
            <w:proofErr w:type="spellEnd"/>
            <w:r>
              <w:t>)</w:t>
            </w:r>
          </w:p>
        </w:tc>
      </w:tr>
      <w:tr w:rsidR="000B36AE" w14:paraId="6A4BE03D" w14:textId="77777777" w:rsidTr="003B3E0A">
        <w:tc>
          <w:tcPr>
            <w:tcW w:w="2515" w:type="dxa"/>
          </w:tcPr>
          <w:p w14:paraId="25D9DD83" w14:textId="578FA346" w:rsidR="000B36AE" w:rsidRDefault="000B36AE" w:rsidP="00821506">
            <w:r>
              <w:t>2496-2690</w:t>
            </w:r>
          </w:p>
        </w:tc>
        <w:tc>
          <w:tcPr>
            <w:tcW w:w="1620" w:type="dxa"/>
          </w:tcPr>
          <w:p w14:paraId="3213A855" w14:textId="4976BA71" w:rsidR="000B36AE" w:rsidDel="000B36AE" w:rsidRDefault="000B36AE" w:rsidP="00821506">
            <w:r>
              <w:t>Banda 41</w:t>
            </w:r>
          </w:p>
        </w:tc>
        <w:tc>
          <w:tcPr>
            <w:tcW w:w="5215" w:type="dxa"/>
          </w:tcPr>
          <w:p w14:paraId="372D9221" w14:textId="55A57802" w:rsidR="000B36AE" w:rsidDel="000B36AE" w:rsidRDefault="000B36AE" w:rsidP="00821506">
            <w:r>
              <w:t>26,9 dBm (500 </w:t>
            </w:r>
            <w:proofErr w:type="spellStart"/>
            <w:r>
              <w:t>mW</w:t>
            </w:r>
            <w:proofErr w:type="spellEnd"/>
            <w:r>
              <w:t>)</w:t>
            </w:r>
          </w:p>
        </w:tc>
      </w:tr>
      <w:tr w:rsidR="00821506" w14:paraId="2CBADBE6" w14:textId="77777777" w:rsidTr="003B3E0A">
        <w:tc>
          <w:tcPr>
            <w:tcW w:w="2515" w:type="dxa"/>
          </w:tcPr>
          <w:p w14:paraId="2E26A27B" w14:textId="51F44D29" w:rsidR="00821506" w:rsidRDefault="00821506" w:rsidP="00821506">
            <w:r>
              <w:t>2500-2570</w:t>
            </w:r>
          </w:p>
        </w:tc>
        <w:tc>
          <w:tcPr>
            <w:tcW w:w="1620" w:type="dxa"/>
          </w:tcPr>
          <w:p w14:paraId="1B342406" w14:textId="2440F0FE" w:rsidR="00821506" w:rsidRDefault="00821506" w:rsidP="00821506">
            <w:r>
              <w:t>Banda 7</w:t>
            </w:r>
          </w:p>
        </w:tc>
        <w:tc>
          <w:tcPr>
            <w:tcW w:w="5215" w:type="dxa"/>
          </w:tcPr>
          <w:p w14:paraId="3A56BDC4" w14:textId="6A6A049B" w:rsidR="00821506" w:rsidRPr="003B3E0A" w:rsidRDefault="00821506" w:rsidP="00821506">
            <w:r>
              <w:t>23,9 dBm (245 </w:t>
            </w:r>
            <w:proofErr w:type="spellStart"/>
            <w:r>
              <w:t>mW</w:t>
            </w:r>
            <w:proofErr w:type="spellEnd"/>
            <w:r>
              <w:t>)</w:t>
            </w:r>
          </w:p>
        </w:tc>
      </w:tr>
      <w:tr w:rsidR="00821506" w14:paraId="05344A93" w14:textId="77777777" w:rsidTr="003B3E0A">
        <w:tc>
          <w:tcPr>
            <w:tcW w:w="2515" w:type="dxa"/>
          </w:tcPr>
          <w:p w14:paraId="1792DC47" w14:textId="003FA154" w:rsidR="00821506" w:rsidRDefault="000B36AE" w:rsidP="00821506">
            <w:r>
              <w:t>2570-2620</w:t>
            </w:r>
          </w:p>
        </w:tc>
        <w:tc>
          <w:tcPr>
            <w:tcW w:w="1620" w:type="dxa"/>
          </w:tcPr>
          <w:p w14:paraId="78193B79" w14:textId="241CC006" w:rsidR="00821506" w:rsidRDefault="00821506" w:rsidP="00821506">
            <w:r>
              <w:t>Banda 38</w:t>
            </w:r>
          </w:p>
        </w:tc>
        <w:tc>
          <w:tcPr>
            <w:tcW w:w="5215" w:type="dxa"/>
          </w:tcPr>
          <w:p w14:paraId="7B0B8D2F" w14:textId="40FC52E0" w:rsidR="00821506" w:rsidRPr="003B3E0A" w:rsidRDefault="00821506" w:rsidP="00821506">
            <w:r>
              <w:t>23,9 dBm (245 </w:t>
            </w:r>
            <w:proofErr w:type="spellStart"/>
            <w:r>
              <w:t>mW</w:t>
            </w:r>
            <w:proofErr w:type="spellEnd"/>
            <w:r>
              <w:t>)</w:t>
            </w:r>
          </w:p>
        </w:tc>
      </w:tr>
      <w:tr w:rsidR="000B36AE" w14:paraId="3C719ED1" w14:textId="77777777" w:rsidTr="003B3E0A">
        <w:tc>
          <w:tcPr>
            <w:tcW w:w="2515" w:type="dxa"/>
          </w:tcPr>
          <w:p w14:paraId="48A57040" w14:textId="55461335" w:rsidR="000B36AE" w:rsidRDefault="000B36AE" w:rsidP="00821506">
            <w:r>
              <w:t>3300-4200</w:t>
            </w:r>
          </w:p>
        </w:tc>
        <w:tc>
          <w:tcPr>
            <w:tcW w:w="1620" w:type="dxa"/>
          </w:tcPr>
          <w:p w14:paraId="0DD02EE1" w14:textId="28D0A16A" w:rsidR="000B36AE" w:rsidDel="000B36AE" w:rsidRDefault="000B36AE" w:rsidP="00821506">
            <w:r>
              <w:t>Banda 77, 78</w:t>
            </w:r>
          </w:p>
        </w:tc>
        <w:tc>
          <w:tcPr>
            <w:tcW w:w="5215" w:type="dxa"/>
          </w:tcPr>
          <w:p w14:paraId="06A3293C" w14:textId="0D1E7F94" w:rsidR="000B36AE" w:rsidDel="000B36AE" w:rsidRDefault="000B36AE" w:rsidP="00821506">
            <w:r>
              <w:t>26,9 dBm (500 </w:t>
            </w:r>
            <w:proofErr w:type="spellStart"/>
            <w:r>
              <w:t>mW</w:t>
            </w:r>
            <w:proofErr w:type="spellEnd"/>
            <w:r>
              <w:t>)</w:t>
            </w:r>
          </w:p>
        </w:tc>
      </w:tr>
      <w:bookmarkEnd w:id="18"/>
    </w:tbl>
    <w:p w14:paraId="421D9EAD" w14:textId="77777777" w:rsidR="003B3E0A" w:rsidRPr="00711C6D" w:rsidRDefault="003B3E0A" w:rsidP="0037608F"/>
    <w:p w14:paraId="055D324F" w14:textId="77777777" w:rsidR="00A81D71" w:rsidRDefault="00A81D71" w:rsidP="00481C42">
      <w:pPr>
        <w:pStyle w:val="Heading2"/>
      </w:pPr>
      <w:bookmarkStart w:id="19" w:name="_Toc118885930"/>
      <w:r>
        <w:t>Precauciones específicas para EMC</w:t>
      </w:r>
      <w:bookmarkEnd w:id="19"/>
      <w:r>
        <w:t xml:space="preserve"> </w:t>
      </w:r>
    </w:p>
    <w:p w14:paraId="635FC3E8" w14:textId="77777777" w:rsidR="007A2880" w:rsidRPr="00EE61BC" w:rsidRDefault="007A2880" w:rsidP="0060535B">
      <w:r>
        <w:t>Los productos NETGEAR, incluidos todos los dispositivos inalámbricos, módulos y switches pequeños, son dispositivos EMC de clase B. Los switches Ethernet con más de 8 puertos son, por lo general, dispositivos EMC de clase A.</w:t>
      </w:r>
    </w:p>
    <w:p w14:paraId="6BEB98DC" w14:textId="77777777" w:rsidR="00A81D71" w:rsidRPr="00631365" w:rsidRDefault="00A81D71" w:rsidP="00A81D71">
      <w:r>
        <w:t>Advertencia: Los equipos de la clase A de NETGEAR son compatibles con la clase A de EN 55032. Es posible que este equipo cause interferencias de radio en un entorno residencial, en cuyo caso, el usuario deberá tomar las medidas adecuadas.</w:t>
      </w:r>
    </w:p>
    <w:p w14:paraId="5B061AE8" w14:textId="77777777" w:rsidR="004E534D" w:rsidRDefault="004E534D" w:rsidP="00481C42">
      <w:pPr>
        <w:pStyle w:val="Heading1"/>
      </w:pPr>
      <w:bookmarkStart w:id="20" w:name="_Toc118885931"/>
      <w:bookmarkStart w:id="21" w:name="_Hlk35510609"/>
      <w:r>
        <w:t>Requisitos de la FCC para el uso en Estados Unidos</w:t>
      </w:r>
      <w:bookmarkEnd w:id="20"/>
    </w:p>
    <w:bookmarkEnd w:id="21"/>
    <w:p w14:paraId="14432148" w14:textId="2620F3DD" w:rsidR="00AC23E2" w:rsidRDefault="00AC23E2" w:rsidP="00AC23E2">
      <w:r>
        <w:t>La información de esta sección se aplica a los productos con la marca o declaración de la FCC:</w:t>
      </w:r>
    </w:p>
    <w:p w14:paraId="6E608951" w14:textId="77777777" w:rsidR="002A6434" w:rsidRDefault="00431D4F" w:rsidP="0060535B">
      <w:pPr>
        <w:ind w:left="1440"/>
      </w:pPr>
      <w:r>
        <w:lastRenderedPageBreak/>
        <w:t>Este dispositivo cumple con el apartado 15 de la normativa FCC. Su funcionamiento está sujeto a las dos condiciones siguientes: (1) este dispositivo no causa interferencias perjudiciales y (2) este dispositivo tolera cualquier interferencia recibida, incluidas las que puedan provocar un funcionamiento no deseado</w:t>
      </w:r>
      <w:r>
        <w:rPr>
          <w:noProof/>
        </w:rPr>
        <w:drawing>
          <wp:anchor distT="0" distB="0" distL="114300" distR="114300" simplePos="0" relativeHeight="251658240" behindDoc="0" locked="0" layoutInCell="1" allowOverlap="1" wp14:anchorId="0122D6E8" wp14:editId="309B2B58">
            <wp:simplePos x="0" y="0"/>
            <wp:positionH relativeFrom="column">
              <wp:posOffset>7620</wp:posOffset>
            </wp:positionH>
            <wp:positionV relativeFrom="paragraph">
              <wp:posOffset>1905</wp:posOffset>
            </wp:positionV>
            <wp:extent cx="591185" cy="426085"/>
            <wp:effectExtent l="0" t="0" r="0" b="0"/>
            <wp:wrapNone/>
            <wp:docPr id="5" name="Picture 5" descr="http://www.androidguys.com/wp-content/uploads/2012/06/f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roidguys.com/wp-content/uploads/2012/06/fcc.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1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0D12E" w14:textId="77777777" w:rsidR="00EC019B" w:rsidRPr="004E534D" w:rsidRDefault="00EC019B" w:rsidP="00481C42">
      <w:pPr>
        <w:pStyle w:val="Heading2"/>
      </w:pPr>
      <w:bookmarkStart w:id="22" w:name="_Toc118885932"/>
      <w:r>
        <w:t>Declaración de conformidad de la FCC</w:t>
      </w:r>
      <w:bookmarkEnd w:id="22"/>
    </w:p>
    <w:p w14:paraId="50E582CA" w14:textId="11420473" w:rsidR="00EC019B" w:rsidRDefault="00EC019B" w:rsidP="00EC019B">
      <w:pPr>
        <w:rPr>
          <w:rFonts w:cs="Arial"/>
        </w:rPr>
      </w:pPr>
      <w:r>
        <w:t xml:space="preserve">NETGEAR, Inc., 350 East </w:t>
      </w:r>
      <w:proofErr w:type="spellStart"/>
      <w:r>
        <w:t>Plumeria</w:t>
      </w:r>
      <w:proofErr w:type="spellEnd"/>
      <w:r>
        <w:t xml:space="preserve"> Drive, San José, CA 95134, (EE. UU.) (</w:t>
      </w:r>
      <w:r>
        <w:rPr>
          <w:i/>
        </w:rPr>
        <w:t>www.netgear.com/support</w:t>
      </w:r>
      <w:r>
        <w:t>), declara, y asume toda la responsabilidad que de ello pueda derivarse, que este producto cumple con las directrices del artículo CFR47 de la FCC, apartado 15, subapartado B. Su funcionamiento está sujeto a las dos condiciones siguientes:</w:t>
      </w:r>
    </w:p>
    <w:p w14:paraId="0FD75840" w14:textId="77777777" w:rsidR="00EC019B" w:rsidRPr="004E534D" w:rsidRDefault="00EC019B" w:rsidP="00E252AF">
      <w:pPr>
        <w:pStyle w:val="ListParagraph"/>
        <w:numPr>
          <w:ilvl w:val="0"/>
          <w:numId w:val="38"/>
        </w:numPr>
        <w:rPr>
          <w:rFonts w:cs="Arial"/>
        </w:rPr>
      </w:pPr>
      <w:r>
        <w:t>el dispositivo no causa interferencias perjudiciales y</w:t>
      </w:r>
    </w:p>
    <w:p w14:paraId="5361530F" w14:textId="77777777" w:rsidR="00EC019B" w:rsidRDefault="00EC019B" w:rsidP="00E252AF">
      <w:pPr>
        <w:pStyle w:val="ListParagraph"/>
        <w:numPr>
          <w:ilvl w:val="0"/>
          <w:numId w:val="38"/>
        </w:numPr>
        <w:rPr>
          <w:rFonts w:cs="Arial"/>
        </w:rPr>
      </w:pPr>
      <w:r>
        <w:t>el dispositivo tolera cualquier interferencia recibida, incluidas las que puedan provocar un funcionamiento no deseado.</w:t>
      </w:r>
    </w:p>
    <w:p w14:paraId="6E316F13" w14:textId="77777777" w:rsidR="004E534D" w:rsidRPr="004E534D" w:rsidRDefault="00603489" w:rsidP="00481C42">
      <w:pPr>
        <w:pStyle w:val="Heading2"/>
      </w:pPr>
      <w:bookmarkStart w:id="23" w:name="_Toc118885933"/>
      <w:r>
        <w:t>Información de la FCC para el usuario</w:t>
      </w:r>
      <w:bookmarkEnd w:id="23"/>
    </w:p>
    <w:p w14:paraId="797F256F" w14:textId="42C00F28" w:rsidR="004E534D" w:rsidRDefault="00603489" w:rsidP="004E534D">
      <w:pPr>
        <w:rPr>
          <w:rFonts w:cs="Arial"/>
        </w:rPr>
      </w:pPr>
      <w:bookmarkStart w:id="24" w:name="_Hlk35508370"/>
      <w:r>
        <w:t>Este producto NETGEAR no contiene ningún componente reemplazable por parte del usuario. Cualquier cambio o modificación del producto conllevará la nulidad de todas las certificaciones y aprobaciones regulatorias.</w:t>
      </w:r>
      <w:bookmarkEnd w:id="24"/>
    </w:p>
    <w:p w14:paraId="3BBA5832" w14:textId="237B67BA" w:rsidR="00445F96" w:rsidRDefault="00445F96" w:rsidP="00445F96">
      <w:pPr>
        <w:rPr>
          <w:rFonts w:cs="Arial"/>
        </w:rPr>
      </w:pPr>
      <w:r>
        <w:t>La siguiente declaración es aplicable a los productos en los que la declaración de cumplimiento de la FCC no se puede incluir en la etiqueta:</w:t>
      </w:r>
    </w:p>
    <w:p w14:paraId="799A9A5F" w14:textId="5E7CAFDA" w:rsidR="00152F10" w:rsidRDefault="00152F10" w:rsidP="0060535B">
      <w:pPr>
        <w:pStyle w:val="Heading4"/>
      </w:pPr>
      <w:r>
        <w:t>Tabla 3: Productos demasiado pequeños para la etiqueta de la FCC</w:t>
      </w:r>
    </w:p>
    <w:tbl>
      <w:tblPr>
        <w:tblStyle w:val="TableGrid"/>
        <w:tblW w:w="0" w:type="auto"/>
        <w:tblInd w:w="720" w:type="dxa"/>
        <w:tblLook w:val="04A0" w:firstRow="1" w:lastRow="0" w:firstColumn="1" w:lastColumn="0" w:noHBand="0" w:noVBand="1"/>
      </w:tblPr>
      <w:tblGrid>
        <w:gridCol w:w="1615"/>
        <w:gridCol w:w="1260"/>
        <w:gridCol w:w="1260"/>
        <w:gridCol w:w="1260"/>
        <w:gridCol w:w="1260"/>
        <w:gridCol w:w="1260"/>
      </w:tblGrid>
      <w:tr w:rsidR="009E16C7" w14:paraId="3BFE906E" w14:textId="27686331" w:rsidTr="009E16C7">
        <w:tc>
          <w:tcPr>
            <w:tcW w:w="1615" w:type="dxa"/>
          </w:tcPr>
          <w:p w14:paraId="2B803E0E" w14:textId="36915165" w:rsidR="009E16C7" w:rsidRPr="00152F10" w:rsidRDefault="009E16C7" w:rsidP="00152F10">
            <w:pPr>
              <w:rPr>
                <w:rFonts w:cs="Arial"/>
              </w:rPr>
            </w:pPr>
            <w:r>
              <w:t>A6100</w:t>
            </w:r>
          </w:p>
        </w:tc>
        <w:tc>
          <w:tcPr>
            <w:tcW w:w="1260" w:type="dxa"/>
          </w:tcPr>
          <w:p w14:paraId="5E2C0BFC" w14:textId="329E755C" w:rsidR="009E16C7" w:rsidRDefault="009E16C7" w:rsidP="00152F10">
            <w:pPr>
              <w:rPr>
                <w:rFonts w:cs="Arial"/>
              </w:rPr>
            </w:pPr>
            <w:r>
              <w:t>A7000</w:t>
            </w:r>
          </w:p>
        </w:tc>
        <w:tc>
          <w:tcPr>
            <w:tcW w:w="1260" w:type="dxa"/>
          </w:tcPr>
          <w:p w14:paraId="71D964D7" w14:textId="4FB99CD1" w:rsidR="009E16C7" w:rsidRPr="00152F10" w:rsidRDefault="00887D9B" w:rsidP="00152F10">
            <w:pPr>
              <w:rPr>
                <w:rFonts w:cs="Arial"/>
              </w:rPr>
            </w:pPr>
            <w:r>
              <w:t>ACM76x</w:t>
            </w:r>
          </w:p>
        </w:tc>
        <w:tc>
          <w:tcPr>
            <w:tcW w:w="1260" w:type="dxa"/>
          </w:tcPr>
          <w:p w14:paraId="1C7E05F7" w14:textId="71FF3B78" w:rsidR="009E16C7" w:rsidRPr="00152F10" w:rsidRDefault="0044582A" w:rsidP="00152F10">
            <w:pPr>
              <w:rPr>
                <w:rFonts w:cs="Arial"/>
              </w:rPr>
            </w:pPr>
            <w:r>
              <w:t>AXM76x</w:t>
            </w:r>
          </w:p>
        </w:tc>
        <w:tc>
          <w:tcPr>
            <w:tcW w:w="1260" w:type="dxa"/>
          </w:tcPr>
          <w:p w14:paraId="1F600A2B" w14:textId="609D9D31" w:rsidR="009E16C7" w:rsidRPr="00152F10" w:rsidRDefault="009E16C7" w:rsidP="00152F10">
            <w:pPr>
              <w:rPr>
                <w:rFonts w:cs="Arial"/>
              </w:rPr>
            </w:pPr>
          </w:p>
        </w:tc>
        <w:tc>
          <w:tcPr>
            <w:tcW w:w="1260" w:type="dxa"/>
          </w:tcPr>
          <w:p w14:paraId="6AB228F0" w14:textId="141DBE89" w:rsidR="009E16C7" w:rsidRPr="00152F10" w:rsidRDefault="009E16C7" w:rsidP="00152F10">
            <w:pPr>
              <w:rPr>
                <w:rFonts w:cs="Arial"/>
              </w:rPr>
            </w:pPr>
          </w:p>
        </w:tc>
      </w:tr>
      <w:tr w:rsidR="009E16C7" w14:paraId="4AD2C014" w14:textId="4FD96CBB" w:rsidTr="009E16C7">
        <w:tc>
          <w:tcPr>
            <w:tcW w:w="1615" w:type="dxa"/>
          </w:tcPr>
          <w:p w14:paraId="2FF79D69" w14:textId="7FEC6568" w:rsidR="009E16C7" w:rsidRPr="00152F10" w:rsidRDefault="009E16C7" w:rsidP="009E16C7">
            <w:pPr>
              <w:rPr>
                <w:rFonts w:cs="Arial"/>
              </w:rPr>
            </w:pPr>
            <w:r>
              <w:t>A6150</w:t>
            </w:r>
          </w:p>
        </w:tc>
        <w:tc>
          <w:tcPr>
            <w:tcW w:w="1260" w:type="dxa"/>
          </w:tcPr>
          <w:p w14:paraId="2B5A9E4D" w14:textId="277CDC2D" w:rsidR="009E16C7" w:rsidRDefault="00887D9B" w:rsidP="009E16C7">
            <w:pPr>
              <w:rPr>
                <w:rFonts w:cs="Arial"/>
              </w:rPr>
            </w:pPr>
            <w:r>
              <w:t>A8000</w:t>
            </w:r>
          </w:p>
        </w:tc>
        <w:tc>
          <w:tcPr>
            <w:tcW w:w="1260" w:type="dxa"/>
          </w:tcPr>
          <w:p w14:paraId="495E89A1" w14:textId="3B72721B" w:rsidR="009E16C7" w:rsidRPr="00152F10" w:rsidRDefault="00887D9B" w:rsidP="009E16C7">
            <w:pPr>
              <w:rPr>
                <w:rFonts w:cs="Arial"/>
              </w:rPr>
            </w:pPr>
            <w:r>
              <w:t>AGM73x</w:t>
            </w:r>
          </w:p>
        </w:tc>
        <w:tc>
          <w:tcPr>
            <w:tcW w:w="1260" w:type="dxa"/>
          </w:tcPr>
          <w:p w14:paraId="0155C667" w14:textId="499AEEC7" w:rsidR="009E16C7" w:rsidRPr="00152F10" w:rsidRDefault="004C712D" w:rsidP="009E16C7">
            <w:pPr>
              <w:rPr>
                <w:rFonts w:cs="Arial"/>
              </w:rPr>
            </w:pPr>
            <w:r>
              <w:t>AX7xx</w:t>
            </w:r>
          </w:p>
        </w:tc>
        <w:tc>
          <w:tcPr>
            <w:tcW w:w="1260" w:type="dxa"/>
          </w:tcPr>
          <w:p w14:paraId="49389126" w14:textId="568EE3D1" w:rsidR="009E16C7" w:rsidRPr="00152F10" w:rsidRDefault="009E16C7" w:rsidP="009E16C7">
            <w:pPr>
              <w:rPr>
                <w:rFonts w:cs="Arial"/>
              </w:rPr>
            </w:pPr>
          </w:p>
        </w:tc>
        <w:tc>
          <w:tcPr>
            <w:tcW w:w="1260" w:type="dxa"/>
          </w:tcPr>
          <w:p w14:paraId="632D3133" w14:textId="7B97F572" w:rsidR="009E16C7" w:rsidRPr="00152F10" w:rsidRDefault="009E16C7" w:rsidP="009E16C7">
            <w:pPr>
              <w:rPr>
                <w:rFonts w:cs="Arial"/>
              </w:rPr>
            </w:pPr>
          </w:p>
        </w:tc>
      </w:tr>
      <w:tr w:rsidR="009E16C7" w14:paraId="34FBBA45" w14:textId="57C5679D" w:rsidTr="009E16C7">
        <w:tc>
          <w:tcPr>
            <w:tcW w:w="1615" w:type="dxa"/>
          </w:tcPr>
          <w:p w14:paraId="121F89E6" w14:textId="2AFB3F31" w:rsidR="009E16C7" w:rsidRPr="00152F10" w:rsidRDefault="009E16C7" w:rsidP="009E16C7">
            <w:pPr>
              <w:rPr>
                <w:rFonts w:cs="Arial"/>
              </w:rPr>
            </w:pPr>
            <w:r>
              <w:t>A6210</w:t>
            </w:r>
          </w:p>
        </w:tc>
        <w:tc>
          <w:tcPr>
            <w:tcW w:w="1260" w:type="dxa"/>
          </w:tcPr>
          <w:p w14:paraId="604A52FD" w14:textId="5F747B81" w:rsidR="009E16C7" w:rsidRDefault="00887D9B" w:rsidP="009E16C7">
            <w:pPr>
              <w:rPr>
                <w:rFonts w:cs="Arial"/>
              </w:rPr>
            </w:pPr>
            <w:r>
              <w:t>ACC76x</w:t>
            </w:r>
          </w:p>
        </w:tc>
        <w:tc>
          <w:tcPr>
            <w:tcW w:w="1260" w:type="dxa"/>
          </w:tcPr>
          <w:p w14:paraId="5EF9ECBB" w14:textId="062D7D60" w:rsidR="009E16C7" w:rsidRPr="00152F10" w:rsidRDefault="00887D9B" w:rsidP="009E16C7">
            <w:pPr>
              <w:rPr>
                <w:rFonts w:cs="Arial"/>
              </w:rPr>
            </w:pPr>
            <w:r>
              <w:t>AXC76x</w:t>
            </w:r>
          </w:p>
        </w:tc>
        <w:tc>
          <w:tcPr>
            <w:tcW w:w="1260" w:type="dxa"/>
          </w:tcPr>
          <w:p w14:paraId="3C4A43BC" w14:textId="491C1DE6" w:rsidR="009E16C7" w:rsidRPr="00152F10" w:rsidRDefault="00621AAC" w:rsidP="009E16C7">
            <w:pPr>
              <w:rPr>
                <w:rFonts w:cs="Arial"/>
              </w:rPr>
            </w:pPr>
            <w:r>
              <w:t>AFM73x</w:t>
            </w:r>
          </w:p>
        </w:tc>
        <w:tc>
          <w:tcPr>
            <w:tcW w:w="1260" w:type="dxa"/>
          </w:tcPr>
          <w:p w14:paraId="220357B8" w14:textId="01C50665" w:rsidR="009E16C7" w:rsidRPr="00152F10" w:rsidRDefault="009E16C7" w:rsidP="009E16C7">
            <w:pPr>
              <w:rPr>
                <w:rFonts w:cs="Arial"/>
              </w:rPr>
            </w:pPr>
          </w:p>
        </w:tc>
        <w:tc>
          <w:tcPr>
            <w:tcW w:w="1260" w:type="dxa"/>
          </w:tcPr>
          <w:p w14:paraId="4B24D610" w14:textId="77777777" w:rsidR="009E16C7" w:rsidRPr="00152F10" w:rsidRDefault="009E16C7" w:rsidP="009E16C7">
            <w:pPr>
              <w:rPr>
                <w:rFonts w:cs="Arial"/>
              </w:rPr>
            </w:pPr>
          </w:p>
        </w:tc>
      </w:tr>
    </w:tbl>
    <w:p w14:paraId="1697C5C2" w14:textId="77777777" w:rsidR="00445F96" w:rsidRDefault="00445F96" w:rsidP="00152F10">
      <w:pPr>
        <w:spacing w:before="60"/>
        <w:rPr>
          <w:rFonts w:cs="Arial"/>
        </w:rPr>
      </w:pPr>
      <w:r>
        <w:t>Este dispositivo cumple con el apartado 15 de la normativa FCC. Su funcionamiento está sujeto a las dos condiciones siguientes: (1) este dispositivo no causa interferencias perjudiciales y (2) este dispositivo tolera cualquier interferencia recibida, incluidas las que puedan provocar un funcionamiento no deseado.</w:t>
      </w:r>
    </w:p>
    <w:p w14:paraId="64155296" w14:textId="3E887B0C" w:rsidR="004E534D" w:rsidRPr="004E534D" w:rsidRDefault="004E534D" w:rsidP="00481C42">
      <w:pPr>
        <w:pStyle w:val="Heading2"/>
      </w:pPr>
      <w:bookmarkStart w:id="25" w:name="_Toc118885934"/>
      <w:r>
        <w:t>Instrucciones y advertencias de la FCC sobre radiofrecuencia</w:t>
      </w:r>
      <w:bookmarkEnd w:id="25"/>
    </w:p>
    <w:p w14:paraId="331578FB" w14:textId="77777777" w:rsidR="00880428" w:rsidRDefault="00880428" w:rsidP="00880428">
      <w:pPr>
        <w:rPr>
          <w:rFonts w:cs="Arial"/>
        </w:rPr>
      </w:pPr>
      <w:r>
        <w:t>Los productos comercializados en EE. UU. solo pueden utilizarse en los canales del 1 al 11. No se pueden seleccionar otros canales.</w:t>
      </w:r>
    </w:p>
    <w:p w14:paraId="210E2899" w14:textId="77777777" w:rsidR="007C5FA2" w:rsidRPr="00D93A87" w:rsidRDefault="007C5FA2" w:rsidP="00481C42">
      <w:pPr>
        <w:pStyle w:val="Heading3"/>
      </w:pPr>
      <w:bookmarkStart w:id="26" w:name="_Toc118885935"/>
      <w:r>
        <w:t>Uso de la selección del código de país (dispositivos WLAN)</w:t>
      </w:r>
      <w:bookmarkEnd w:id="26"/>
    </w:p>
    <w:p w14:paraId="373842D5" w14:textId="2EE8D273" w:rsidR="007C5FA2" w:rsidRPr="004E534D" w:rsidRDefault="007C5FA2" w:rsidP="007C5FA2">
      <w:pPr>
        <w:rPr>
          <w:rFonts w:cs="Arial"/>
        </w:rPr>
      </w:pPr>
      <w:r>
        <w:t xml:space="preserve">La selección del código de país se aplica únicamente a los modelos no estadounidenses y no está disponible en ninguno de los modelos estadounidenses. De acuerdo con la normativa de la FCC, todos los productos con </w:t>
      </w:r>
      <w:proofErr w:type="spellStart"/>
      <w:r>
        <w:t>WiFi</w:t>
      </w:r>
      <w:proofErr w:type="spellEnd"/>
      <w:r>
        <w:t xml:space="preserve"> comercializados en EE. UU. deben limitarse únicamente a los canales de funcionamiento estadounidenses. Algunos modelos seleccionan automáticamente el código de país y el usuario no puede configurarlo. Si no se puede detectar el país, es posible que esos dispositivos utilicen una frecuencia o potencia menor a la esperada.</w:t>
      </w:r>
    </w:p>
    <w:p w14:paraId="7B6D1FEE" w14:textId="60A65F42" w:rsidR="00CB192D" w:rsidRDefault="00CB192D" w:rsidP="00CB192D">
      <w:pPr>
        <w:rPr>
          <w:rFonts w:cs="Arial"/>
          <w:color w:val="FF0000"/>
        </w:rPr>
      </w:pPr>
      <w:r>
        <w:t xml:space="preserve">Este producto NETGEAR solo debe utilizarse con antenas autorizadas.  Ni este dispositivo ni sus antenas deben colocarse o utilizarse junto con ninguna otra antena o transmisor, excepto si se realiza de conformidad con los procedimientos para </w:t>
      </w:r>
      <w:proofErr w:type="spellStart"/>
      <w:r>
        <w:t>multitransmisores</w:t>
      </w:r>
      <w:proofErr w:type="spellEnd"/>
      <w:r>
        <w:t xml:space="preserve"> de la FCC</w:t>
      </w:r>
      <w:r>
        <w:rPr>
          <w:color w:val="FF0000"/>
        </w:rPr>
        <w:t xml:space="preserve">. </w:t>
      </w:r>
    </w:p>
    <w:p w14:paraId="78476331" w14:textId="37729F47" w:rsidR="00995943" w:rsidRDefault="00995943" w:rsidP="00995943">
      <w:pPr>
        <w:rPr>
          <w:rFonts w:cs="Arial"/>
        </w:rPr>
      </w:pPr>
      <w:r>
        <w:t>Ni el dispositivo ni sus antenas deben colocarse o utilizarse junto con ninguna otra antena o transmisor, excepto si se realiza de conformidad con la normativa de la FCC.</w:t>
      </w:r>
    </w:p>
    <w:p w14:paraId="42605D74" w14:textId="527167AB" w:rsidR="00995943" w:rsidRDefault="00995943" w:rsidP="00995943">
      <w:r>
        <w:t>Aviso de la FCC: La realización de cualquier cambio o modificación no aprobados expresamente por la parte responsable del cumplimiento normativo podrá derivar en la anulación del permiso del usuario para manejar este equipo.</w:t>
      </w:r>
    </w:p>
    <w:p w14:paraId="63A2E45C" w14:textId="34DE5FC4" w:rsidR="00C5342C" w:rsidRDefault="00612DC5" w:rsidP="00063563">
      <w:pPr>
        <w:pStyle w:val="Heading3"/>
      </w:pPr>
      <w:bookmarkStart w:id="27" w:name="_Toc118885936"/>
      <w:r>
        <w:lastRenderedPageBreak/>
        <w:t xml:space="preserve">Dispositivos </w:t>
      </w:r>
      <w:proofErr w:type="spellStart"/>
      <w:r>
        <w:t>Wi</w:t>
      </w:r>
      <w:proofErr w:type="spellEnd"/>
      <w:r>
        <w:t>-Fi de 5,9 y 6 GHz</w:t>
      </w:r>
      <w:bookmarkEnd w:id="27"/>
    </w:p>
    <w:p w14:paraId="5D339FFD" w14:textId="1B8A459E" w:rsidR="00F77478" w:rsidRDefault="00424412" w:rsidP="00995943">
      <w:r>
        <w:t>La normativa de la FCC restringe el funcionamiento de este dispositivo a un uso en interiores. Este dispositivo no puede utilizarse para proporcionar conexión entre edificios o estructuras separadas. Su funcionamiento está prohibido en plataformas petrolíferas, coches, trenes, barcos y aeronaves, excepto que el funcionamiento de este dispositivo esté permitido en aviones grandes volando por encima de los 3000 metros. El funcionamiento de transmisores en la banda de 5,915-7,125 GHz está prohibido para el control o las comunicaciones con sistemas de aeronaves no tripuladas, incluidos los drones.</w:t>
      </w:r>
    </w:p>
    <w:p w14:paraId="2D62BC05" w14:textId="0FCD4D40" w:rsidR="00BB2455" w:rsidRDefault="00BB2455" w:rsidP="00BB2455">
      <w:r>
        <w:t xml:space="preserve">El funcionamiento del modo AP de 6 GHz de los modelos MR61XX, MR64XX y MR65XX está restringido al uso en exteriores. El dispositivo puede usarse en exteriores cuando la frecuencia de 6 GHz no está operativa. El software restringe el funcionamiento a 6 GHz cuando el dispositivo está conectado a la red eléctrica. </w:t>
      </w:r>
    </w:p>
    <w:p w14:paraId="76AFACF4" w14:textId="77777777" w:rsidR="00AC23E2" w:rsidRDefault="00AC23E2" w:rsidP="00481C42">
      <w:pPr>
        <w:pStyle w:val="Heading2"/>
      </w:pPr>
      <w:bookmarkStart w:id="28" w:name="_Toc118885937"/>
      <w:bookmarkStart w:id="29" w:name="_Hlk35510725"/>
      <w:r>
        <w:t>Declaraciones de SAR y exposición a la radiación de radiofrecuencia de la FCC</w:t>
      </w:r>
      <w:bookmarkEnd w:id="28"/>
    </w:p>
    <w:p w14:paraId="0BD7BF0C" w14:textId="7365A363" w:rsidR="00AC23E2" w:rsidRDefault="00234A05" w:rsidP="00481C42">
      <w:pPr>
        <w:pStyle w:val="Heading3"/>
      </w:pPr>
      <w:bookmarkStart w:id="30" w:name="_Toc118885938"/>
      <w:r>
        <w:t>La información de esta sección se aplica a los productos que transmiten datos o que se comunican de forma inalámbrica - Declaración de SAR.</w:t>
      </w:r>
      <w:bookmarkEnd w:id="30"/>
    </w:p>
    <w:p w14:paraId="6EC8E00F" w14:textId="77777777" w:rsidR="00B24349" w:rsidRDefault="00B24349" w:rsidP="00AC23E2">
      <w:r>
        <w:t xml:space="preserve">La información de esta sección se aplica a los productos inalámbricos NETGEAR diseñados para su uso cerca del cuerpo humano. </w:t>
      </w:r>
    </w:p>
    <w:p w14:paraId="2B48A233" w14:textId="087B6568" w:rsidR="00B654CA" w:rsidRDefault="009A1357" w:rsidP="00F76120">
      <w:r>
        <w:t>Los productos NETGEAR que están diseñados para su uso cerca del cuerpo humano se han sometido a pruebas para garantizar el cumplimiento de la tasa de absorción específica (SAR). Este producto cumple los límites de SAR nacionales aplicables de 1,6 W/kg. Cuando lleve el producto consigo o lo use mientras lo lleve cerca del cuerpo, mantenga el producto a una distancia de 10 mm de su cuerpo para garantizar el cumplimiento de los requisitos de exposición a la radiofrecuencia. Para obtener más información y consultar la distancia mínima, así como para informarse sobre el nivel más alto de SAR determinado para este dispositivo, consulte la sección sobre exposición a radio en:</w:t>
      </w:r>
    </w:p>
    <w:p w14:paraId="1C835705" w14:textId="22BD335B" w:rsidR="00F76120" w:rsidRDefault="00A40CD8" w:rsidP="00F76120">
      <w:hyperlink r:id="rId24" w:history="1">
        <w:r w:rsidR="00E63B27">
          <w:rPr>
            <w:rStyle w:val="Hyperlink"/>
          </w:rPr>
          <w:t>https://www.netgear.com/about/regulatory/</w:t>
        </w:r>
      </w:hyperlink>
    </w:p>
    <w:p w14:paraId="75AE2225" w14:textId="77777777" w:rsidR="0048177F" w:rsidRDefault="0048177F" w:rsidP="0048177F">
      <w:r>
        <w:t xml:space="preserve">Los transmisores de llave USB NETGEAR están aprobados para su uso en ordenadores portátiles comunes. Para cumplir con los requisitos de exposición a radiofrecuencia de la FCC, no utilice transmisores de llave USB NETGEAR en otros dispositivos ni en determinadas configuraciones de portátiles y </w:t>
      </w:r>
      <w:proofErr w:type="spellStart"/>
      <w:r>
        <w:t>tablets</w:t>
      </w:r>
      <w:proofErr w:type="spellEnd"/>
      <w:r>
        <w:t xml:space="preserve"> en las que los conectores USB del ordenador host no puedan proporcionar o garantizar las configuraciones de funcionamiento necesarias para que se cumplan los requisitos de exposición a radiofrecuencia previstas para el dispositivo y sus usuarios o las personas que se encuentran en las cercanías.   </w:t>
      </w:r>
    </w:p>
    <w:p w14:paraId="3460E2A6" w14:textId="77777777" w:rsidR="00D54FF3" w:rsidRDefault="00D54FF3" w:rsidP="00481C42">
      <w:pPr>
        <w:pStyle w:val="Heading3"/>
      </w:pPr>
      <w:bookmarkStart w:id="31" w:name="_Toc118885939"/>
      <w:bookmarkStart w:id="32" w:name="_Hlk35510675"/>
      <w:r>
        <w:t>Declaración de exposición máxima permisiva</w:t>
      </w:r>
      <w:bookmarkEnd w:id="31"/>
    </w:p>
    <w:p w14:paraId="03E3C1DD" w14:textId="77777777" w:rsidR="00D54FF3" w:rsidRDefault="00D54FF3" w:rsidP="00D54FF3">
      <w:r>
        <w:t xml:space="preserve">La información de esta sección se aplica a los productos inalámbricos NETGEAR diseñados para su uso a una distancia mínima de 20 cm del cuerpo. </w:t>
      </w:r>
    </w:p>
    <w:p w14:paraId="539100AB" w14:textId="49DB7D8B" w:rsidR="00D54FF3" w:rsidRDefault="00D54FF3" w:rsidP="00D54FF3">
      <w:r>
        <w:t>Los productos NETGEAR cumplen con los límites de exposición a la radiación establecidos por la FCC para ambientes no controlados. Se recomienda instalar y usar este equipo a una distancia mínima de 35 cm entre el dispositivo emisor de radio y el usuario. Para obtener más información y consultar la distancia mínima sobre productos específicos, consulte la sección sobre exposición a radio en:</w:t>
      </w:r>
    </w:p>
    <w:p w14:paraId="7CD38199" w14:textId="6298B52D" w:rsidR="00D54FF3" w:rsidRDefault="00A40CD8" w:rsidP="00D54FF3">
      <w:hyperlink r:id="rId25" w:history="1">
        <w:r w:rsidR="00E63B27">
          <w:rPr>
            <w:rStyle w:val="Hyperlink"/>
          </w:rPr>
          <w:t>https://www.netgear.com/about/regulatory/</w:t>
        </w:r>
      </w:hyperlink>
    </w:p>
    <w:p w14:paraId="557A8C2A" w14:textId="77777777" w:rsidR="00E3743F" w:rsidRDefault="00E3743F" w:rsidP="00481C42">
      <w:pPr>
        <w:pStyle w:val="Heading2"/>
      </w:pPr>
      <w:bookmarkStart w:id="33" w:name="_Toc118885940"/>
      <w:bookmarkEnd w:id="32"/>
      <w:r>
        <w:t>Precauciones específicas para EMC</w:t>
      </w:r>
      <w:bookmarkEnd w:id="33"/>
      <w:r>
        <w:t xml:space="preserve"> </w:t>
      </w:r>
    </w:p>
    <w:p w14:paraId="59601A7F" w14:textId="77777777" w:rsidR="00E3743F" w:rsidRPr="00EE61BC" w:rsidRDefault="00E3743F" w:rsidP="0060535B">
      <w:r>
        <w:t>Los productos NETGEAR, incluidos todos los dispositivos inalámbricos, módulos y switches pequeños, son dispositivos EMC de clase B. Los switches Ethernet con más de 8 puertos son, por lo general, dispositivos EMC de clase A.</w:t>
      </w:r>
    </w:p>
    <w:p w14:paraId="56E561E9" w14:textId="77777777" w:rsidR="00E3743F" w:rsidRPr="00D93A87" w:rsidRDefault="00E3743F" w:rsidP="00481C42">
      <w:pPr>
        <w:pStyle w:val="Heading3"/>
      </w:pPr>
      <w:bookmarkStart w:id="34" w:name="_Toc118885941"/>
      <w:r>
        <w:lastRenderedPageBreak/>
        <w:t>Productos de clase B</w:t>
      </w:r>
      <w:bookmarkEnd w:id="34"/>
    </w:p>
    <w:p w14:paraId="38EA1770" w14:textId="77777777" w:rsidR="00E3743F" w:rsidRPr="004E534D" w:rsidRDefault="00E3743F" w:rsidP="00E3743F">
      <w:pPr>
        <w:rPr>
          <w:rFonts w:cs="Arial"/>
        </w:rPr>
      </w:pPr>
      <w:r>
        <w:t>Tras someterlo a las pruebas correspondientes, se ha determinado que el producto NETGEAR cumple los límites establecidos para dispositivos digitales de clase B de conformidad con el apartado 15 de la normativa de la FCC. Estos límites se han establecido con el objetivo de aportar una protección razonable contra interferencias perjudiciales cuando el equipo se utiliza en un domicilio particular. Este equipo utiliza y puede emitir energía de radiofrecuencia y, a menos que se instale y se utilice de acuerdo con el manual de instrucciones, puede provocar interferencias perjudiciales para las comunicaciones por radio. Sin embargo, no existe garantía de que éstas no se produzcan en determinadas instalaciones. Si el equipo produce interferencias perjudiciales para la recepción de radio o televisión, algo que puede comprobarse encendiendo y apagando el equipo, se recomienda al usuario corregir dichas interferencias tomando una o varias de las siguientes medidas:</w:t>
      </w:r>
    </w:p>
    <w:p w14:paraId="0791FDD4" w14:textId="77777777" w:rsidR="00E3743F" w:rsidRPr="004E534D" w:rsidRDefault="00E3743F" w:rsidP="00E3743F">
      <w:pPr>
        <w:pStyle w:val="ListParagraph"/>
        <w:numPr>
          <w:ilvl w:val="0"/>
          <w:numId w:val="13"/>
        </w:numPr>
        <w:rPr>
          <w:rFonts w:cs="Arial"/>
        </w:rPr>
      </w:pPr>
      <w:r>
        <w:t>Modificar la orientación o ubicación de la antena de recepción.</w:t>
      </w:r>
    </w:p>
    <w:p w14:paraId="06C37534" w14:textId="77777777" w:rsidR="00E3743F" w:rsidRPr="004E534D" w:rsidRDefault="00E3743F" w:rsidP="00E3743F">
      <w:pPr>
        <w:pStyle w:val="ListParagraph"/>
        <w:numPr>
          <w:ilvl w:val="0"/>
          <w:numId w:val="13"/>
        </w:numPr>
        <w:rPr>
          <w:rFonts w:cs="Arial"/>
        </w:rPr>
      </w:pPr>
      <w:r>
        <w:t>Aumentar la separación entre el equipo y el receptor.</w:t>
      </w:r>
    </w:p>
    <w:p w14:paraId="1373EE70" w14:textId="77777777" w:rsidR="00E3743F" w:rsidRPr="004E534D" w:rsidRDefault="00E3743F" w:rsidP="00E3743F">
      <w:pPr>
        <w:pStyle w:val="ListParagraph"/>
        <w:numPr>
          <w:ilvl w:val="0"/>
          <w:numId w:val="13"/>
        </w:numPr>
        <w:rPr>
          <w:rFonts w:cs="Arial"/>
        </w:rPr>
      </w:pPr>
      <w:r>
        <w:t>Conectar el equipo a una toma de corriente en un circuito diferente al del receptor de radio.</w:t>
      </w:r>
    </w:p>
    <w:p w14:paraId="618EE80C" w14:textId="77777777" w:rsidR="00E3743F" w:rsidRDefault="00E3743F" w:rsidP="00E3743F">
      <w:pPr>
        <w:pStyle w:val="ListParagraph"/>
        <w:numPr>
          <w:ilvl w:val="0"/>
          <w:numId w:val="13"/>
        </w:numPr>
        <w:rPr>
          <w:rFonts w:cs="Arial"/>
        </w:rPr>
      </w:pPr>
      <w:r>
        <w:t>Consultar al distribuidor o a un técnico especialista de radio o televisión.</w:t>
      </w:r>
    </w:p>
    <w:p w14:paraId="4268F864" w14:textId="77777777" w:rsidR="00E3743F" w:rsidRDefault="00E3743F" w:rsidP="00481C42">
      <w:pPr>
        <w:pStyle w:val="Heading3"/>
      </w:pPr>
      <w:bookmarkStart w:id="35" w:name="_Toc118885942"/>
      <w:r>
        <w:t>Productos de clase A</w:t>
      </w:r>
      <w:bookmarkEnd w:id="35"/>
    </w:p>
    <w:p w14:paraId="500DDA9C" w14:textId="77777777" w:rsidR="00E3743F" w:rsidRPr="000B1672" w:rsidRDefault="00E3743F" w:rsidP="00E3743F">
      <w:pPr>
        <w:rPr>
          <w:rFonts w:cs="Arial"/>
        </w:rPr>
      </w:pPr>
      <w:r>
        <w:t>Tras someterlo a las pruebas correspondientes, se ha determinado que el producto NETGEAR cumple los límites establecidos para dispositivos digitales de clase A de conformidad con el apartado 15 de la normativa de la FCC. Estos límites se han establecido con el objetivo de ofrecer una protección razonable contra interferencias perjudiciales cuando el equipo se usa en un entorno comercial. Este equipo genera, utiliza y puede emitir energía de radiofrecuencia y, a menos que se instale y se utilice de acuerdo con lo indicado en el manual de instrucciones, puede provocar interferencias perjudiciales en las comunicaciones por radio. Es probable que el uso de este equipo en un área residencial cause interferencias perjudiciales, en cuyo caso, los gastos incurridos para su reparación correrán a cargo del usuario.</w:t>
      </w:r>
    </w:p>
    <w:p w14:paraId="591FD6D9" w14:textId="77777777" w:rsidR="00B654CA" w:rsidRPr="00481C42" w:rsidRDefault="007C5FA2" w:rsidP="00481C42">
      <w:pPr>
        <w:pStyle w:val="Heading2"/>
      </w:pPr>
      <w:bookmarkStart w:id="36" w:name="_Toc118885943"/>
      <w:r>
        <w:t>Aviso del apartado 68 de la FCC</w:t>
      </w:r>
      <w:bookmarkEnd w:id="36"/>
    </w:p>
    <w:bookmarkEnd w:id="29"/>
    <w:p w14:paraId="6EA72E34" w14:textId="77777777" w:rsidR="009C27BE" w:rsidRDefault="007C5FA2" w:rsidP="004E534D">
      <w:pPr>
        <w:rPr>
          <w:rFonts w:cs="Arial"/>
        </w:rPr>
      </w:pPr>
      <w:r>
        <w:t>El siguiente equipo cumple con el apartado 68 de la normativa de la FCC y con los requisitos adoptados por la ACTA:</w:t>
      </w:r>
    </w:p>
    <w:p w14:paraId="1EA46107" w14:textId="0CE086C0" w:rsidR="007C5FA2" w:rsidRDefault="007C5FA2" w:rsidP="0060535B">
      <w:pPr>
        <w:pStyle w:val="Heading4"/>
      </w:pPr>
      <w:r>
        <w:t>Tabla 4: Productos recogidos en el apartado 68 de la FCC</w:t>
      </w:r>
    </w:p>
    <w:tbl>
      <w:tblPr>
        <w:tblStyle w:val="TableGrid"/>
        <w:tblW w:w="0" w:type="auto"/>
        <w:tblInd w:w="720" w:type="dxa"/>
        <w:tblLook w:val="04A0" w:firstRow="1" w:lastRow="0" w:firstColumn="1" w:lastColumn="0" w:noHBand="0" w:noVBand="1"/>
      </w:tblPr>
      <w:tblGrid>
        <w:gridCol w:w="4315"/>
        <w:gridCol w:w="4315"/>
      </w:tblGrid>
      <w:tr w:rsidR="007C5FA2" w14:paraId="65B6D42C" w14:textId="77777777" w:rsidTr="007C5FA2">
        <w:tc>
          <w:tcPr>
            <w:tcW w:w="4315" w:type="dxa"/>
          </w:tcPr>
          <w:p w14:paraId="232AFED2" w14:textId="77777777" w:rsidR="007C5FA2" w:rsidRDefault="007C5FA2" w:rsidP="009C27BE">
            <w:pPr>
              <w:pStyle w:val="ListParagraph"/>
              <w:numPr>
                <w:ilvl w:val="0"/>
                <w:numId w:val="28"/>
              </w:numPr>
              <w:ind w:left="0" w:firstLine="0"/>
              <w:rPr>
                <w:rFonts w:cs="Arial"/>
              </w:rPr>
            </w:pPr>
            <w:r>
              <w:t>D2200D</w:t>
            </w:r>
          </w:p>
        </w:tc>
        <w:tc>
          <w:tcPr>
            <w:tcW w:w="4315" w:type="dxa"/>
          </w:tcPr>
          <w:p w14:paraId="437E7762" w14:textId="77777777" w:rsidR="007C5FA2" w:rsidRDefault="007C5FA2" w:rsidP="000E6B64">
            <w:pPr>
              <w:pStyle w:val="ListParagraph"/>
              <w:ind w:left="0"/>
              <w:rPr>
                <w:rFonts w:cs="Arial"/>
              </w:rPr>
            </w:pPr>
          </w:p>
        </w:tc>
      </w:tr>
      <w:tr w:rsidR="007C5FA2" w14:paraId="05F42464" w14:textId="77777777" w:rsidTr="007C5FA2">
        <w:tc>
          <w:tcPr>
            <w:tcW w:w="4315" w:type="dxa"/>
          </w:tcPr>
          <w:p w14:paraId="31F69991" w14:textId="77777777" w:rsidR="007C5FA2" w:rsidRDefault="007C5FA2" w:rsidP="000E6B64">
            <w:pPr>
              <w:pStyle w:val="ListParagraph"/>
              <w:ind w:left="0"/>
              <w:rPr>
                <w:rFonts w:cs="Arial"/>
              </w:rPr>
            </w:pPr>
          </w:p>
        </w:tc>
        <w:tc>
          <w:tcPr>
            <w:tcW w:w="4315" w:type="dxa"/>
          </w:tcPr>
          <w:p w14:paraId="5C6E13A2" w14:textId="77777777" w:rsidR="007C5FA2" w:rsidRDefault="007C5FA2" w:rsidP="000E6B64">
            <w:pPr>
              <w:pStyle w:val="ListParagraph"/>
              <w:ind w:left="0"/>
              <w:rPr>
                <w:rFonts w:cs="Arial"/>
              </w:rPr>
            </w:pPr>
          </w:p>
        </w:tc>
      </w:tr>
    </w:tbl>
    <w:p w14:paraId="0224D172" w14:textId="77777777" w:rsidR="009C27BE" w:rsidRPr="009C27BE" w:rsidRDefault="009C27BE" w:rsidP="007C5FA2">
      <w:pPr>
        <w:spacing w:before="60" w:after="60"/>
        <w:rPr>
          <w:rFonts w:cs="Arial"/>
        </w:rPr>
      </w:pPr>
      <w:r>
        <w:t xml:space="preserve">En la etiqueta del producto de este equipo hay una segunda etiqueta que contiene, entre otra información, el producto identificado en el formato estadounidense </w:t>
      </w:r>
      <w:proofErr w:type="gramStart"/>
      <w:r>
        <w:t>US:WXXXXYYYZZZZZ</w:t>
      </w:r>
      <w:proofErr w:type="gramEnd"/>
      <w:r>
        <w:t xml:space="preserve">. Si se solicita, este número debe proporcionarse a la compañía telefónica. </w:t>
      </w:r>
    </w:p>
    <w:p w14:paraId="13914DCD" w14:textId="71E0BE39" w:rsidR="004E534D" w:rsidRPr="00530C71" w:rsidRDefault="00530C71" w:rsidP="00481C42">
      <w:pPr>
        <w:pStyle w:val="Heading1"/>
      </w:pPr>
      <w:bookmarkStart w:id="37" w:name="_Toc118885944"/>
      <w:r>
        <w:t>Normativas de innovación, ciencia y desarrollo económico de Canadá (ISED)</w:t>
      </w:r>
      <w:bookmarkEnd w:id="37"/>
    </w:p>
    <w:p w14:paraId="486262DA" w14:textId="77777777" w:rsidR="006840DB" w:rsidRDefault="00AC23E2" w:rsidP="0014339D">
      <w:r>
        <w:t>La información de esta sección se aplica a los productos que incluyen cualquiera de las siguientes declaraciones:</w:t>
      </w:r>
    </w:p>
    <w:p w14:paraId="01771393" w14:textId="5E022E46" w:rsidR="00D93A87" w:rsidRPr="009A1267" w:rsidRDefault="00D93A87" w:rsidP="0097006B">
      <w:pPr>
        <w:spacing w:after="120"/>
        <w:ind w:left="720"/>
        <w:rPr>
          <w:lang w:val="en-US"/>
        </w:rPr>
      </w:pPr>
      <w:r w:rsidRPr="009A1267">
        <w:rPr>
          <w:lang w:val="en-US"/>
        </w:rPr>
        <w:t>CAN ICES-003 (B)/NMB-003(B)</w:t>
      </w:r>
    </w:p>
    <w:p w14:paraId="5036A1BA" w14:textId="0CB6FBDE" w:rsidR="00D93A87" w:rsidRPr="009A1267" w:rsidRDefault="00D93A87" w:rsidP="0097006B">
      <w:pPr>
        <w:spacing w:after="120"/>
        <w:ind w:left="720"/>
        <w:rPr>
          <w:lang w:val="en-US"/>
        </w:rPr>
      </w:pPr>
      <w:r w:rsidRPr="009A1267">
        <w:rPr>
          <w:lang w:val="en-US"/>
        </w:rPr>
        <w:t>CAN ICES-003 (A)/NMB-003(A)</w:t>
      </w:r>
    </w:p>
    <w:p w14:paraId="5AE746AB" w14:textId="77777777" w:rsidR="007D5B99" w:rsidRPr="006840DB" w:rsidRDefault="007D5B99" w:rsidP="006840DB">
      <w:pPr>
        <w:ind w:left="720"/>
      </w:pPr>
      <w:r>
        <w:t xml:space="preserve">"Este dispositivo digital no supera los límites para las emisiones de radio procedentes de dispositivos digitales de clase B de acuerdo con lo estipulado en la normativa sobre </w:t>
      </w:r>
      <w:proofErr w:type="spellStart"/>
      <w:r>
        <w:t>radiointerferencias</w:t>
      </w:r>
      <w:proofErr w:type="spellEnd"/>
      <w:r>
        <w:t xml:space="preserve"> del Departamento Canadiense de Comunicaciones".</w:t>
      </w:r>
    </w:p>
    <w:p w14:paraId="4E915763" w14:textId="77777777" w:rsidR="00B36BA1" w:rsidRDefault="00217BC8" w:rsidP="004E534D">
      <w:pPr>
        <w:rPr>
          <w:rFonts w:cs="Arial"/>
        </w:rPr>
      </w:pPr>
      <w:r>
        <w:t xml:space="preserve">Todos los productos NETGEAR cumplen con los estándares RSS exentos de licencia de la ISED. Su funcionamiento está sujeto a las dos condiciones siguientes: (1) los productos NETGEAR no causan interferencias perjudiciales y (2) </w:t>
      </w:r>
      <w:r>
        <w:lastRenderedPageBreak/>
        <w:t>los productos NETGEAR toleran cualquier interferencia recibida, incluidas las que puedan provocar un funcionamiento no deseado.</w:t>
      </w:r>
    </w:p>
    <w:p w14:paraId="240A6E17" w14:textId="3F2E2665" w:rsidR="00E3743F" w:rsidRPr="004E534D" w:rsidRDefault="00E3743F" w:rsidP="00481C42">
      <w:pPr>
        <w:pStyle w:val="Heading2"/>
      </w:pPr>
      <w:bookmarkStart w:id="38" w:name="_Toc118885945"/>
      <w:r>
        <w:t>Instrucciones y advertencias sobre radiofrecuencia</w:t>
      </w:r>
      <w:bookmarkEnd w:id="38"/>
    </w:p>
    <w:p w14:paraId="246BBB51" w14:textId="77777777" w:rsidR="00E3743F" w:rsidRDefault="00E3743F" w:rsidP="00E3743F">
      <w:pPr>
        <w:rPr>
          <w:rFonts w:cs="Arial"/>
        </w:rPr>
      </w:pPr>
      <w:r>
        <w:t>Los productos comercializados en EE. UU. y Canadá solo pueden utilizarse en los canales del 1 al 11. No se pueden seleccionar otros canales.</w:t>
      </w:r>
    </w:p>
    <w:p w14:paraId="49CBFE85" w14:textId="77777777" w:rsidR="00E3743F" w:rsidRDefault="00E3743F" w:rsidP="00E3743F">
      <w:pPr>
        <w:rPr>
          <w:rFonts w:cs="Arial"/>
        </w:rPr>
      </w:pPr>
      <w:r>
        <w:t xml:space="preserve">Ni el dispositivo ni sus antenas deben colocarse o utilizarse junto con ninguna otra antena o transmisor, excepto si se realiza de conformidad con los procedimientos para </w:t>
      </w:r>
      <w:proofErr w:type="spellStart"/>
      <w:r>
        <w:t>multitransmisores</w:t>
      </w:r>
      <w:proofErr w:type="spellEnd"/>
      <w:r>
        <w:t xml:space="preserve"> de la IC.</w:t>
      </w:r>
    </w:p>
    <w:p w14:paraId="62E8945B" w14:textId="09A277FA" w:rsidR="00E3743F" w:rsidRDefault="00E3743F" w:rsidP="00E3743F">
      <w:pPr>
        <w:rPr>
          <w:rFonts w:cs="Arial"/>
        </w:rPr>
      </w:pPr>
      <w:r>
        <w:t xml:space="preserve">El dispositivo para la banda de 5150-5250 MHz está diseñado únicamente para su uso en interiores con el objetivo de reducir las posibles interferencias perjudiciales a los sistemas de satélites móviles </w:t>
      </w:r>
      <w:proofErr w:type="spellStart"/>
      <w:r>
        <w:t>cocanales</w:t>
      </w:r>
      <w:proofErr w:type="spellEnd"/>
      <w:r>
        <w:t>.</w:t>
      </w:r>
    </w:p>
    <w:p w14:paraId="29B5759B" w14:textId="77777777" w:rsidR="00C34109" w:rsidRDefault="00C34109" w:rsidP="00C34109">
      <w:pPr>
        <w:rPr>
          <w:rFonts w:cs="Arial"/>
        </w:rPr>
      </w:pPr>
      <w:r>
        <w:t>También debe informarse a los usuarios de que los radares de alta potencia están asignados como usuarios principales (es decir, usuarios prioritarios) de las bandas 5250-5350 MHz y 5650-5850 MHz, y que estos radares pueden causar interferencias o daños a los dispositivos LE-LAN.</w:t>
      </w:r>
    </w:p>
    <w:p w14:paraId="025AAFC0" w14:textId="67AEC060" w:rsidR="002A7E78" w:rsidRPr="00EE5249" w:rsidRDefault="002A7E78" w:rsidP="002A7E78">
      <w:pPr>
        <w:rPr>
          <w:rFonts w:cs="Arial"/>
        </w:rPr>
      </w:pPr>
      <w:r>
        <w:t>Según las normativas de ISED, este transmisor de radio solo puede usarse con una antena de un tipo y una ganancia máxima (o inferior) aprobadas por el ISED para el transmisor en cuestión. Para reducir las posibles interferencias de radio a otros usuarios, el tipo de antena y su ganancia deben elegirse de forma que la potencia isotrópica radiada equivalente (EIRP) no sea superior a la necesaria para una comunicación correcta. Consulte la tabla 2.</w:t>
      </w:r>
    </w:p>
    <w:p w14:paraId="11F8F464" w14:textId="63E1672A" w:rsidR="00C34109" w:rsidRDefault="00C34109" w:rsidP="00C34109">
      <w:pPr>
        <w:rPr>
          <w:rFonts w:cs="Arial"/>
        </w:rPr>
      </w:pPr>
      <w:r>
        <w:t>La ganancia máxima de antena permitida para los dispositivos en las bandas de 5250-5350 MHz y 5470-5725 MHz debe ajustarse al límite de la EIRP (potencia isotrópica radiada equivalente).</w:t>
      </w:r>
    </w:p>
    <w:p w14:paraId="0FA04162" w14:textId="14587A94" w:rsidR="00C34109" w:rsidRDefault="00C34109" w:rsidP="002A7E78">
      <w:pPr>
        <w:rPr>
          <w:rFonts w:cs="Arial"/>
          <w:color w:val="000000"/>
          <w:szCs w:val="18"/>
        </w:rPr>
      </w:pPr>
      <w:r>
        <w:rPr>
          <w:color w:val="000000"/>
        </w:rPr>
        <w:t>La ganancia máxima de antena permitida para los dispositivos en la banda de 5725-5825 MHz debe ajustarse a los límites de la EIRP (potencia isotrópica radiada equivalente) especificados para el funcionamiento de punto a punto y de punto a multipunto, según corresponda.</w:t>
      </w:r>
    </w:p>
    <w:p w14:paraId="22868082" w14:textId="5D2F436C" w:rsidR="00054A73" w:rsidRDefault="00054A73" w:rsidP="00054A73">
      <w:r>
        <w:t>El dispositivo está diseñado únicamente para su uso en interiores cuando se utiliza la banda de 5925-6425 MHz. Su funcionamiento está prohibido en plataformas petrolíferas, coches, trenes, barcos y aeronaves, excepto que el funcionamiento de este dispositivo esté permitido en aviones grandes volando por encima de los 3000 metros. El funcionamiento de transmisores en la banda de 5925-6425 MHz está prohibido para el control o las comunicaciones con sistemas de aeronaves no tripuladas.</w:t>
      </w:r>
    </w:p>
    <w:p w14:paraId="4E405205" w14:textId="77777777" w:rsidR="00D72E30" w:rsidRPr="004E534D" w:rsidRDefault="00D72E30" w:rsidP="00481C42">
      <w:pPr>
        <w:pStyle w:val="Heading2"/>
      </w:pPr>
      <w:bookmarkStart w:id="39" w:name="_Toc118885946"/>
      <w:r>
        <w:t>NOTA IMPORTANTE: Declaración sobre la exposición a la radiación</w:t>
      </w:r>
      <w:bookmarkEnd w:id="39"/>
    </w:p>
    <w:p w14:paraId="02CCAABD" w14:textId="77777777" w:rsidR="00D72E30" w:rsidRPr="00356269" w:rsidRDefault="00D72E30" w:rsidP="00481C42">
      <w:pPr>
        <w:pStyle w:val="Heading3"/>
      </w:pPr>
      <w:bookmarkStart w:id="40" w:name="_Toc118885947"/>
      <w:bookmarkStart w:id="41" w:name="_Hlk35587083"/>
      <w:r>
        <w:t>Advertencia de SAR:</w:t>
      </w:r>
      <w:bookmarkEnd w:id="40"/>
    </w:p>
    <w:p w14:paraId="1E1526EB" w14:textId="77777777" w:rsidR="00406A5B" w:rsidRDefault="00406A5B" w:rsidP="00406A5B">
      <w:r>
        <w:t xml:space="preserve">La información de esta sección se aplica a los productos inalámbricos NETGEAR diseñados para su uso cerca del cuerpo humano. </w:t>
      </w:r>
    </w:p>
    <w:p w14:paraId="00BEBBC7" w14:textId="4E823110" w:rsidR="00D72E30" w:rsidRPr="00356269" w:rsidRDefault="00D72E30" w:rsidP="00D72E30">
      <w:pPr>
        <w:rPr>
          <w:rFonts w:cs="Arial"/>
        </w:rPr>
      </w:pPr>
      <w:r>
        <w:t>Los productos NETGEAR cumplen con la tasa de absorción específica (SAR) de limitación de exposición no controlada o para el público general, especificada en IC RSS-102, y se han probado de acuerdo con los métodos de medición estipulados en IEEE 1528. Mantenga una distancia mínima de 10 mm para evitar daños en el cuerpo.</w:t>
      </w:r>
    </w:p>
    <w:p w14:paraId="5289C8CB" w14:textId="1F0F8C9C" w:rsidR="007E5B60" w:rsidRDefault="007E5B60" w:rsidP="004E534D">
      <w:pPr>
        <w:rPr>
          <w:rFonts w:cs="Arial"/>
        </w:rPr>
      </w:pPr>
      <w:r>
        <w:t>Los productos NETGEAR cumplen con el límite de exposición a radiofrecuencia portátil canadiense establecido para un entorno no controlado y son seguros para su uso previsto, tal y como se describe en su manual. Es posible lograr una mayor reducción de la exposición a radiofrecuencia si mantiene el producto lo más lejos posible del cuerpo o si reduce la potencia de salida del dispositivo en el caso de que esa función esté disponible.</w:t>
      </w:r>
    </w:p>
    <w:p w14:paraId="2AA60DAC" w14:textId="6D0618C8" w:rsidR="00314CF3" w:rsidRDefault="00314CF3" w:rsidP="00314CF3">
      <w:r>
        <w:t>Para obtener más información e informarse sobre el nivel más alto de SAR determinado para este dispositivo, consulte la sección sobre exposición a radio en:</w:t>
      </w:r>
    </w:p>
    <w:p w14:paraId="3F673B94" w14:textId="0E883E3F" w:rsidR="00314CF3" w:rsidRDefault="00A40CD8" w:rsidP="00314CF3">
      <w:hyperlink r:id="rId26" w:history="1">
        <w:r w:rsidR="00E63B27">
          <w:rPr>
            <w:rStyle w:val="Hyperlink"/>
          </w:rPr>
          <w:t>https://www.netgear.com/about/regulatory/</w:t>
        </w:r>
      </w:hyperlink>
    </w:p>
    <w:p w14:paraId="5D4F1079" w14:textId="77777777" w:rsidR="00406A5B" w:rsidRDefault="00406A5B" w:rsidP="00481C42">
      <w:pPr>
        <w:pStyle w:val="Heading3"/>
      </w:pPr>
      <w:bookmarkStart w:id="42" w:name="_Toc118885948"/>
      <w:r>
        <w:lastRenderedPageBreak/>
        <w:t>Declaración de exposición máxima permisiva</w:t>
      </w:r>
      <w:bookmarkEnd w:id="42"/>
    </w:p>
    <w:p w14:paraId="3D37D769" w14:textId="77777777" w:rsidR="00406A5B" w:rsidRDefault="00406A5B" w:rsidP="00406A5B">
      <w:r>
        <w:t xml:space="preserve">La información de esta sección se aplica a los productos inalámbricos NETGEAR diseñados para su uso a una distancia mínima de 20 cm del cuerpo. </w:t>
      </w:r>
    </w:p>
    <w:p w14:paraId="715D26E3" w14:textId="72800A33" w:rsidR="0031607B" w:rsidRDefault="00406A5B" w:rsidP="0031607B">
      <w:r>
        <w:t>Los productos NETGEAR cumplen con los límites de exposición a la radiación establecidos por la IC para ambientes no controlados.  La instalación y el uso de los productos NETGEAR deben realizarse a una distancia mínima de 70 cm entre el dispositivo emisor de radio y el usuario. Para obtener más información y consultar la distancia mínima, así como para informarse sobre el nivel más alto de SAR determinado para este dispositivo, consulte la sección sobre exposición a radio en:</w:t>
      </w:r>
    </w:p>
    <w:p w14:paraId="1DA9D3A5" w14:textId="7F222216" w:rsidR="0031607B" w:rsidRDefault="00A40CD8" w:rsidP="0031607B">
      <w:hyperlink r:id="rId27" w:history="1">
        <w:r w:rsidR="00E63B27">
          <w:rPr>
            <w:rStyle w:val="Hyperlink"/>
          </w:rPr>
          <w:t>https://www.netgear.com/about/regulatory/</w:t>
        </w:r>
      </w:hyperlink>
    </w:p>
    <w:p w14:paraId="39004ED7" w14:textId="00F6CE78" w:rsidR="00C509BF" w:rsidRDefault="00C509BF" w:rsidP="000E6B64">
      <w:pPr>
        <w:pStyle w:val="Heading2"/>
      </w:pPr>
      <w:bookmarkStart w:id="43" w:name="_Toc118885949"/>
      <w:bookmarkEnd w:id="41"/>
      <w:r>
        <w:rPr>
          <w:rStyle w:val="Hyperlink"/>
        </w:rPr>
        <w:t>Reglamento 522/20 de Ontario</w:t>
      </w:r>
      <w:bookmarkEnd w:id="43"/>
      <w:r>
        <w:rPr>
          <w:rStyle w:val="Hyperlink"/>
        </w:rPr>
        <w:t xml:space="preserve"> </w:t>
      </w:r>
    </w:p>
    <w:p w14:paraId="5DF2542E" w14:textId="2D1AE06B" w:rsidR="00C509BF" w:rsidRPr="00C509BF" w:rsidRDefault="00C509BF" w:rsidP="009A1267">
      <w:pPr>
        <w:rPr>
          <w:rFonts w:asciiTheme="minorHAnsi" w:hAnsiTheme="minorHAnsi"/>
          <w:sz w:val="22"/>
        </w:rPr>
      </w:pPr>
      <w:r>
        <w:t>La normativa sobre aparatos electrónicos y eléctricos (AEE) de Ontario entró en vigor el 1 de enero de 2021, en virtud de la Ley de Recuperación de Recursos y Economía Circular. NETGEAR cumple sus obligaciones a través de EPRA Ontario, su organización de responsabilidad de productor seleccionada.  Visite el sitio web de EPRA en</w:t>
      </w:r>
      <w:r w:rsidR="009A1267">
        <w:t xml:space="preserve"> </w:t>
      </w:r>
      <w:hyperlink r:id="rId28" w:history="1">
        <w:r w:rsidR="009A1267" w:rsidRPr="009A1267">
          <w:rPr>
            <w:rStyle w:val="Hyperlink"/>
          </w:rPr>
          <w:t>https://recyclemyelectronics.ca/on/</w:t>
        </w:r>
      </w:hyperlink>
      <w:r w:rsidR="009A1267">
        <w:t xml:space="preserve"> </w:t>
      </w:r>
      <w:r>
        <w:t>para obtener información sobre la recogida de productos electrónicos al final de su vida útil y más información sobre el programa.</w:t>
      </w:r>
    </w:p>
    <w:p w14:paraId="0C25431F" w14:textId="07B31F94" w:rsidR="00AD3F79" w:rsidRPr="009A1267" w:rsidRDefault="00AD3F79" w:rsidP="00AD3F79">
      <w:pPr>
        <w:pStyle w:val="Heading1"/>
        <w:rPr>
          <w:lang w:val="fr-CA"/>
        </w:rPr>
      </w:pPr>
      <w:bookmarkStart w:id="44" w:name="_Toc92220737"/>
      <w:bookmarkStart w:id="45" w:name="_Toc118885950"/>
      <w:r w:rsidRPr="009A1267">
        <w:rPr>
          <w:lang w:val="fr-CA"/>
        </w:rPr>
        <w:t>Réglementations du ministère Innovation, Sciences et Développement économique Canada (ISDE)</w:t>
      </w:r>
      <w:bookmarkEnd w:id="44"/>
      <w:r w:rsidRPr="009A1267">
        <w:rPr>
          <w:lang w:val="fr-CA"/>
        </w:rPr>
        <w:t xml:space="preserve"> – français</w:t>
      </w:r>
      <w:bookmarkEnd w:id="45"/>
    </w:p>
    <w:p w14:paraId="019449F0" w14:textId="77777777" w:rsidR="00AD3F79" w:rsidRPr="009A1267" w:rsidRDefault="00AD3F79" w:rsidP="00AD3F79">
      <w:pPr>
        <w:rPr>
          <w:lang w:val="fr-CA"/>
        </w:rPr>
      </w:pPr>
    </w:p>
    <w:p w14:paraId="0900F4AB" w14:textId="77777777" w:rsidR="00AD3F79" w:rsidRPr="009A1267" w:rsidRDefault="00AD3F79" w:rsidP="00AD3F79">
      <w:pPr>
        <w:rPr>
          <w:lang w:val="fr-CA"/>
        </w:rPr>
      </w:pPr>
      <w:r w:rsidRPr="009A1267">
        <w:rPr>
          <w:lang w:val="fr-CA"/>
        </w:rPr>
        <w:t>Les informations de cette rubrique s'appliquent aux produits portant l'une des déclarations suivantes :</w:t>
      </w:r>
    </w:p>
    <w:p w14:paraId="04B6FB7F" w14:textId="77777777" w:rsidR="00AD3F79" w:rsidRPr="009A1267" w:rsidRDefault="00AD3F79" w:rsidP="00AD3F79">
      <w:pPr>
        <w:spacing w:after="120"/>
        <w:ind w:left="720"/>
        <w:rPr>
          <w:lang w:val="en-US"/>
        </w:rPr>
      </w:pPr>
      <w:r w:rsidRPr="009A1267">
        <w:rPr>
          <w:lang w:val="en-US"/>
        </w:rPr>
        <w:t>CAN ICES-003 (B)/NMB-003(B)</w:t>
      </w:r>
    </w:p>
    <w:p w14:paraId="7ADAF387" w14:textId="77777777" w:rsidR="00AD3F79" w:rsidRPr="009A1267" w:rsidRDefault="00AD3F79" w:rsidP="00AD3F79">
      <w:pPr>
        <w:spacing w:after="120"/>
        <w:ind w:left="720"/>
        <w:rPr>
          <w:lang w:val="en-US"/>
        </w:rPr>
      </w:pPr>
      <w:r w:rsidRPr="009A1267">
        <w:rPr>
          <w:lang w:val="en-US"/>
        </w:rPr>
        <w:t>CAN ICES-003 (A)/NMB-003(A)</w:t>
      </w:r>
    </w:p>
    <w:p w14:paraId="3CBD6B51" w14:textId="77777777" w:rsidR="00AD3F79" w:rsidRPr="009A1267" w:rsidRDefault="00AD3F79" w:rsidP="00AD3F79">
      <w:pPr>
        <w:ind w:left="720"/>
        <w:rPr>
          <w:lang w:val="fr-CA"/>
        </w:rPr>
      </w:pPr>
      <w:r w:rsidRPr="009A1267">
        <w:rPr>
          <w:lang w:val="fr-CA"/>
        </w:rPr>
        <w:t>« Cet appareil numérique respecte les restrictions des émissions radio destinées aux appareils numériques de classe B établies par la réglementation canadienne sur les interférences radio</w:t>
      </w:r>
      <w:proofErr w:type="gramStart"/>
      <w:r w:rsidRPr="009A1267">
        <w:rPr>
          <w:lang w:val="fr-CA"/>
        </w:rPr>
        <w:t>.»</w:t>
      </w:r>
      <w:proofErr w:type="gramEnd"/>
    </w:p>
    <w:p w14:paraId="49CAE435" w14:textId="77777777" w:rsidR="00AD3F79" w:rsidRPr="009A1267" w:rsidRDefault="00AD3F79" w:rsidP="00AD3F79">
      <w:pPr>
        <w:rPr>
          <w:rFonts w:cs="Arial"/>
          <w:lang w:val="fr-CA"/>
        </w:rPr>
      </w:pPr>
      <w:r w:rsidRPr="009A1267">
        <w:rPr>
          <w:lang w:val="fr-CA"/>
        </w:rPr>
        <w:t xml:space="preserve">Tous les produits NETGEAR sont conformes aux normes RSS exemptes de licence d'ISDE. Le fonctionnement est soumis aux deux conditions suivantes : (1) les produits NETGEAR ne </w:t>
      </w:r>
      <w:proofErr w:type="gramStart"/>
      <w:r w:rsidRPr="009A1267">
        <w:rPr>
          <w:lang w:val="fr-CA"/>
        </w:rPr>
        <w:t>produisent</w:t>
      </w:r>
      <w:proofErr w:type="gramEnd"/>
      <w:r w:rsidRPr="009A1267">
        <w:rPr>
          <w:lang w:val="fr-CA"/>
        </w:rPr>
        <w:t xml:space="preserve"> pas d'interférences nuisibles, et (2) les produits NETGEAR doivent accepter toutes les interférences reçues, notamment celles qui peuvent entraîner un fonctionnement non souhaité.</w:t>
      </w:r>
    </w:p>
    <w:p w14:paraId="07A1A0AC" w14:textId="77777777" w:rsidR="00AD3F79" w:rsidRPr="009A1267" w:rsidRDefault="00AD3F79" w:rsidP="00AD3F79">
      <w:pPr>
        <w:pStyle w:val="Heading2"/>
        <w:rPr>
          <w:lang w:val="fr-CA"/>
        </w:rPr>
      </w:pPr>
      <w:bookmarkStart w:id="46" w:name="_Toc92220738"/>
      <w:bookmarkStart w:id="47" w:name="_Toc118885951"/>
      <w:r w:rsidRPr="009A1267">
        <w:rPr>
          <w:lang w:val="fr-CA"/>
        </w:rPr>
        <w:t>Avertissements et instructions relatifs aux fréquences radio</w:t>
      </w:r>
      <w:bookmarkEnd w:id="46"/>
      <w:bookmarkEnd w:id="47"/>
    </w:p>
    <w:p w14:paraId="5E9D8AAC" w14:textId="77777777" w:rsidR="00AD3F79" w:rsidRPr="009A1267" w:rsidRDefault="00AD3F79" w:rsidP="00AD3F79">
      <w:pPr>
        <w:rPr>
          <w:rFonts w:cs="Arial"/>
          <w:lang w:val="fr-CA"/>
        </w:rPr>
      </w:pPr>
      <w:r w:rsidRPr="009A1267">
        <w:rPr>
          <w:lang w:val="fr-CA"/>
        </w:rPr>
        <w:t>Pour les produits disponibles sur le marché américain ou canadien, seul le canal 1~11 est utilisable. Il n'est pas possible de sélectionner d'autres canaux.</w:t>
      </w:r>
    </w:p>
    <w:p w14:paraId="5CDDDE6C" w14:textId="77777777" w:rsidR="00AD3F79" w:rsidRPr="009A1267" w:rsidRDefault="00AD3F79" w:rsidP="00AD3F79">
      <w:pPr>
        <w:rPr>
          <w:rFonts w:cs="Arial"/>
          <w:lang w:val="fr-CA"/>
        </w:rPr>
      </w:pPr>
      <w:r w:rsidRPr="009A1267">
        <w:rPr>
          <w:lang w:val="fr-CA"/>
        </w:rPr>
        <w:t>Cet appareil et son (ses) antenne(s) ne doivent pas se trouver à proximité ou fonctionner en combinaison avec d'autres antennes ou émetteurs, sauf en accord avec les procédures d'IC concernant les produits multi-émetteurs.</w:t>
      </w:r>
    </w:p>
    <w:p w14:paraId="46AAAB54" w14:textId="77777777" w:rsidR="00AD3F79" w:rsidRPr="009A1267" w:rsidRDefault="00AD3F79" w:rsidP="00AD3F79">
      <w:pPr>
        <w:rPr>
          <w:rFonts w:cs="Arial"/>
          <w:lang w:val="fr-CA"/>
        </w:rPr>
      </w:pPr>
      <w:r w:rsidRPr="009A1267">
        <w:rPr>
          <w:lang w:val="fr-CA"/>
        </w:rPr>
        <w:t>L'appareil pour la bande 5150-5250 MHz est uniquement destiné à une utilisation en intérieur afin de réduire les risques d'interférences nuisibles pour les systèmes mobiles par satellite à canaux partagés.</w:t>
      </w:r>
    </w:p>
    <w:p w14:paraId="1C7B840B" w14:textId="77777777" w:rsidR="00AD3F79" w:rsidRPr="009A1267" w:rsidRDefault="00AD3F79" w:rsidP="00AD3F79">
      <w:pPr>
        <w:rPr>
          <w:rFonts w:cs="Arial"/>
          <w:lang w:val="fr-CA"/>
        </w:rPr>
      </w:pPr>
      <w:r w:rsidRPr="009A1267">
        <w:rPr>
          <w:lang w:val="fr-CA"/>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9855B42" w14:textId="77777777" w:rsidR="00AD3F79" w:rsidRPr="009A1267" w:rsidRDefault="00AD3F79" w:rsidP="00AD3F79">
      <w:pPr>
        <w:rPr>
          <w:rFonts w:cs="Arial"/>
          <w:lang w:val="fr-CA"/>
        </w:rPr>
      </w:pPr>
      <w:r w:rsidRPr="009A1267">
        <w:rPr>
          <w:lang w:val="fr-CA"/>
        </w:rPr>
        <w:t xml:space="preserve">En vertu des réglementations d'ISDE, cet émetteur radio ne peut fonctionner qu'avec une antenne d'un type et d'un gain maximum (ou inférieur) approuvés pour l'émetteur par ISDE. Afin de réduire les interférences radio potentielles </w:t>
      </w:r>
      <w:r w:rsidRPr="009A1267">
        <w:rPr>
          <w:lang w:val="fr-CA"/>
        </w:rPr>
        <w:lastRenderedPageBreak/>
        <w:t>pour les autres utilisateurs, le type d'antenne et son gain doivent être choisis de telle sorte que la puissance isotrope rayonnée équivalente (PIRE) ne soit pas supérieure à celle nécessaire à la réussite de la communication. Voir tableau 2</w:t>
      </w:r>
    </w:p>
    <w:p w14:paraId="1C0AD4D6" w14:textId="77777777" w:rsidR="00AD3F79" w:rsidRPr="009A1267" w:rsidRDefault="00AD3F79" w:rsidP="00AD3F79">
      <w:pPr>
        <w:rPr>
          <w:rFonts w:cs="Arial"/>
          <w:lang w:val="fr-CA"/>
        </w:rPr>
      </w:pPr>
      <w:r w:rsidRPr="009A1267">
        <w:rPr>
          <w:lang w:val="fr-CA"/>
        </w:rPr>
        <w:t>Le gain d'antenne maximal autorisé pour les appareils des bandes 5250-5350 MHz et 5470-5725 MHz doit être conforme à la limite de PIRE (puissance isotrope rayonnée équivalente).</w:t>
      </w:r>
    </w:p>
    <w:p w14:paraId="6693D1C2" w14:textId="77777777" w:rsidR="00AD3F79" w:rsidRPr="009A1267" w:rsidRDefault="00AD3F79" w:rsidP="00AD3F79">
      <w:pPr>
        <w:rPr>
          <w:rFonts w:cs="Arial"/>
          <w:color w:val="000000"/>
          <w:szCs w:val="18"/>
          <w:lang w:val="fr-CA"/>
        </w:rPr>
      </w:pPr>
      <w:r w:rsidRPr="009A1267">
        <w:rPr>
          <w:color w:val="000000"/>
          <w:lang w:val="fr-CA"/>
        </w:rPr>
        <w:t>Le gain d'antenne maximal autorisé pour les appareils de la bande 5725-5825 MHz doit être conforme aux limites de PIRE (puissance isotrope rayonnée équivalente) spécifiées pour le fonctionnement point à point et point à multipoint, selon le cas.</w:t>
      </w:r>
    </w:p>
    <w:p w14:paraId="4FE2EC46" w14:textId="77777777" w:rsidR="00AD3F79" w:rsidRPr="009A1267" w:rsidRDefault="00AD3F79" w:rsidP="00AD3F79">
      <w:pPr>
        <w:rPr>
          <w:lang w:val="fr-CA"/>
        </w:rPr>
      </w:pPr>
      <w:r w:rsidRPr="009A1267">
        <w:rPr>
          <w:lang w:val="fr-CA"/>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sur la bande 5925-6425 MHz est interdite pour le contrôle des systèmes d'aéronef sans pilote ou la communication avec ces systèmes.</w:t>
      </w:r>
    </w:p>
    <w:p w14:paraId="4F8F0961" w14:textId="77777777" w:rsidR="00AD3F79" w:rsidRPr="009A1267" w:rsidRDefault="00AD3F79" w:rsidP="00AD3F79">
      <w:pPr>
        <w:pStyle w:val="Heading2"/>
        <w:rPr>
          <w:lang w:val="fr-CA"/>
        </w:rPr>
      </w:pPr>
      <w:bookmarkStart w:id="48" w:name="_Toc92220739"/>
      <w:bookmarkStart w:id="49" w:name="_Toc118885952"/>
      <w:r w:rsidRPr="009A1267">
        <w:rPr>
          <w:lang w:val="fr-CA"/>
        </w:rPr>
        <w:t>REMARQUE IMPORTANTE : Déclaration concernant l'exposition aux rayonnements</w:t>
      </w:r>
      <w:bookmarkEnd w:id="48"/>
      <w:bookmarkEnd w:id="49"/>
    </w:p>
    <w:p w14:paraId="3D67A0CF" w14:textId="77777777" w:rsidR="00AD3F79" w:rsidRPr="009A1267" w:rsidRDefault="00AD3F79" w:rsidP="00AD3F79">
      <w:pPr>
        <w:pStyle w:val="Heading3"/>
        <w:rPr>
          <w:lang w:val="fr-CA"/>
        </w:rPr>
      </w:pPr>
      <w:bookmarkStart w:id="50" w:name="_Toc92220740"/>
      <w:bookmarkStart w:id="51" w:name="_Toc118885953"/>
      <w:r w:rsidRPr="009A1267">
        <w:rPr>
          <w:lang w:val="fr-CA"/>
        </w:rPr>
        <w:t>Avertissement relatif au DAS :</w:t>
      </w:r>
      <w:bookmarkEnd w:id="50"/>
      <w:bookmarkEnd w:id="51"/>
    </w:p>
    <w:p w14:paraId="4B91057B" w14:textId="77777777" w:rsidR="00AD3F79" w:rsidRPr="009A1267" w:rsidRDefault="00AD3F79" w:rsidP="00AD3F79">
      <w:pPr>
        <w:rPr>
          <w:lang w:val="fr-CA"/>
        </w:rPr>
      </w:pPr>
      <w:r w:rsidRPr="009A1267">
        <w:rPr>
          <w:lang w:val="fr-CA"/>
        </w:rPr>
        <w:t xml:space="preserve">Les informations de cette rubrique s'appliquent aux produits Wifi NETGEAR destinés à être utilisés à proximité du corps humain. </w:t>
      </w:r>
    </w:p>
    <w:p w14:paraId="158C292F" w14:textId="77777777" w:rsidR="00AD3F79" w:rsidRPr="009A1267" w:rsidRDefault="00AD3F79" w:rsidP="00AD3F79">
      <w:pPr>
        <w:rPr>
          <w:rFonts w:cs="Arial"/>
          <w:lang w:val="fr-CA"/>
        </w:rPr>
      </w:pPr>
      <w:r w:rsidRPr="009A1267">
        <w:rPr>
          <w:lang w:val="fr-CA"/>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3D14C053" w14:textId="77777777" w:rsidR="00AD3F79" w:rsidRPr="009A1267" w:rsidRDefault="00AD3F79" w:rsidP="00AD3F79">
      <w:pPr>
        <w:rPr>
          <w:rFonts w:cs="Arial"/>
          <w:lang w:val="fr-CA"/>
        </w:rPr>
      </w:pPr>
      <w:r w:rsidRPr="009A1267">
        <w:rPr>
          <w:lang w:val="fr-CA"/>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6022F83B" w14:textId="77777777" w:rsidR="00AD3F79" w:rsidRPr="009A1267" w:rsidRDefault="00AD3F79" w:rsidP="00AD3F79">
      <w:pPr>
        <w:rPr>
          <w:lang w:val="fr-CA"/>
        </w:rPr>
      </w:pPr>
      <w:r w:rsidRPr="009A1267">
        <w:rPr>
          <w:lang w:val="fr-CA"/>
        </w:rPr>
        <w:t>Pour plus de détails et pour connaître le niveau de DAS le plus élevé mesuré pour cet appareil, reportez-vous à la rubrique Exposition radio à l'adresse suivante :</w:t>
      </w:r>
    </w:p>
    <w:p w14:paraId="3899E599" w14:textId="40C9D0DB" w:rsidR="00AD3F79" w:rsidRPr="009A1267" w:rsidRDefault="00A40CD8" w:rsidP="00AD3F79">
      <w:pPr>
        <w:rPr>
          <w:lang w:val="fr-CA"/>
        </w:rPr>
      </w:pPr>
      <w:hyperlink r:id="rId29" w:history="1">
        <w:r w:rsidR="00E63B27" w:rsidRPr="009A1267">
          <w:rPr>
            <w:rStyle w:val="Hyperlink"/>
            <w:lang w:val="fr-CA"/>
          </w:rPr>
          <w:t>https://www.netgear.com/fr/about/regulatory/</w:t>
        </w:r>
      </w:hyperlink>
    </w:p>
    <w:p w14:paraId="0309E338" w14:textId="77777777" w:rsidR="00AD3F79" w:rsidRPr="009A1267" w:rsidRDefault="00AD3F79" w:rsidP="00AD3F79">
      <w:pPr>
        <w:pStyle w:val="Heading3"/>
        <w:rPr>
          <w:lang w:val="fr-CA"/>
        </w:rPr>
      </w:pPr>
      <w:bookmarkStart w:id="52" w:name="_Toc92220741"/>
      <w:bookmarkStart w:id="53" w:name="_Toc118885954"/>
      <w:r w:rsidRPr="009A1267">
        <w:rPr>
          <w:lang w:val="fr-CA"/>
        </w:rPr>
        <w:t>Déclaration de limite d'exposition maximale admissible</w:t>
      </w:r>
      <w:bookmarkEnd w:id="52"/>
      <w:bookmarkEnd w:id="53"/>
    </w:p>
    <w:p w14:paraId="2D5E9D82" w14:textId="77777777" w:rsidR="00AD3F79" w:rsidRPr="009A1267" w:rsidRDefault="00AD3F79" w:rsidP="00AD3F79">
      <w:pPr>
        <w:rPr>
          <w:lang w:val="fr-CA"/>
        </w:rPr>
      </w:pPr>
      <w:r w:rsidRPr="009A1267">
        <w:rPr>
          <w:lang w:val="fr-CA"/>
        </w:rPr>
        <w:t xml:space="preserve">Les informations de cette rubrique s'appliquent aux produits Wifi NETGEAR conçus pour être utilisés à au moins 20 cm du corps humain. </w:t>
      </w:r>
    </w:p>
    <w:p w14:paraId="21CD469E" w14:textId="77777777" w:rsidR="00AD3F79" w:rsidRPr="009A1267" w:rsidRDefault="00AD3F79" w:rsidP="00AD3F79">
      <w:pPr>
        <w:rPr>
          <w:lang w:val="fr-CA"/>
        </w:rPr>
      </w:pPr>
      <w:r w:rsidRPr="009A1267">
        <w:rPr>
          <w:lang w:val="fr-CA"/>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5B1AE354" w14:textId="4DE8D76F" w:rsidR="00AD3F79" w:rsidRPr="009A1267" w:rsidRDefault="00A40CD8" w:rsidP="00AD3F79">
      <w:pPr>
        <w:rPr>
          <w:lang w:val="fr-CA"/>
        </w:rPr>
      </w:pPr>
      <w:hyperlink r:id="rId30" w:history="1">
        <w:r w:rsidR="00E63B27" w:rsidRPr="009A1267">
          <w:rPr>
            <w:rStyle w:val="Hyperlink"/>
            <w:lang w:val="fr-CA"/>
          </w:rPr>
          <w:t>https://www.netgear.com/fr/about/regulatory/</w:t>
        </w:r>
      </w:hyperlink>
    </w:p>
    <w:p w14:paraId="318FF5BE" w14:textId="77777777" w:rsidR="00AD3F79" w:rsidRPr="009A1267" w:rsidRDefault="00AD3F79" w:rsidP="00AD3F79">
      <w:pPr>
        <w:pStyle w:val="Heading2"/>
        <w:rPr>
          <w:lang w:val="fr-CA"/>
        </w:rPr>
      </w:pPr>
      <w:bookmarkStart w:id="54" w:name="_Toc92220742"/>
      <w:bookmarkStart w:id="55" w:name="_Toc118885955"/>
      <w:r w:rsidRPr="009A1267">
        <w:rPr>
          <w:rStyle w:val="Hyperlink"/>
          <w:lang w:val="fr-CA"/>
        </w:rPr>
        <w:t>Règlement 522/20 de l'Ontario</w:t>
      </w:r>
      <w:bookmarkEnd w:id="54"/>
      <w:bookmarkEnd w:id="55"/>
      <w:r w:rsidRPr="009A1267">
        <w:rPr>
          <w:rStyle w:val="Hyperlink"/>
          <w:lang w:val="fr-CA"/>
        </w:rPr>
        <w:t xml:space="preserve"> </w:t>
      </w:r>
    </w:p>
    <w:p w14:paraId="7AD346E6" w14:textId="52E4DF19" w:rsidR="00AD3F79" w:rsidRPr="009A1267" w:rsidRDefault="00AD3F79" w:rsidP="00AD3F79">
      <w:pPr>
        <w:rPr>
          <w:rFonts w:asciiTheme="minorHAnsi" w:hAnsiTheme="minorHAnsi"/>
          <w:sz w:val="22"/>
          <w:lang w:val="fr-CA"/>
        </w:rPr>
      </w:pPr>
      <w:r w:rsidRPr="009A1267">
        <w:rPr>
          <w:lang w:val="fr-CA"/>
        </w:rPr>
        <w:t xml:space="preserve">Les réglementations de l'Ontario sur les équipements électroniques et électriques (EEE) sont en vigueur à compter du 1er janvier 2021, en vertu de la loi sur le rétablissement des ressources et l'économie circulaire. NETGEAR </w:t>
      </w:r>
      <w:r w:rsidRPr="009A1267">
        <w:rPr>
          <w:lang w:val="fr-CA"/>
        </w:rPr>
        <w:lastRenderedPageBreak/>
        <w:t xml:space="preserve">s'acquitte de ses obligations par l'intermédiaire d'EPRA Ontario, son organisme de responsabilité des producteurs sélectionné.  Visitez le site web d'EPRA à l'adresse </w:t>
      </w:r>
      <w:hyperlink r:id="rId31" w:history="1">
        <w:r w:rsidRPr="009A1267">
          <w:rPr>
            <w:rStyle w:val="Hyperlink"/>
            <w:lang w:val="fr-CA"/>
          </w:rPr>
          <w:t>https://EPRAON.ca</w:t>
        </w:r>
      </w:hyperlink>
      <w:r w:rsidRPr="009A1267">
        <w:rPr>
          <w:lang w:val="fr-CA"/>
        </w:rPr>
        <w:t xml:space="preserve"> pour obtenir des informations sur la collecte des appareils électroniques en fin de vie et en savoir plus sur le programme.</w:t>
      </w:r>
    </w:p>
    <w:p w14:paraId="786F16B9" w14:textId="448C379F" w:rsidR="004E534D" w:rsidRPr="004E534D" w:rsidRDefault="004E534D" w:rsidP="00481C42">
      <w:pPr>
        <w:pStyle w:val="Heading2"/>
      </w:pPr>
      <w:bookmarkStart w:id="56" w:name="_Toc118885956"/>
      <w:r>
        <w:t>Tabla de reducción de interferencias</w:t>
      </w:r>
      <w:bookmarkEnd w:id="56"/>
    </w:p>
    <w:p w14:paraId="58C7A81F" w14:textId="77777777" w:rsidR="00CF6217" w:rsidRDefault="004E534D" w:rsidP="004E534D">
      <w:pPr>
        <w:rPr>
          <w:rFonts w:cs="Arial"/>
        </w:rPr>
      </w:pPr>
      <w:r>
        <w:t>En la tabla siguiente se indica la distancia mínima recomendada entre el equipo NETGEAR y otros dispositivos domésticos para reducir las interferencias.</w:t>
      </w:r>
    </w:p>
    <w:tbl>
      <w:tblPr>
        <w:tblStyle w:val="TableGrid"/>
        <w:tblW w:w="0" w:type="auto"/>
        <w:tblLook w:val="04A0" w:firstRow="1" w:lastRow="0" w:firstColumn="1" w:lastColumn="0" w:noHBand="0" w:noVBand="1"/>
      </w:tblPr>
      <w:tblGrid>
        <w:gridCol w:w="2628"/>
        <w:gridCol w:w="4860"/>
      </w:tblGrid>
      <w:tr w:rsidR="005F1BE8" w14:paraId="7E5F5953" w14:textId="77777777" w:rsidTr="005F1BE8">
        <w:tc>
          <w:tcPr>
            <w:tcW w:w="2628" w:type="dxa"/>
          </w:tcPr>
          <w:p w14:paraId="7E89A345" w14:textId="77777777" w:rsidR="005F1BE8" w:rsidRPr="005F1BE8" w:rsidRDefault="005F1BE8" w:rsidP="004E534D">
            <w:pPr>
              <w:rPr>
                <w:rStyle w:val="Strong"/>
              </w:rPr>
            </w:pPr>
            <w:r>
              <w:rPr>
                <w:rStyle w:val="Strong"/>
              </w:rPr>
              <w:t>Dispositivos domésticos</w:t>
            </w:r>
          </w:p>
        </w:tc>
        <w:tc>
          <w:tcPr>
            <w:tcW w:w="4860" w:type="dxa"/>
          </w:tcPr>
          <w:p w14:paraId="0149917F" w14:textId="77777777" w:rsidR="005F1BE8" w:rsidRPr="005F1BE8" w:rsidRDefault="005F1BE8" w:rsidP="004E534D">
            <w:pPr>
              <w:rPr>
                <w:rStyle w:val="Strong"/>
              </w:rPr>
            </w:pPr>
            <w:r>
              <w:rPr>
                <w:rStyle w:val="Strong"/>
              </w:rPr>
              <w:t>Distancia mínima recomendada</w:t>
            </w:r>
          </w:p>
        </w:tc>
      </w:tr>
      <w:tr w:rsidR="005F1BE8" w14:paraId="4E16B163" w14:textId="77777777" w:rsidTr="005F1BE8">
        <w:tc>
          <w:tcPr>
            <w:tcW w:w="2628" w:type="dxa"/>
          </w:tcPr>
          <w:p w14:paraId="2AF2BB18" w14:textId="77777777" w:rsidR="005F1BE8" w:rsidRDefault="005F1BE8" w:rsidP="004E534D">
            <w:pPr>
              <w:rPr>
                <w:rFonts w:cs="Arial"/>
              </w:rPr>
            </w:pPr>
            <w:r>
              <w:t>Horno microondas</w:t>
            </w:r>
          </w:p>
        </w:tc>
        <w:tc>
          <w:tcPr>
            <w:tcW w:w="4860" w:type="dxa"/>
          </w:tcPr>
          <w:p w14:paraId="3D0042FD" w14:textId="77777777" w:rsidR="005F1BE8" w:rsidRDefault="005F1BE8" w:rsidP="004E534D">
            <w:pPr>
              <w:rPr>
                <w:rFonts w:cs="Arial"/>
              </w:rPr>
            </w:pPr>
            <w:r>
              <w:t>9 metros</w:t>
            </w:r>
          </w:p>
        </w:tc>
      </w:tr>
      <w:tr w:rsidR="005F1BE8" w14:paraId="65ED3EE4" w14:textId="77777777" w:rsidTr="005F1BE8">
        <w:tc>
          <w:tcPr>
            <w:tcW w:w="2628" w:type="dxa"/>
          </w:tcPr>
          <w:p w14:paraId="579FF5C2" w14:textId="77777777" w:rsidR="005F1BE8" w:rsidRDefault="005F1BE8" w:rsidP="005F1BE8">
            <w:pPr>
              <w:rPr>
                <w:rFonts w:cs="Arial"/>
              </w:rPr>
            </w:pPr>
            <w:r>
              <w:t>Intercomunicador para bebés (analógico)</w:t>
            </w:r>
          </w:p>
        </w:tc>
        <w:tc>
          <w:tcPr>
            <w:tcW w:w="4860" w:type="dxa"/>
          </w:tcPr>
          <w:p w14:paraId="2EA408AA" w14:textId="77777777" w:rsidR="005F1BE8" w:rsidRDefault="005F1BE8" w:rsidP="004E534D">
            <w:pPr>
              <w:rPr>
                <w:rFonts w:cs="Arial"/>
              </w:rPr>
            </w:pPr>
            <w:r>
              <w:t>6 metros</w:t>
            </w:r>
          </w:p>
        </w:tc>
      </w:tr>
      <w:tr w:rsidR="005F1BE8" w14:paraId="0697B684" w14:textId="77777777" w:rsidTr="005F1BE8">
        <w:tc>
          <w:tcPr>
            <w:tcW w:w="2628" w:type="dxa"/>
          </w:tcPr>
          <w:p w14:paraId="5992A890" w14:textId="77777777" w:rsidR="005F1BE8" w:rsidRDefault="005F1BE8" w:rsidP="005F1BE8">
            <w:pPr>
              <w:rPr>
                <w:rFonts w:cs="Arial"/>
              </w:rPr>
            </w:pPr>
            <w:r>
              <w:t>Intercomunicador para bebés (digital)</w:t>
            </w:r>
          </w:p>
        </w:tc>
        <w:tc>
          <w:tcPr>
            <w:tcW w:w="4860" w:type="dxa"/>
          </w:tcPr>
          <w:p w14:paraId="6A598031" w14:textId="77777777" w:rsidR="005F1BE8" w:rsidRDefault="005F1BE8" w:rsidP="004E534D">
            <w:pPr>
              <w:rPr>
                <w:rFonts w:cs="Arial"/>
              </w:rPr>
            </w:pPr>
            <w:r>
              <w:t>12 metros</w:t>
            </w:r>
          </w:p>
        </w:tc>
      </w:tr>
      <w:tr w:rsidR="005F1BE8" w14:paraId="6A7830FB" w14:textId="77777777" w:rsidTr="005F1BE8">
        <w:tc>
          <w:tcPr>
            <w:tcW w:w="2628" w:type="dxa"/>
          </w:tcPr>
          <w:p w14:paraId="054189D9" w14:textId="77777777" w:rsidR="005F1BE8" w:rsidRDefault="005F1BE8" w:rsidP="005F1BE8">
            <w:pPr>
              <w:rPr>
                <w:rFonts w:cs="Arial"/>
              </w:rPr>
            </w:pPr>
            <w:r>
              <w:t>Teléfono fijo (analógico)</w:t>
            </w:r>
          </w:p>
        </w:tc>
        <w:tc>
          <w:tcPr>
            <w:tcW w:w="4860" w:type="dxa"/>
          </w:tcPr>
          <w:p w14:paraId="3E51FD88" w14:textId="77777777" w:rsidR="005F1BE8" w:rsidRDefault="005F1BE8" w:rsidP="004E534D">
            <w:pPr>
              <w:rPr>
                <w:rFonts w:cs="Arial"/>
              </w:rPr>
            </w:pPr>
            <w:r>
              <w:t>6 metros</w:t>
            </w:r>
          </w:p>
        </w:tc>
      </w:tr>
      <w:tr w:rsidR="005F1BE8" w14:paraId="4B716B4D" w14:textId="77777777" w:rsidTr="005F1BE8">
        <w:tc>
          <w:tcPr>
            <w:tcW w:w="2628" w:type="dxa"/>
          </w:tcPr>
          <w:p w14:paraId="1FFC0093" w14:textId="77777777" w:rsidR="005F1BE8" w:rsidRDefault="005F1BE8" w:rsidP="005F1BE8">
            <w:pPr>
              <w:rPr>
                <w:rFonts w:cs="Arial"/>
              </w:rPr>
            </w:pPr>
            <w:r>
              <w:t>Teléfono fijo (digital)</w:t>
            </w:r>
          </w:p>
        </w:tc>
        <w:tc>
          <w:tcPr>
            <w:tcW w:w="4860" w:type="dxa"/>
          </w:tcPr>
          <w:p w14:paraId="21AED6C1" w14:textId="77777777" w:rsidR="005F1BE8" w:rsidRDefault="005F1BE8" w:rsidP="004E534D">
            <w:pPr>
              <w:rPr>
                <w:rFonts w:cs="Arial"/>
              </w:rPr>
            </w:pPr>
            <w:r>
              <w:t>9 metros</w:t>
            </w:r>
          </w:p>
        </w:tc>
      </w:tr>
      <w:tr w:rsidR="005F1BE8" w14:paraId="73845CA7" w14:textId="77777777" w:rsidTr="005F1BE8">
        <w:tc>
          <w:tcPr>
            <w:tcW w:w="2628" w:type="dxa"/>
          </w:tcPr>
          <w:p w14:paraId="592E43DC" w14:textId="77777777" w:rsidR="005F1BE8" w:rsidRDefault="005F1BE8" w:rsidP="004E534D">
            <w:pPr>
              <w:rPr>
                <w:rFonts w:cs="Arial"/>
              </w:rPr>
            </w:pPr>
            <w:r>
              <w:t>Dispositivo Bluetooth</w:t>
            </w:r>
          </w:p>
        </w:tc>
        <w:tc>
          <w:tcPr>
            <w:tcW w:w="4860" w:type="dxa"/>
          </w:tcPr>
          <w:p w14:paraId="5EEE356C" w14:textId="77777777" w:rsidR="005F1BE8" w:rsidRDefault="005F1BE8" w:rsidP="004E534D">
            <w:pPr>
              <w:rPr>
                <w:rFonts w:cs="Arial"/>
              </w:rPr>
            </w:pPr>
            <w:r>
              <w:t>6 metros</w:t>
            </w:r>
          </w:p>
        </w:tc>
      </w:tr>
      <w:tr w:rsidR="005F1BE8" w14:paraId="153DF800" w14:textId="77777777" w:rsidTr="005F1BE8">
        <w:tc>
          <w:tcPr>
            <w:tcW w:w="2628" w:type="dxa"/>
          </w:tcPr>
          <w:p w14:paraId="37E36C81" w14:textId="77777777" w:rsidR="005F1BE8" w:rsidRDefault="005F1BE8" w:rsidP="004E534D">
            <w:pPr>
              <w:rPr>
                <w:rFonts w:cs="Arial"/>
              </w:rPr>
            </w:pPr>
            <w:r>
              <w:t>ZigBee</w:t>
            </w:r>
          </w:p>
        </w:tc>
        <w:tc>
          <w:tcPr>
            <w:tcW w:w="4860" w:type="dxa"/>
          </w:tcPr>
          <w:p w14:paraId="2AC651D4" w14:textId="77777777" w:rsidR="005F1BE8" w:rsidRDefault="005F1BE8" w:rsidP="004E534D">
            <w:pPr>
              <w:rPr>
                <w:rFonts w:cs="Arial"/>
              </w:rPr>
            </w:pPr>
            <w:r>
              <w:t>6 metros</w:t>
            </w:r>
          </w:p>
        </w:tc>
      </w:tr>
    </w:tbl>
    <w:p w14:paraId="14E6D1FC" w14:textId="77777777" w:rsidR="00AE4C00" w:rsidRDefault="00AE4C00" w:rsidP="00481C42">
      <w:pPr>
        <w:pStyle w:val="Heading1"/>
      </w:pPr>
      <w:bookmarkStart w:id="57" w:name="_Toc118885957"/>
      <w:r>
        <w:t>REQUISITOS DE LA ETIQUETA DEL EMBALAJE DE LA BATERÍA DE ION DE LITIO Y METAL DE LITIO</w:t>
      </w:r>
      <w:bookmarkEnd w:id="57"/>
      <w:r>
        <w:t xml:space="preserve"> </w:t>
      </w:r>
    </w:p>
    <w:p w14:paraId="76126632" w14:textId="77777777" w:rsidR="00AE4C00" w:rsidRPr="001B46B7" w:rsidRDefault="00AE4C00" w:rsidP="003B28A1">
      <w:pPr>
        <w:rPr>
          <w:color w:val="FF0000"/>
        </w:rPr>
      </w:pPr>
      <w:bookmarkStart w:id="58" w:name="_Toc387244359"/>
      <w:r>
        <w:t xml:space="preserve">Debido a los problemas surgidos por el envío de productos con baterías de ion de litio o metal de litio, la Naciones Unidas ha desarrollado unas directrices relativas a la correcta comprobación y al correcto embalaje y etiquetado de estos dispositivos. </w:t>
      </w:r>
    </w:p>
    <w:p w14:paraId="3AE7739A" w14:textId="77777777" w:rsidR="00F750E6" w:rsidRDefault="00F750E6" w:rsidP="00481C42">
      <w:pPr>
        <w:pStyle w:val="Heading3"/>
      </w:pPr>
      <w:bookmarkStart w:id="59" w:name="_Toc118885958"/>
      <w:r>
        <w:t>Baterías de ion de litio y metal de litio</w:t>
      </w:r>
      <w:bookmarkEnd w:id="58"/>
      <w:bookmarkEnd w:id="59"/>
    </w:p>
    <w:p w14:paraId="5C4ABEAC" w14:textId="77777777" w:rsidR="00AE4C00" w:rsidRDefault="00AE4C00" w:rsidP="003B28A1">
      <w:bookmarkStart w:id="60" w:name="_Toc387244360"/>
      <w:r>
        <w:t xml:space="preserve">Las baterías de ion de litio son, por lo general, recargables, mientras que las baterías de metal de litio no lo son. Ambos tipos de batería suponen un riesgo potencial de incendio si están dañadas o embaladas de forma incorrecta. </w:t>
      </w:r>
    </w:p>
    <w:p w14:paraId="3A81C39F" w14:textId="1A3A6C0D" w:rsidR="00906EAF" w:rsidRDefault="00906EAF" w:rsidP="00481C42">
      <w:pPr>
        <w:pStyle w:val="Heading3"/>
      </w:pPr>
      <w:bookmarkStart w:id="61" w:name="_Toc118885959"/>
      <w:r>
        <w:t>Requisitos del etiquetado de las baterías de ion de litio y de metal de litio</w:t>
      </w:r>
      <w:bookmarkEnd w:id="60"/>
      <w:bookmarkEnd w:id="61"/>
    </w:p>
    <w:p w14:paraId="1F3A7D43" w14:textId="77777777" w:rsidR="00AE4C00" w:rsidRDefault="00AE4C00" w:rsidP="00906EAF">
      <w:r>
        <w:t>Las etiquetas necesarias deben estar colocadas en los palés y en la caja principal, y deben ir acompañadas de un documento, como una carta de porte aéreo o similar, que indique lo siguiente (documento de directrices relativo a las baterías de litio de 2014):</w:t>
      </w:r>
    </w:p>
    <w:p w14:paraId="21E4264B" w14:textId="77777777" w:rsidR="00AE4C00" w:rsidRDefault="00AE4C00" w:rsidP="00AE4C00">
      <w:pPr>
        <w:pStyle w:val="ListParagraph"/>
        <w:numPr>
          <w:ilvl w:val="0"/>
          <w:numId w:val="23"/>
        </w:numPr>
      </w:pPr>
      <w:r>
        <w:t>El paquete contiene baterías o pilas de ion de litio.</w:t>
      </w:r>
    </w:p>
    <w:p w14:paraId="489DD281" w14:textId="77777777" w:rsidR="00AE4C00" w:rsidRDefault="00AE4C00" w:rsidP="00AE4C00">
      <w:pPr>
        <w:pStyle w:val="ListParagraph"/>
        <w:numPr>
          <w:ilvl w:val="0"/>
          <w:numId w:val="23"/>
        </w:numPr>
      </w:pPr>
      <w:r>
        <w:t>El paquete debe manipularse con cuidado y existe riesgo de fuego si está dañado.</w:t>
      </w:r>
    </w:p>
    <w:p w14:paraId="69A16EBC" w14:textId="77777777" w:rsidR="00AE4C00" w:rsidRDefault="00AE4C00" w:rsidP="00AE4C00">
      <w:pPr>
        <w:pStyle w:val="ListParagraph"/>
        <w:numPr>
          <w:ilvl w:val="0"/>
          <w:numId w:val="23"/>
        </w:numPr>
      </w:pPr>
      <w:r>
        <w:t>Se deben seguir procedimientos especiales en caso de que el paquete esté dañado.</w:t>
      </w:r>
    </w:p>
    <w:p w14:paraId="71221443" w14:textId="77777777" w:rsidR="00AE4C00" w:rsidRDefault="00AE4C00" w:rsidP="00AE4C00">
      <w:pPr>
        <w:pStyle w:val="ListParagraph"/>
        <w:numPr>
          <w:ilvl w:val="0"/>
          <w:numId w:val="23"/>
        </w:numPr>
      </w:pPr>
      <w:r>
        <w:t>Información de contacto.</w:t>
      </w:r>
    </w:p>
    <w:p w14:paraId="437032BE" w14:textId="77777777" w:rsidR="00AE4C00" w:rsidRDefault="00AE4C00" w:rsidP="00AE4C00">
      <w:r>
        <w:t>Para cumplir con la reglamentación sobre mercancías peligrosas de la IATA, se aplican diferentes etiquetas según los vatios/hora para las baterías de ion de litio y según la masa para las baterías de metal de litio. El cálculo de vatios/hora es:</w:t>
      </w:r>
    </w:p>
    <w:p w14:paraId="42578C26" w14:textId="77777777" w:rsidR="00AE4C00" w:rsidRDefault="00AE4C00" w:rsidP="00AE4C00">
      <w:pPr>
        <w:ind w:firstLine="720"/>
      </w:pPr>
      <w:r>
        <w:t>Tensión nominal x capacidad nominal (Ah) = vatios/hora</w:t>
      </w:r>
    </w:p>
    <w:p w14:paraId="33A86193" w14:textId="77777777" w:rsidR="00AE4C00" w:rsidRDefault="00AE4C00" w:rsidP="00AE4C00">
      <w:r>
        <w:t>Los voltios y amperios se indican en la ficha técnica de las baterías.</w:t>
      </w:r>
    </w:p>
    <w:p w14:paraId="5DB42116" w14:textId="77777777" w:rsidR="004217DC" w:rsidRDefault="00AE4C00" w:rsidP="00906EAF">
      <w:r>
        <w:t>Consulte la tabla siguiente para saber qué etiqueta usar.</w:t>
      </w:r>
    </w:p>
    <w:tbl>
      <w:tblPr>
        <w:tblW w:w="107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134"/>
        <w:gridCol w:w="1841"/>
        <w:gridCol w:w="3103"/>
      </w:tblGrid>
      <w:tr w:rsidR="00AE4C00" w:rsidRPr="00906EAF" w14:paraId="0749C967" w14:textId="77777777" w:rsidTr="003F20E8">
        <w:trPr>
          <w:trHeight w:val="310"/>
        </w:trPr>
        <w:tc>
          <w:tcPr>
            <w:tcW w:w="10736" w:type="dxa"/>
            <w:gridSpan w:val="4"/>
            <w:shd w:val="clear" w:color="auto" w:fill="auto"/>
            <w:noWrap/>
            <w:hideMark/>
          </w:tcPr>
          <w:p w14:paraId="62663D47" w14:textId="77777777" w:rsidR="00AE4C00" w:rsidRPr="008554B1" w:rsidRDefault="00AE4C00" w:rsidP="00AE4C00">
            <w:r>
              <w:t>Etiquetas necesarias para el transporte de baterías (Manual de pruebas y criterios de las Naciones Unidas, parte III, subsección 38.3)</w:t>
            </w:r>
          </w:p>
        </w:tc>
      </w:tr>
      <w:tr w:rsidR="00AE4C00" w:rsidRPr="00906EAF" w14:paraId="4B2BE956" w14:textId="77777777" w:rsidTr="003F20E8">
        <w:trPr>
          <w:trHeight w:val="296"/>
        </w:trPr>
        <w:tc>
          <w:tcPr>
            <w:tcW w:w="10736" w:type="dxa"/>
            <w:gridSpan w:val="4"/>
            <w:shd w:val="clear" w:color="auto" w:fill="auto"/>
            <w:noWrap/>
            <w:hideMark/>
          </w:tcPr>
          <w:p w14:paraId="34C02A84" w14:textId="77777777" w:rsidR="00AE4C00" w:rsidRDefault="00AE4C00" w:rsidP="00AE4C00">
            <w:pPr>
              <w:jc w:val="center"/>
            </w:pPr>
            <w:r>
              <w:lastRenderedPageBreak/>
              <w:t>Requisitos de las etiquetas de las baterías de ion de litio</w:t>
            </w:r>
          </w:p>
        </w:tc>
      </w:tr>
      <w:tr w:rsidR="00906EAF" w:rsidRPr="00906EAF" w14:paraId="6B16ACE7" w14:textId="77777777" w:rsidTr="003F20E8">
        <w:trPr>
          <w:trHeight w:val="296"/>
        </w:trPr>
        <w:tc>
          <w:tcPr>
            <w:tcW w:w="2658" w:type="dxa"/>
            <w:shd w:val="clear" w:color="auto" w:fill="auto"/>
            <w:noWrap/>
            <w:hideMark/>
          </w:tcPr>
          <w:p w14:paraId="6EA36AD8" w14:textId="77777777" w:rsidR="00906EAF" w:rsidRPr="00906EAF" w:rsidRDefault="00906EAF" w:rsidP="00AE4C00">
            <w:pPr>
              <w:rPr>
                <w:rFonts w:cs="Arial"/>
                <w:b/>
                <w:bCs/>
                <w:color w:val="000000"/>
                <w:szCs w:val="18"/>
              </w:rPr>
            </w:pPr>
            <w:r>
              <w:rPr>
                <w:b/>
                <w:color w:val="000000"/>
              </w:rPr>
              <w:t>Envío de la batería</w:t>
            </w:r>
          </w:p>
        </w:tc>
        <w:tc>
          <w:tcPr>
            <w:tcW w:w="3134" w:type="dxa"/>
            <w:shd w:val="clear" w:color="auto" w:fill="auto"/>
            <w:noWrap/>
            <w:hideMark/>
          </w:tcPr>
          <w:p w14:paraId="0E46E22C" w14:textId="77777777" w:rsidR="00906EAF" w:rsidRPr="00906EAF" w:rsidRDefault="00906EAF" w:rsidP="00AE4C00">
            <w:pPr>
              <w:rPr>
                <w:rFonts w:cs="Arial"/>
                <w:b/>
                <w:bCs/>
                <w:color w:val="000000"/>
                <w:szCs w:val="18"/>
              </w:rPr>
            </w:pPr>
            <w:proofErr w:type="spellStart"/>
            <w:r>
              <w:rPr>
                <w:b/>
                <w:color w:val="000000"/>
              </w:rPr>
              <w:t>Wh</w:t>
            </w:r>
            <w:proofErr w:type="spellEnd"/>
            <w:r>
              <w:rPr>
                <w:b/>
                <w:color w:val="000000"/>
              </w:rPr>
              <w:t xml:space="preserve"> (vatios/hora)</w:t>
            </w:r>
          </w:p>
        </w:tc>
        <w:tc>
          <w:tcPr>
            <w:tcW w:w="1841" w:type="dxa"/>
            <w:shd w:val="clear" w:color="auto" w:fill="auto"/>
            <w:noWrap/>
            <w:hideMark/>
          </w:tcPr>
          <w:p w14:paraId="505F75A5" w14:textId="77777777" w:rsidR="00906EAF" w:rsidRPr="00906EAF" w:rsidRDefault="00906EAF" w:rsidP="00AE4C00">
            <w:pPr>
              <w:rPr>
                <w:rFonts w:cs="Arial"/>
                <w:b/>
                <w:bCs/>
                <w:color w:val="000000"/>
                <w:szCs w:val="18"/>
              </w:rPr>
            </w:pPr>
            <w:r>
              <w:rPr>
                <w:b/>
                <w:color w:val="000000"/>
              </w:rPr>
              <w:t>Etiquetas</w:t>
            </w:r>
          </w:p>
        </w:tc>
        <w:tc>
          <w:tcPr>
            <w:tcW w:w="3103" w:type="dxa"/>
            <w:shd w:val="clear" w:color="auto" w:fill="auto"/>
            <w:noWrap/>
            <w:hideMark/>
          </w:tcPr>
          <w:p w14:paraId="7931159A" w14:textId="77777777" w:rsidR="00906EAF" w:rsidRPr="00906EAF" w:rsidRDefault="00906EAF" w:rsidP="00AE4C00">
            <w:pPr>
              <w:rPr>
                <w:rFonts w:cs="Arial"/>
                <w:b/>
                <w:color w:val="000000"/>
                <w:szCs w:val="18"/>
              </w:rPr>
            </w:pPr>
            <w:r>
              <w:rPr>
                <w:b/>
                <w:color w:val="000000"/>
              </w:rPr>
              <w:t>Límite del peso de la batería/paquete</w:t>
            </w:r>
          </w:p>
        </w:tc>
      </w:tr>
      <w:tr w:rsidR="00AE4C00" w:rsidRPr="00906EAF" w14:paraId="6239F90C" w14:textId="77777777" w:rsidTr="00DE7838">
        <w:trPr>
          <w:trHeight w:val="575"/>
        </w:trPr>
        <w:tc>
          <w:tcPr>
            <w:tcW w:w="2658" w:type="dxa"/>
            <w:shd w:val="clear" w:color="auto" w:fill="auto"/>
            <w:noWrap/>
            <w:hideMark/>
          </w:tcPr>
          <w:p w14:paraId="5FF412C7" w14:textId="77777777" w:rsidR="00AE4C00" w:rsidRPr="004B037D" w:rsidRDefault="00AE4C00" w:rsidP="00AE4C00">
            <w:r>
              <w:t>Contenido en el equipo (instalado en el equipo)</w:t>
            </w:r>
          </w:p>
        </w:tc>
        <w:tc>
          <w:tcPr>
            <w:tcW w:w="3134" w:type="dxa"/>
            <w:shd w:val="clear" w:color="auto" w:fill="auto"/>
            <w:noWrap/>
            <w:hideMark/>
          </w:tcPr>
          <w:p w14:paraId="318135AF" w14:textId="77777777" w:rsidR="00AE4C00" w:rsidRPr="002C562E" w:rsidRDefault="00DE7838" w:rsidP="00AE4C00">
            <w:pPr>
              <w:rPr>
                <w:lang w:val="pt-BR"/>
              </w:rPr>
            </w:pPr>
            <w:r w:rsidRPr="002C562E">
              <w:rPr>
                <w:lang w:val="pt-BR"/>
              </w:rPr>
              <w:t>Igual o inferior a 100 Wh</w:t>
            </w:r>
          </w:p>
        </w:tc>
        <w:tc>
          <w:tcPr>
            <w:tcW w:w="1841" w:type="dxa"/>
            <w:shd w:val="clear" w:color="auto" w:fill="auto"/>
            <w:noWrap/>
            <w:hideMark/>
          </w:tcPr>
          <w:p w14:paraId="44F548CD" w14:textId="77777777" w:rsidR="00AE4C00" w:rsidRPr="005620DB" w:rsidRDefault="00DE7838" w:rsidP="00AE4C00">
            <w:r>
              <w:t>Imagen 12 o 13</w:t>
            </w:r>
          </w:p>
        </w:tc>
        <w:tc>
          <w:tcPr>
            <w:tcW w:w="3103" w:type="dxa"/>
            <w:shd w:val="clear" w:color="auto" w:fill="auto"/>
            <w:hideMark/>
          </w:tcPr>
          <w:p w14:paraId="10F6AC3A" w14:textId="77777777" w:rsidR="00AE4C00" w:rsidRPr="00906EAF" w:rsidRDefault="00816D3E" w:rsidP="00AE4C00">
            <w:pPr>
              <w:rPr>
                <w:rFonts w:cs="Arial"/>
                <w:color w:val="000000"/>
                <w:szCs w:val="18"/>
              </w:rPr>
            </w:pPr>
            <w:r>
              <w:rPr>
                <w:color w:val="000000"/>
              </w:rPr>
              <w:t>PAX = 5 kg</w:t>
            </w:r>
            <w:r>
              <w:rPr>
                <w:color w:val="000000"/>
              </w:rPr>
              <w:br/>
              <w:t>CAO = 5 kg</w:t>
            </w:r>
          </w:p>
        </w:tc>
      </w:tr>
      <w:tr w:rsidR="00AE4C00" w:rsidRPr="00906EAF" w14:paraId="103BF945" w14:textId="77777777" w:rsidTr="003F20E8">
        <w:trPr>
          <w:trHeight w:val="1259"/>
        </w:trPr>
        <w:tc>
          <w:tcPr>
            <w:tcW w:w="2658" w:type="dxa"/>
            <w:shd w:val="clear" w:color="auto" w:fill="auto"/>
            <w:noWrap/>
            <w:hideMark/>
          </w:tcPr>
          <w:p w14:paraId="6514223D" w14:textId="77777777" w:rsidR="00AE4C00" w:rsidRPr="004B037D" w:rsidRDefault="00AE4C00" w:rsidP="00AE4C00">
            <w:r>
              <w:t>Sola</w:t>
            </w:r>
          </w:p>
          <w:p w14:paraId="5072790B" w14:textId="77777777" w:rsidR="00AE4C00" w:rsidRPr="004B037D" w:rsidRDefault="00AE4C00" w:rsidP="00AE4C00"/>
        </w:tc>
        <w:tc>
          <w:tcPr>
            <w:tcW w:w="3134" w:type="dxa"/>
            <w:shd w:val="clear" w:color="auto" w:fill="auto"/>
            <w:noWrap/>
          </w:tcPr>
          <w:p w14:paraId="529A70A3" w14:textId="77777777" w:rsidR="00AE4C00" w:rsidRPr="00D172DD" w:rsidRDefault="00AE4C00" w:rsidP="00AE4C00">
            <w:r>
              <w:t>Igual o inferior a 100 </w:t>
            </w:r>
            <w:proofErr w:type="spellStart"/>
            <w:r>
              <w:t>Wh</w:t>
            </w:r>
            <w:proofErr w:type="spellEnd"/>
          </w:p>
          <w:p w14:paraId="09E00EA9" w14:textId="77777777" w:rsidR="00AE4C00" w:rsidRPr="00D172DD" w:rsidRDefault="00AE4C00" w:rsidP="00AE4C00"/>
        </w:tc>
        <w:tc>
          <w:tcPr>
            <w:tcW w:w="1841" w:type="dxa"/>
            <w:shd w:val="clear" w:color="auto" w:fill="auto"/>
            <w:noWrap/>
            <w:hideMark/>
          </w:tcPr>
          <w:p w14:paraId="739F1D04" w14:textId="77777777" w:rsidR="00AE4C00" w:rsidRPr="005620DB" w:rsidRDefault="00AE4C00" w:rsidP="00AE4C00">
            <w:r>
              <w:t>Imagen 12 o 13</w:t>
            </w:r>
          </w:p>
          <w:p w14:paraId="3A29286D" w14:textId="77777777" w:rsidR="00AE4C00" w:rsidRPr="005620DB" w:rsidRDefault="00AE4C00" w:rsidP="00AE4C00"/>
        </w:tc>
        <w:tc>
          <w:tcPr>
            <w:tcW w:w="3103" w:type="dxa"/>
            <w:shd w:val="clear" w:color="auto" w:fill="auto"/>
            <w:hideMark/>
          </w:tcPr>
          <w:p w14:paraId="5800AEBE" w14:textId="77777777" w:rsidR="00AE4C00" w:rsidRPr="00AE4C00" w:rsidRDefault="00AE4C00" w:rsidP="00AE4C00">
            <w:pPr>
              <w:rPr>
                <w:rFonts w:cs="Arial"/>
                <w:color w:val="000000"/>
                <w:szCs w:val="18"/>
              </w:rPr>
            </w:pPr>
            <w:r>
              <w:rPr>
                <w:color w:val="000000"/>
              </w:rPr>
              <w:t>Igual o inferior a 2,7 </w:t>
            </w:r>
            <w:proofErr w:type="spellStart"/>
            <w:r>
              <w:rPr>
                <w:color w:val="000000"/>
              </w:rPr>
              <w:t>Wh</w:t>
            </w:r>
            <w:proofErr w:type="spellEnd"/>
            <w:r>
              <w:rPr>
                <w:color w:val="000000"/>
              </w:rPr>
              <w:t>, lo que es igual a 2,5 kg</w:t>
            </w:r>
          </w:p>
          <w:p w14:paraId="2D3CA45D" w14:textId="77777777" w:rsidR="00AE4C00" w:rsidRPr="00AE4C00" w:rsidRDefault="00AE4C00" w:rsidP="00AE4C00">
            <w:pPr>
              <w:rPr>
                <w:rFonts w:cs="Arial"/>
                <w:color w:val="000000"/>
                <w:szCs w:val="18"/>
              </w:rPr>
            </w:pPr>
            <w:r>
              <w:rPr>
                <w:color w:val="000000"/>
              </w:rPr>
              <w:t>O BIEN</w:t>
            </w:r>
          </w:p>
          <w:p w14:paraId="0A7A487F" w14:textId="77777777" w:rsidR="00AE4C00" w:rsidRPr="00906EAF" w:rsidRDefault="00AE4C00" w:rsidP="00AE4C00">
            <w:pPr>
              <w:rPr>
                <w:rFonts w:cs="Arial"/>
                <w:color w:val="000000"/>
                <w:szCs w:val="18"/>
              </w:rPr>
            </w:pPr>
            <w:r>
              <w:rPr>
                <w:color w:val="000000"/>
              </w:rPr>
              <w:t>Superior a 2,7 </w:t>
            </w:r>
            <w:proofErr w:type="spellStart"/>
            <w:r>
              <w:rPr>
                <w:color w:val="000000"/>
              </w:rPr>
              <w:t>Wh</w:t>
            </w:r>
            <w:proofErr w:type="spellEnd"/>
            <w:r>
              <w:rPr>
                <w:color w:val="000000"/>
              </w:rPr>
              <w:t>, pero igual o inferior a 100 </w:t>
            </w:r>
            <w:proofErr w:type="spellStart"/>
            <w:r>
              <w:rPr>
                <w:color w:val="000000"/>
              </w:rPr>
              <w:t>Wh</w:t>
            </w:r>
            <w:proofErr w:type="spellEnd"/>
            <w:r>
              <w:rPr>
                <w:color w:val="000000"/>
              </w:rPr>
              <w:t>, lo que es igual a 2 baterías</w:t>
            </w:r>
          </w:p>
        </w:tc>
      </w:tr>
      <w:tr w:rsidR="00AE4C00" w:rsidRPr="00906EAF" w14:paraId="3999BF4B" w14:textId="77777777" w:rsidTr="003F20E8">
        <w:trPr>
          <w:trHeight w:val="800"/>
        </w:trPr>
        <w:tc>
          <w:tcPr>
            <w:tcW w:w="2658" w:type="dxa"/>
            <w:shd w:val="clear" w:color="auto" w:fill="auto"/>
            <w:noWrap/>
            <w:hideMark/>
          </w:tcPr>
          <w:p w14:paraId="67D68A54" w14:textId="77777777" w:rsidR="00AE4C00" w:rsidRPr="004B037D" w:rsidRDefault="00AE4C00" w:rsidP="00AE4C00">
            <w:r>
              <w:t>Embalaje separado del equipo (no instalado en el equipo)</w:t>
            </w:r>
          </w:p>
        </w:tc>
        <w:tc>
          <w:tcPr>
            <w:tcW w:w="3134" w:type="dxa"/>
            <w:shd w:val="clear" w:color="auto" w:fill="auto"/>
            <w:noWrap/>
            <w:hideMark/>
          </w:tcPr>
          <w:p w14:paraId="2C85B68C" w14:textId="77777777" w:rsidR="00AE4C00" w:rsidRPr="002C562E" w:rsidRDefault="00AE4C00" w:rsidP="00AE4C00">
            <w:pPr>
              <w:rPr>
                <w:lang w:val="pt-BR"/>
              </w:rPr>
            </w:pPr>
            <w:r w:rsidRPr="002C562E">
              <w:rPr>
                <w:lang w:val="pt-BR"/>
              </w:rPr>
              <w:t>Igual o inferior a 100 Wh</w:t>
            </w:r>
          </w:p>
        </w:tc>
        <w:tc>
          <w:tcPr>
            <w:tcW w:w="1841" w:type="dxa"/>
            <w:shd w:val="clear" w:color="auto" w:fill="auto"/>
            <w:noWrap/>
            <w:hideMark/>
          </w:tcPr>
          <w:p w14:paraId="20B8E045" w14:textId="77777777" w:rsidR="00AE4C00" w:rsidRPr="005620DB" w:rsidRDefault="00AE4C00" w:rsidP="00AE4C00">
            <w:r>
              <w:t>Imagen 12 o 13</w:t>
            </w:r>
          </w:p>
          <w:p w14:paraId="6F806E83" w14:textId="77777777" w:rsidR="00AE4C00" w:rsidRPr="005620DB" w:rsidRDefault="00AE4C00" w:rsidP="00AE4C00"/>
        </w:tc>
        <w:tc>
          <w:tcPr>
            <w:tcW w:w="3103" w:type="dxa"/>
            <w:shd w:val="clear" w:color="auto" w:fill="auto"/>
            <w:hideMark/>
          </w:tcPr>
          <w:p w14:paraId="2D1C8151" w14:textId="77777777" w:rsidR="00AE4C00" w:rsidRPr="00906EAF" w:rsidRDefault="00816D3E" w:rsidP="00AE4C00">
            <w:pPr>
              <w:rPr>
                <w:rFonts w:cs="Arial"/>
                <w:color w:val="000000"/>
                <w:szCs w:val="18"/>
              </w:rPr>
            </w:pPr>
            <w:r>
              <w:rPr>
                <w:color w:val="000000"/>
              </w:rPr>
              <w:t>PAX = 5 kg</w:t>
            </w:r>
            <w:r>
              <w:rPr>
                <w:color w:val="000000"/>
              </w:rPr>
              <w:br/>
              <w:t>CAO = 5 kg</w:t>
            </w:r>
          </w:p>
        </w:tc>
      </w:tr>
      <w:tr w:rsidR="00906EAF" w:rsidRPr="00DE7838" w14:paraId="3F7C37A0" w14:textId="77777777" w:rsidTr="003F20E8">
        <w:trPr>
          <w:trHeight w:val="296"/>
        </w:trPr>
        <w:tc>
          <w:tcPr>
            <w:tcW w:w="10736" w:type="dxa"/>
            <w:gridSpan w:val="4"/>
            <w:shd w:val="clear" w:color="auto" w:fill="auto"/>
            <w:noWrap/>
            <w:hideMark/>
          </w:tcPr>
          <w:p w14:paraId="5A4C62EE" w14:textId="77777777" w:rsidR="00906EAF" w:rsidRPr="00DE7838" w:rsidRDefault="00906EAF" w:rsidP="00906EAF">
            <w:pPr>
              <w:jc w:val="center"/>
              <w:rPr>
                <w:rFonts w:cs="Arial"/>
                <w:bCs/>
                <w:color w:val="000000"/>
                <w:szCs w:val="18"/>
              </w:rPr>
            </w:pPr>
            <w:r>
              <w:rPr>
                <w:color w:val="000000"/>
              </w:rPr>
              <w:t>Requisitos de las etiquetas de las baterías de metal de litio</w:t>
            </w:r>
          </w:p>
        </w:tc>
      </w:tr>
      <w:tr w:rsidR="00906EAF" w:rsidRPr="00906EAF" w14:paraId="05DEE4BF" w14:textId="77777777" w:rsidTr="003F20E8">
        <w:trPr>
          <w:trHeight w:val="296"/>
        </w:trPr>
        <w:tc>
          <w:tcPr>
            <w:tcW w:w="2658" w:type="dxa"/>
            <w:shd w:val="clear" w:color="auto" w:fill="auto"/>
            <w:noWrap/>
            <w:hideMark/>
          </w:tcPr>
          <w:p w14:paraId="1B6ED5EF" w14:textId="77777777" w:rsidR="00906EAF" w:rsidRPr="00906EAF" w:rsidRDefault="00906EAF" w:rsidP="00816D3E">
            <w:pPr>
              <w:rPr>
                <w:rFonts w:cs="Arial"/>
                <w:b/>
                <w:bCs/>
                <w:color w:val="000000"/>
                <w:szCs w:val="18"/>
              </w:rPr>
            </w:pPr>
            <w:r>
              <w:rPr>
                <w:b/>
                <w:color w:val="000000"/>
              </w:rPr>
              <w:t>Envío de la batería</w:t>
            </w:r>
          </w:p>
        </w:tc>
        <w:tc>
          <w:tcPr>
            <w:tcW w:w="3134" w:type="dxa"/>
            <w:shd w:val="clear" w:color="auto" w:fill="auto"/>
            <w:noWrap/>
            <w:hideMark/>
          </w:tcPr>
          <w:p w14:paraId="0611FF61" w14:textId="77777777" w:rsidR="00906EAF" w:rsidRPr="00906EAF" w:rsidRDefault="00816D3E" w:rsidP="00816D3E">
            <w:pPr>
              <w:rPr>
                <w:rFonts w:cs="Arial"/>
                <w:b/>
                <w:bCs/>
                <w:color w:val="000000"/>
                <w:szCs w:val="18"/>
              </w:rPr>
            </w:pPr>
            <w:r>
              <w:rPr>
                <w:b/>
                <w:color w:val="000000"/>
              </w:rPr>
              <w:t>Masa de metal de litio de la batería</w:t>
            </w:r>
          </w:p>
        </w:tc>
        <w:tc>
          <w:tcPr>
            <w:tcW w:w="1841" w:type="dxa"/>
            <w:shd w:val="clear" w:color="auto" w:fill="auto"/>
            <w:noWrap/>
            <w:hideMark/>
          </w:tcPr>
          <w:p w14:paraId="7B7EDFA3" w14:textId="77777777" w:rsidR="00906EAF" w:rsidRPr="00906EAF" w:rsidRDefault="00906EAF" w:rsidP="00816D3E">
            <w:pPr>
              <w:rPr>
                <w:rFonts w:cs="Arial"/>
                <w:b/>
                <w:bCs/>
                <w:color w:val="000000"/>
                <w:szCs w:val="18"/>
              </w:rPr>
            </w:pPr>
            <w:r>
              <w:rPr>
                <w:b/>
                <w:color w:val="000000"/>
              </w:rPr>
              <w:t>Etiquetas</w:t>
            </w:r>
          </w:p>
        </w:tc>
        <w:tc>
          <w:tcPr>
            <w:tcW w:w="3103" w:type="dxa"/>
            <w:shd w:val="clear" w:color="auto" w:fill="auto"/>
            <w:noWrap/>
            <w:hideMark/>
          </w:tcPr>
          <w:p w14:paraId="4D566148" w14:textId="77777777" w:rsidR="00906EAF" w:rsidRPr="00906EAF" w:rsidRDefault="00906EAF" w:rsidP="00816D3E">
            <w:pPr>
              <w:rPr>
                <w:rFonts w:cs="Arial"/>
                <w:color w:val="000000"/>
                <w:szCs w:val="18"/>
              </w:rPr>
            </w:pPr>
            <w:r>
              <w:rPr>
                <w:b/>
                <w:color w:val="000000"/>
              </w:rPr>
              <w:t>Límite del peso de la batería/paquete</w:t>
            </w:r>
          </w:p>
        </w:tc>
      </w:tr>
      <w:tr w:rsidR="00816D3E" w:rsidRPr="00906EAF" w14:paraId="4A389667" w14:textId="77777777" w:rsidTr="003F20E8">
        <w:trPr>
          <w:trHeight w:val="557"/>
        </w:trPr>
        <w:tc>
          <w:tcPr>
            <w:tcW w:w="2658" w:type="dxa"/>
            <w:shd w:val="clear" w:color="auto" w:fill="auto"/>
            <w:noWrap/>
            <w:hideMark/>
          </w:tcPr>
          <w:p w14:paraId="52FA21D7" w14:textId="77777777" w:rsidR="00816D3E" w:rsidRPr="00906EAF" w:rsidRDefault="00816D3E" w:rsidP="00816D3E">
            <w:pPr>
              <w:rPr>
                <w:rFonts w:cs="Arial"/>
                <w:color w:val="000000"/>
                <w:szCs w:val="18"/>
              </w:rPr>
            </w:pPr>
            <w:r>
              <w:rPr>
                <w:color w:val="000000"/>
              </w:rPr>
              <w:t>Contenido en el equipo (instalado en el equipo)</w:t>
            </w:r>
          </w:p>
        </w:tc>
        <w:tc>
          <w:tcPr>
            <w:tcW w:w="3134" w:type="dxa"/>
            <w:shd w:val="clear" w:color="auto" w:fill="auto"/>
            <w:noWrap/>
            <w:hideMark/>
          </w:tcPr>
          <w:p w14:paraId="60F1269F" w14:textId="77777777" w:rsidR="00816D3E" w:rsidRPr="002C562E" w:rsidRDefault="00816D3E" w:rsidP="00816D3E">
            <w:pPr>
              <w:rPr>
                <w:lang w:val="pt-BR"/>
              </w:rPr>
            </w:pPr>
            <w:r w:rsidRPr="002C562E">
              <w:rPr>
                <w:lang w:val="pt-BR"/>
              </w:rPr>
              <w:t>Igual o inferior a 2 g</w:t>
            </w:r>
          </w:p>
        </w:tc>
        <w:tc>
          <w:tcPr>
            <w:tcW w:w="1841" w:type="dxa"/>
            <w:shd w:val="clear" w:color="auto" w:fill="auto"/>
            <w:noWrap/>
          </w:tcPr>
          <w:p w14:paraId="1E6382B9" w14:textId="77777777" w:rsidR="00816D3E" w:rsidRPr="00906EAF" w:rsidRDefault="00816D3E" w:rsidP="00816D3E">
            <w:pPr>
              <w:rPr>
                <w:rFonts w:cs="Arial"/>
                <w:color w:val="000000"/>
                <w:szCs w:val="18"/>
              </w:rPr>
            </w:pPr>
            <w:r>
              <w:rPr>
                <w:color w:val="000000"/>
              </w:rPr>
              <w:t>Imagen 12 o 13</w:t>
            </w:r>
          </w:p>
        </w:tc>
        <w:tc>
          <w:tcPr>
            <w:tcW w:w="3103" w:type="dxa"/>
            <w:shd w:val="clear" w:color="auto" w:fill="auto"/>
            <w:hideMark/>
          </w:tcPr>
          <w:p w14:paraId="6A9AA854"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r w:rsidR="00DE7838" w:rsidRPr="00906EAF" w14:paraId="399BD684" w14:textId="77777777" w:rsidTr="00D92B98">
        <w:trPr>
          <w:trHeight w:val="296"/>
        </w:trPr>
        <w:tc>
          <w:tcPr>
            <w:tcW w:w="2658" w:type="dxa"/>
            <w:shd w:val="clear" w:color="auto" w:fill="auto"/>
            <w:noWrap/>
            <w:hideMark/>
          </w:tcPr>
          <w:p w14:paraId="77EEB8DE" w14:textId="77777777" w:rsidR="00DE7838" w:rsidRPr="00906EAF" w:rsidRDefault="00DE7838" w:rsidP="00D92B98">
            <w:pPr>
              <w:rPr>
                <w:rFonts w:cs="Arial"/>
                <w:b/>
                <w:bCs/>
                <w:color w:val="000000"/>
                <w:szCs w:val="18"/>
              </w:rPr>
            </w:pPr>
            <w:r>
              <w:rPr>
                <w:b/>
                <w:color w:val="000000"/>
              </w:rPr>
              <w:t>Envío de la batería</w:t>
            </w:r>
          </w:p>
        </w:tc>
        <w:tc>
          <w:tcPr>
            <w:tcW w:w="3134" w:type="dxa"/>
            <w:shd w:val="clear" w:color="auto" w:fill="auto"/>
            <w:noWrap/>
            <w:hideMark/>
          </w:tcPr>
          <w:p w14:paraId="1C37197B" w14:textId="77777777" w:rsidR="00DE7838" w:rsidRPr="00906EAF" w:rsidRDefault="00DE7838" w:rsidP="00D92B98">
            <w:pPr>
              <w:rPr>
                <w:rFonts w:cs="Arial"/>
                <w:b/>
                <w:bCs/>
                <w:color w:val="000000"/>
                <w:szCs w:val="18"/>
              </w:rPr>
            </w:pPr>
            <w:r>
              <w:rPr>
                <w:b/>
                <w:color w:val="000000"/>
              </w:rPr>
              <w:t>Masa de metal de litio de la batería</w:t>
            </w:r>
          </w:p>
        </w:tc>
        <w:tc>
          <w:tcPr>
            <w:tcW w:w="1841" w:type="dxa"/>
            <w:shd w:val="clear" w:color="auto" w:fill="auto"/>
            <w:noWrap/>
            <w:hideMark/>
          </w:tcPr>
          <w:p w14:paraId="08D94ED7" w14:textId="77777777" w:rsidR="00DE7838" w:rsidRPr="00906EAF" w:rsidRDefault="00DE7838" w:rsidP="00D92B98">
            <w:pPr>
              <w:rPr>
                <w:rFonts w:cs="Arial"/>
                <w:b/>
                <w:bCs/>
                <w:color w:val="000000"/>
                <w:szCs w:val="18"/>
              </w:rPr>
            </w:pPr>
            <w:r>
              <w:rPr>
                <w:b/>
                <w:color w:val="000000"/>
              </w:rPr>
              <w:t>Etiquetas</w:t>
            </w:r>
          </w:p>
        </w:tc>
        <w:tc>
          <w:tcPr>
            <w:tcW w:w="3103" w:type="dxa"/>
            <w:shd w:val="clear" w:color="auto" w:fill="auto"/>
            <w:noWrap/>
            <w:hideMark/>
          </w:tcPr>
          <w:p w14:paraId="13B248B4" w14:textId="77777777" w:rsidR="00DE7838" w:rsidRPr="00906EAF" w:rsidRDefault="00DE7838" w:rsidP="00D92B98">
            <w:pPr>
              <w:rPr>
                <w:rFonts w:cs="Arial"/>
                <w:color w:val="000000"/>
                <w:szCs w:val="18"/>
              </w:rPr>
            </w:pPr>
            <w:r>
              <w:rPr>
                <w:b/>
                <w:color w:val="000000"/>
              </w:rPr>
              <w:t>Límite del peso de la batería/paquete</w:t>
            </w:r>
          </w:p>
        </w:tc>
      </w:tr>
      <w:tr w:rsidR="00816D3E" w:rsidRPr="00906EAF" w14:paraId="1AC201ED" w14:textId="77777777" w:rsidTr="003F20E8">
        <w:trPr>
          <w:trHeight w:val="1430"/>
        </w:trPr>
        <w:tc>
          <w:tcPr>
            <w:tcW w:w="2658" w:type="dxa"/>
            <w:shd w:val="clear" w:color="auto" w:fill="auto"/>
            <w:noWrap/>
            <w:hideMark/>
          </w:tcPr>
          <w:p w14:paraId="2A81577A" w14:textId="77777777" w:rsidR="00816D3E" w:rsidRPr="00906EAF" w:rsidRDefault="00816D3E" w:rsidP="00816D3E">
            <w:pPr>
              <w:rPr>
                <w:rFonts w:cs="Arial"/>
                <w:color w:val="000000"/>
                <w:szCs w:val="18"/>
              </w:rPr>
            </w:pPr>
            <w:r>
              <w:rPr>
                <w:color w:val="000000"/>
              </w:rPr>
              <w:t>Sola</w:t>
            </w:r>
          </w:p>
        </w:tc>
        <w:tc>
          <w:tcPr>
            <w:tcW w:w="3134" w:type="dxa"/>
            <w:shd w:val="clear" w:color="auto" w:fill="auto"/>
            <w:noWrap/>
          </w:tcPr>
          <w:p w14:paraId="3F05AEC6" w14:textId="77777777" w:rsidR="00816D3E" w:rsidRPr="002C562E" w:rsidRDefault="00816D3E" w:rsidP="00A5425C">
            <w:pPr>
              <w:rPr>
                <w:lang w:val="pt-BR"/>
              </w:rPr>
            </w:pPr>
            <w:r w:rsidRPr="002C562E">
              <w:rPr>
                <w:lang w:val="pt-BR"/>
              </w:rPr>
              <w:t>Igual o inferior a 2 g</w:t>
            </w:r>
          </w:p>
        </w:tc>
        <w:tc>
          <w:tcPr>
            <w:tcW w:w="1841" w:type="dxa"/>
            <w:shd w:val="clear" w:color="auto" w:fill="auto"/>
            <w:noWrap/>
          </w:tcPr>
          <w:p w14:paraId="580EB865" w14:textId="77777777" w:rsidR="00816D3E" w:rsidRPr="00906EAF" w:rsidRDefault="00816D3E" w:rsidP="00816D3E">
            <w:pPr>
              <w:rPr>
                <w:rFonts w:cs="Arial"/>
                <w:color w:val="000000"/>
                <w:szCs w:val="18"/>
              </w:rPr>
            </w:pPr>
            <w:r>
              <w:rPr>
                <w:color w:val="000000"/>
              </w:rPr>
              <w:t>Imagen 12 o 13</w:t>
            </w:r>
          </w:p>
        </w:tc>
        <w:tc>
          <w:tcPr>
            <w:tcW w:w="3103" w:type="dxa"/>
            <w:shd w:val="clear" w:color="auto" w:fill="auto"/>
          </w:tcPr>
          <w:p w14:paraId="47C4EC0F" w14:textId="77777777" w:rsidR="00816D3E" w:rsidRPr="00816D3E" w:rsidRDefault="00816D3E" w:rsidP="00816D3E">
            <w:pPr>
              <w:rPr>
                <w:rFonts w:cs="Arial"/>
                <w:color w:val="000000"/>
                <w:szCs w:val="18"/>
              </w:rPr>
            </w:pPr>
            <w:r>
              <w:rPr>
                <w:color w:val="000000"/>
              </w:rPr>
              <w:t>Igual o inferior a 0,3 g, lo que es igual a 2,5 kg</w:t>
            </w:r>
          </w:p>
          <w:p w14:paraId="68A0CE78" w14:textId="77777777" w:rsidR="00816D3E" w:rsidRPr="00816D3E" w:rsidRDefault="00816D3E" w:rsidP="00816D3E">
            <w:pPr>
              <w:rPr>
                <w:rFonts w:cs="Arial"/>
                <w:color w:val="000000"/>
                <w:szCs w:val="18"/>
              </w:rPr>
            </w:pPr>
            <w:r>
              <w:rPr>
                <w:color w:val="000000"/>
              </w:rPr>
              <w:t>O BIEN</w:t>
            </w:r>
          </w:p>
          <w:p w14:paraId="7C1DB552" w14:textId="77777777" w:rsidR="00816D3E" w:rsidRPr="00906EAF" w:rsidRDefault="00816D3E" w:rsidP="00816D3E">
            <w:pPr>
              <w:rPr>
                <w:rFonts w:cs="Arial"/>
                <w:color w:val="000000"/>
                <w:szCs w:val="18"/>
              </w:rPr>
            </w:pPr>
            <w:r>
              <w:rPr>
                <w:color w:val="000000"/>
              </w:rPr>
              <w:t>Superior a 0,3 g, pero igual o inferior a 2 g, lo que es igual a 2 baterías</w:t>
            </w:r>
          </w:p>
        </w:tc>
      </w:tr>
      <w:tr w:rsidR="00816D3E" w:rsidRPr="00906EAF" w14:paraId="6EA2B936" w14:textId="77777777" w:rsidTr="003F20E8">
        <w:trPr>
          <w:trHeight w:val="710"/>
        </w:trPr>
        <w:tc>
          <w:tcPr>
            <w:tcW w:w="2658" w:type="dxa"/>
            <w:shd w:val="clear" w:color="auto" w:fill="auto"/>
            <w:noWrap/>
            <w:hideMark/>
          </w:tcPr>
          <w:p w14:paraId="1FD0B3BF" w14:textId="77777777" w:rsidR="00816D3E" w:rsidRPr="00906EAF" w:rsidRDefault="00816D3E" w:rsidP="00816D3E">
            <w:pPr>
              <w:rPr>
                <w:rFonts w:cs="Arial"/>
                <w:color w:val="000000"/>
                <w:szCs w:val="18"/>
              </w:rPr>
            </w:pPr>
            <w:bookmarkStart w:id="62" w:name="_Hlk54192298"/>
            <w:r>
              <w:rPr>
                <w:color w:val="000000"/>
              </w:rPr>
              <w:t>Embalaje separado del equipo (no instalado en el equipo)</w:t>
            </w:r>
          </w:p>
        </w:tc>
        <w:tc>
          <w:tcPr>
            <w:tcW w:w="3134" w:type="dxa"/>
            <w:shd w:val="clear" w:color="auto" w:fill="auto"/>
            <w:noWrap/>
          </w:tcPr>
          <w:p w14:paraId="248C6747" w14:textId="77777777" w:rsidR="00816D3E" w:rsidRPr="00A40CD8" w:rsidRDefault="00816D3E" w:rsidP="00A5425C">
            <w:pPr>
              <w:rPr>
                <w:lang w:val="pt-BR"/>
              </w:rPr>
            </w:pPr>
            <w:r w:rsidRPr="00A40CD8">
              <w:rPr>
                <w:lang w:val="pt-BR"/>
              </w:rPr>
              <w:t>Igual o inferior a 2 g</w:t>
            </w:r>
          </w:p>
        </w:tc>
        <w:tc>
          <w:tcPr>
            <w:tcW w:w="1841" w:type="dxa"/>
            <w:shd w:val="clear" w:color="auto" w:fill="auto"/>
            <w:noWrap/>
          </w:tcPr>
          <w:p w14:paraId="3962CDCF" w14:textId="77777777" w:rsidR="00816D3E" w:rsidRPr="00906EAF" w:rsidRDefault="00816D3E" w:rsidP="00816D3E">
            <w:pPr>
              <w:rPr>
                <w:rFonts w:cs="Arial"/>
                <w:color w:val="000000"/>
                <w:szCs w:val="18"/>
              </w:rPr>
            </w:pPr>
            <w:r>
              <w:rPr>
                <w:color w:val="000000"/>
              </w:rPr>
              <w:t>Imagen 12 o 13</w:t>
            </w:r>
          </w:p>
        </w:tc>
        <w:tc>
          <w:tcPr>
            <w:tcW w:w="3103" w:type="dxa"/>
            <w:shd w:val="clear" w:color="auto" w:fill="auto"/>
          </w:tcPr>
          <w:p w14:paraId="1E7E4ED3" w14:textId="77777777" w:rsidR="00816D3E" w:rsidRPr="00906EAF" w:rsidRDefault="00816D3E" w:rsidP="00906EAF">
            <w:pPr>
              <w:jc w:val="center"/>
              <w:rPr>
                <w:rFonts w:cs="Arial"/>
                <w:color w:val="000000"/>
                <w:szCs w:val="18"/>
              </w:rPr>
            </w:pPr>
            <w:r>
              <w:rPr>
                <w:color w:val="000000"/>
              </w:rPr>
              <w:t>PAX = 5 kg</w:t>
            </w:r>
            <w:r>
              <w:rPr>
                <w:color w:val="000000"/>
              </w:rPr>
              <w:br/>
              <w:t>CAO = 5 kg</w:t>
            </w:r>
          </w:p>
        </w:tc>
      </w:tr>
    </w:tbl>
    <w:p w14:paraId="73A82E2C" w14:textId="77777777" w:rsidR="00F750E6" w:rsidRDefault="00F750E6" w:rsidP="004A7BFA">
      <w:pPr>
        <w:rPr>
          <w:rFonts w:cs="Arial"/>
        </w:rPr>
      </w:pPr>
    </w:p>
    <w:p w14:paraId="16003B02" w14:textId="77777777" w:rsidR="00906EAF" w:rsidRDefault="00816D3E" w:rsidP="004A7BFA">
      <w:pPr>
        <w:rPr>
          <w:rFonts w:cs="Arial"/>
        </w:rPr>
      </w:pPr>
      <w:r>
        <w:t>Si la batería de ion de litio tiene una carga superior a 100 </w:t>
      </w:r>
      <w:proofErr w:type="spellStart"/>
      <w:r>
        <w:t>Wh</w:t>
      </w:r>
      <w:proofErr w:type="spellEnd"/>
      <w:r>
        <w:t xml:space="preserve"> y la batería de metal de litio tiene una masa de litio superior a 2 g, consulte a un ingeniero de cumplimiento de normativas medioambientales para conocer qué etiqueta debe usar.</w:t>
      </w:r>
    </w:p>
    <w:p w14:paraId="21E47A4B" w14:textId="59904A9A" w:rsidR="00816D3E" w:rsidRDefault="005F5119" w:rsidP="004A7BFA">
      <w:pPr>
        <w:rPr>
          <w:rFonts w:cs="Arial"/>
        </w:rPr>
      </w:pPr>
      <w:r>
        <w:t xml:space="preserve">Figura 12: Requisitos de contenido de la etiqueta para el envío de baterías: </w:t>
      </w:r>
    </w:p>
    <w:p w14:paraId="55345C6C" w14:textId="77777777" w:rsidR="00906EAF" w:rsidRDefault="00906EAF" w:rsidP="00816D3E">
      <w:pPr>
        <w:jc w:val="center"/>
        <w:rPr>
          <w:rFonts w:cs="Arial"/>
        </w:rPr>
      </w:pPr>
      <w:r>
        <w:rPr>
          <w:noProof/>
        </w:rPr>
        <w:lastRenderedPageBreak/>
        <w:drawing>
          <wp:inline distT="0" distB="0" distL="0" distR="0" wp14:anchorId="32C11796" wp14:editId="34B29748">
            <wp:extent cx="2375095" cy="2073275"/>
            <wp:effectExtent l="0" t="0" r="635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2532" cy="2079767"/>
                    </a:xfrm>
                    <a:prstGeom prst="rect">
                      <a:avLst/>
                    </a:prstGeom>
                    <a:noFill/>
                    <a:ln>
                      <a:noFill/>
                    </a:ln>
                  </pic:spPr>
                </pic:pic>
              </a:graphicData>
            </a:graphic>
          </wp:inline>
        </w:drawing>
      </w:r>
    </w:p>
    <w:p w14:paraId="54CA7885" w14:textId="70A4BE65" w:rsidR="00816D3E" w:rsidRDefault="005F5119" w:rsidP="00716A11">
      <w:r>
        <w:t xml:space="preserve">Figura 13: Contenido de la etiqueta para el envío de paquetes de baterías pequeños: </w:t>
      </w:r>
    </w:p>
    <w:p w14:paraId="767E659F" w14:textId="77777777" w:rsidR="00816D3E" w:rsidRDefault="00816D3E" w:rsidP="00816D3E">
      <w:pPr>
        <w:jc w:val="center"/>
      </w:pPr>
      <w:r>
        <w:rPr>
          <w:noProof/>
        </w:rPr>
        <w:drawing>
          <wp:inline distT="0" distB="0" distL="0" distR="0" wp14:anchorId="42626B11" wp14:editId="54B230B5">
            <wp:extent cx="2481103" cy="18863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9169" cy="1907700"/>
                    </a:xfrm>
                    <a:prstGeom prst="rect">
                      <a:avLst/>
                    </a:prstGeom>
                    <a:noFill/>
                    <a:ln>
                      <a:noFill/>
                    </a:ln>
                  </pic:spPr>
                </pic:pic>
              </a:graphicData>
            </a:graphic>
          </wp:inline>
        </w:drawing>
      </w:r>
    </w:p>
    <w:p w14:paraId="6A0D86C3" w14:textId="77777777" w:rsidR="005740B4" w:rsidRDefault="005740B4" w:rsidP="00481C42">
      <w:pPr>
        <w:pStyle w:val="Heading3"/>
        <w:rPr>
          <w:sz w:val="28"/>
        </w:rPr>
      </w:pPr>
      <w:bookmarkStart w:id="63" w:name="_Toc118885960"/>
      <w:r>
        <w:t>Exenciones de etiquetado</w:t>
      </w:r>
      <w:bookmarkEnd w:id="63"/>
    </w:p>
    <w:bookmarkEnd w:id="62"/>
    <w:p w14:paraId="23F7C660" w14:textId="77777777" w:rsidR="003B28A1" w:rsidRDefault="003B28A1" w:rsidP="003B28A1">
      <w:r>
        <w:t>No se necesitará una etiqueta de manipulación de baterías de ion de litio si el paquete no contiene más de 2 baterías incluidas en el equipo. Las baterías de metal de litio instaladas en el equipo no necesitan ninguna etiqueta de manipulación de baterías de litio.</w:t>
      </w:r>
    </w:p>
    <w:p w14:paraId="73821B0D" w14:textId="77777777" w:rsidR="009E043D" w:rsidRDefault="009E043D" w:rsidP="00481C42">
      <w:pPr>
        <w:pStyle w:val="Heading3"/>
      </w:pPr>
      <w:bookmarkStart w:id="64" w:name="_Toc118885961"/>
      <w:r>
        <w:t>Advertencia sobre productos desechables</w:t>
      </w:r>
      <w:bookmarkEnd w:id="64"/>
    </w:p>
    <w:p w14:paraId="6154BB2E" w14:textId="77777777" w:rsidR="009E043D" w:rsidRDefault="009E043D" w:rsidP="00BE0FAC">
      <w:pPr>
        <w:spacing w:after="0"/>
      </w:pPr>
      <w:r>
        <w:t>Los productos NETGEAR no se deben desechar junto con los residuos domésticos. Los productos NETGEAR deben desecharse en un lugar autorizado para reciclar aparatos eléctricos y electrónicos. Al recoger y reciclar los residuos, ayude a ahorrar recursos naturales y asegúrese de que el producto se desecha de forma saludable y respetuosa con el medio ambiente.</w:t>
      </w:r>
    </w:p>
    <w:p w14:paraId="29E63D66" w14:textId="77777777" w:rsidR="00922A55" w:rsidRPr="009B16CB" w:rsidRDefault="00922A55" w:rsidP="00481C42">
      <w:pPr>
        <w:pStyle w:val="Heading1"/>
      </w:pPr>
      <w:bookmarkStart w:id="65" w:name="_Toc118885962"/>
      <w:r>
        <w:t xml:space="preserve">Información sobre EMC, seguridad para los adaptadores de alimentación y dispositivos </w:t>
      </w:r>
      <w:proofErr w:type="spellStart"/>
      <w:r>
        <w:t>Powerline</w:t>
      </w:r>
      <w:bookmarkEnd w:id="65"/>
      <w:proofErr w:type="spellEnd"/>
    </w:p>
    <w:p w14:paraId="00CE2DED" w14:textId="77777777" w:rsidR="00922A55" w:rsidRDefault="00922A55" w:rsidP="00922A55">
      <w:pPr>
        <w:rPr>
          <w:rFonts w:cs="Arial"/>
        </w:rPr>
      </w:pPr>
      <w:r>
        <w:t>Siga estas directrices de seguridad para garantizar su propia seguridad personal y proteger su sistema ante posibles daños:</w:t>
      </w:r>
    </w:p>
    <w:p w14:paraId="00C49599" w14:textId="77777777" w:rsidR="00922A55" w:rsidRDefault="00922A55" w:rsidP="00922A55">
      <w:pPr>
        <w:pStyle w:val="ListParagraph"/>
        <w:numPr>
          <w:ilvl w:val="0"/>
          <w:numId w:val="15"/>
        </w:numPr>
        <w:rPr>
          <w:rFonts w:cs="Arial"/>
        </w:rPr>
      </w:pPr>
      <w:r>
        <w:t xml:space="preserve">Para la aprobación de dispositivos en el territorio nacional (esquemas de aprobación que no sean CB), se deberán consultar los estándares locales relevantes en materia de unidades de conexión, tomas de corriente o conexión directa (por ejemplo, para EE. UU.) para la realización de pruebas; asimismo, se deberán tener en cuenta para la aprobación de dichos productos. </w:t>
      </w:r>
    </w:p>
    <w:p w14:paraId="10ABC06A" w14:textId="77777777" w:rsidR="00922A55" w:rsidRDefault="00922A55" w:rsidP="00922A55">
      <w:pPr>
        <w:pStyle w:val="ListParagraph"/>
        <w:numPr>
          <w:ilvl w:val="0"/>
          <w:numId w:val="15"/>
        </w:numPr>
        <w:rPr>
          <w:rFonts w:cs="Arial"/>
        </w:rPr>
      </w:pPr>
      <w:r>
        <w:lastRenderedPageBreak/>
        <w:t>Compruebe la corriente eléctrica de los dispositivos conectados a la toma de corriente alterna filtrada. No supere la tensión máxima de la casa ni de los productos, ni los requisitos eléctricos.</w:t>
      </w:r>
    </w:p>
    <w:p w14:paraId="28015978" w14:textId="77777777" w:rsidR="00922A55" w:rsidRDefault="00922A55" w:rsidP="00922A55">
      <w:pPr>
        <w:pStyle w:val="ListParagraph"/>
        <w:numPr>
          <w:ilvl w:val="0"/>
          <w:numId w:val="15"/>
        </w:numPr>
        <w:rPr>
          <w:rFonts w:cs="Arial"/>
        </w:rPr>
      </w:pPr>
      <w:r>
        <w:t>Asegúrese de que el enchufe o toma de corriente estén cerca del equipo y de que se pueda acceder a ellos con facilidad</w:t>
      </w:r>
    </w:p>
    <w:p w14:paraId="56D20933" w14:textId="62C70373" w:rsidR="00922A55" w:rsidRDefault="00922A55" w:rsidP="00922A55">
      <w:pPr>
        <w:pStyle w:val="ListParagraph"/>
        <w:numPr>
          <w:ilvl w:val="0"/>
          <w:numId w:val="15"/>
        </w:numPr>
        <w:rPr>
          <w:rFonts w:cs="Arial"/>
        </w:rPr>
      </w:pPr>
      <w:r>
        <w:t>Solo los cables de alimentación pueden introducirse en las fuentes de alimentación de corriente alterna filtrada; no se puede introducir ningún otro equipo con un enchufe directo. El producto no debe situarse a una altura superior a 1 m de la superficie de soporte y los cables de alimentación deben tener un mínimo de 1 m de longitud y un máximo de 1,5 mm² de área transversal.</w:t>
      </w:r>
    </w:p>
    <w:p w14:paraId="52B7DF5A" w14:textId="77777777" w:rsidR="00922A55" w:rsidRDefault="00922A55" w:rsidP="00922A55">
      <w:pPr>
        <w:pStyle w:val="ListParagraph"/>
        <w:numPr>
          <w:ilvl w:val="0"/>
          <w:numId w:val="15"/>
        </w:numPr>
        <w:rPr>
          <w:rFonts w:cs="Arial"/>
        </w:rPr>
      </w:pPr>
      <w:r>
        <w:t xml:space="preserve">No conecte dispositivos a la toma de corriente de CA filtrada del adaptador de alimentación </w:t>
      </w:r>
      <w:proofErr w:type="spellStart"/>
      <w:r>
        <w:t>Powerline</w:t>
      </w:r>
      <w:proofErr w:type="spellEnd"/>
      <w:r>
        <w:t xml:space="preserve"> que superen la potencia del producto.  La corriente de salida de la toma de corriente de CA filtrada es la misma que la de la toma de corriente a la que está enchufado el adaptador de alimentación </w:t>
      </w:r>
      <w:proofErr w:type="spellStart"/>
      <w:r>
        <w:t>Powerline</w:t>
      </w:r>
      <w:proofErr w:type="spellEnd"/>
      <w:r>
        <w:t>. Para evitar daños en el sistema, asegúrese de que los dispositivos enchufados están aprobados eléctricamente para operar con la corriente disponible en su zona.</w:t>
      </w:r>
    </w:p>
    <w:p w14:paraId="73005E8D" w14:textId="77777777" w:rsidR="00922A55" w:rsidRDefault="00922A55" w:rsidP="00922A55">
      <w:pPr>
        <w:pStyle w:val="ListParagraph"/>
        <w:numPr>
          <w:ilvl w:val="0"/>
          <w:numId w:val="15"/>
        </w:numPr>
        <w:rPr>
          <w:rFonts w:cs="Arial"/>
        </w:rPr>
      </w:pPr>
      <w:r>
        <w:t xml:space="preserve">Si la corriente de la entrada de CA es inferior a 100 V de CA, es posible que el dispositivo conectado a la toma de corriente de CA filtrada del adaptador de alimentación </w:t>
      </w:r>
      <w:proofErr w:type="spellStart"/>
      <w:r>
        <w:t>Powerline</w:t>
      </w:r>
      <w:proofErr w:type="spellEnd"/>
      <w:r>
        <w:t xml:space="preserve"> no funcione tan bien como debiera.</w:t>
      </w:r>
    </w:p>
    <w:p w14:paraId="703845C6" w14:textId="77777777" w:rsidR="00922A55" w:rsidRDefault="00922A55" w:rsidP="00922A55">
      <w:pPr>
        <w:pStyle w:val="ListParagraph"/>
        <w:numPr>
          <w:ilvl w:val="0"/>
          <w:numId w:val="15"/>
        </w:numPr>
        <w:rPr>
          <w:rFonts w:cs="Arial"/>
        </w:rPr>
      </w:pPr>
      <w:r>
        <w:t xml:space="preserve">NO ENCHUFE ELECTRODOMÉSTICOS PRINCIPALES en la toma de corriente alterna filtrada ni en una regleta.  El dispositivo no está diseñado para ser utilizado con electrodomésticos, como sistemas de aire acondicionado, herramientas eléctricas, calentadores, ventiladores, secadores de pelo, hornos ni neveras. </w:t>
      </w:r>
    </w:p>
    <w:p w14:paraId="7FFCE16A" w14:textId="77777777" w:rsidR="00B2351F" w:rsidRDefault="00B2351F" w:rsidP="00B2351F">
      <w:pPr>
        <w:pStyle w:val="ListParagraph"/>
        <w:numPr>
          <w:ilvl w:val="0"/>
          <w:numId w:val="15"/>
        </w:numPr>
        <w:rPr>
          <w:rFonts w:cs="Arial"/>
        </w:rPr>
      </w:pPr>
      <w:r>
        <w:t>Observe la potencia de la regleta y del cable de extensión.  Asegúrese de que la potencia en amperios total de todos los productos conectados al cable de extensión o a la regleta no supera el 80 % del límite de potencia en amperios del cable de extensión o la regleta.</w:t>
      </w:r>
    </w:p>
    <w:p w14:paraId="39D9B531" w14:textId="2360906D" w:rsidR="00922A55" w:rsidRDefault="00922A55" w:rsidP="00922A55">
      <w:pPr>
        <w:pStyle w:val="ListParagraph"/>
        <w:numPr>
          <w:ilvl w:val="0"/>
          <w:numId w:val="15"/>
        </w:numPr>
        <w:rPr>
          <w:rFonts w:cs="Arial"/>
        </w:rPr>
      </w:pPr>
      <w:r>
        <w:t xml:space="preserve">La velocidad de transmisión real de datos puede variar. Las condiciones de la red y los factores medioambientales, incluidos el volumen del tráfico de red, materiales de construcción y edificios, así como la sobrecarga de la red, pueden disminuir la velocidad de transferencia de los datos. </w:t>
      </w:r>
    </w:p>
    <w:p w14:paraId="0D951C94" w14:textId="77777777" w:rsidR="00B2351F" w:rsidRDefault="00B2351F" w:rsidP="00B2351F">
      <w:pPr>
        <w:rPr>
          <w:rFonts w:cs="Arial"/>
        </w:rPr>
      </w:pPr>
      <w:r>
        <w:t xml:space="preserve">Los productos </w:t>
      </w:r>
      <w:proofErr w:type="spellStart"/>
      <w:r>
        <w:t>Powerline</w:t>
      </w:r>
      <w:proofErr w:type="spellEnd"/>
      <w:r>
        <w:t xml:space="preserve"> NETGEAR proporcionan un método alternativo para ampliar su red usando el cableado eléctrico existente. Si observa problemas de interferencias, siga estas directrices:</w:t>
      </w:r>
    </w:p>
    <w:p w14:paraId="2C7614BC" w14:textId="77777777" w:rsidR="00B2351F" w:rsidRDefault="00B2351F" w:rsidP="00B2351F">
      <w:pPr>
        <w:pStyle w:val="ListParagraph"/>
        <w:numPr>
          <w:ilvl w:val="0"/>
          <w:numId w:val="35"/>
        </w:numPr>
        <w:rPr>
          <w:rFonts w:cs="Arial"/>
        </w:rPr>
      </w:pPr>
      <w:r>
        <w:t xml:space="preserve">Conecte los adaptadores </w:t>
      </w:r>
      <w:proofErr w:type="spellStart"/>
      <w:r>
        <w:t>Powerline</w:t>
      </w:r>
      <w:proofErr w:type="spellEnd"/>
      <w:r>
        <w:t xml:space="preserve"> a tomas de corriente situadas lejos de los cargadores de teléfonos móviles y de las estaciones base de teléfonos inalámbricos.</w:t>
      </w:r>
    </w:p>
    <w:p w14:paraId="49064843" w14:textId="77777777" w:rsidR="00B2351F" w:rsidRDefault="00B2351F" w:rsidP="00B2351F">
      <w:pPr>
        <w:pStyle w:val="ListParagraph"/>
        <w:numPr>
          <w:ilvl w:val="0"/>
          <w:numId w:val="35"/>
        </w:numPr>
        <w:rPr>
          <w:rFonts w:cs="Arial"/>
        </w:rPr>
      </w:pPr>
      <w:r>
        <w:t xml:space="preserve">Asegúrese de que los adaptadores </w:t>
      </w:r>
      <w:proofErr w:type="spellStart"/>
      <w:r>
        <w:t>Powerline</w:t>
      </w:r>
      <w:proofErr w:type="spellEnd"/>
      <w:r>
        <w:t xml:space="preserve"> están situados lejos de equipos con un motor (por ejemplo, de un ventilador o un aspirador, entre otros).</w:t>
      </w:r>
    </w:p>
    <w:p w14:paraId="110F159F" w14:textId="77777777" w:rsidR="00B2351F" w:rsidRPr="00F205AA" w:rsidRDefault="00B2351F" w:rsidP="00B2351F">
      <w:pPr>
        <w:pStyle w:val="ListParagraph"/>
        <w:numPr>
          <w:ilvl w:val="0"/>
          <w:numId w:val="35"/>
        </w:numPr>
        <w:rPr>
          <w:rFonts w:cs="Arial"/>
        </w:rPr>
      </w:pPr>
      <w:r>
        <w:t xml:space="preserve">Asegúrese de que los adaptadores </w:t>
      </w:r>
      <w:proofErr w:type="spellStart"/>
      <w:r>
        <w:t>Powerline</w:t>
      </w:r>
      <w:proofErr w:type="spellEnd"/>
      <w:r>
        <w:t xml:space="preserve"> están situados lejos de dispositivos de audio, como receptores de radio.</w:t>
      </w:r>
    </w:p>
    <w:p w14:paraId="4A91753F" w14:textId="2FFBDC7A" w:rsidR="00B2351F" w:rsidRPr="00B2351F" w:rsidRDefault="00B2351F" w:rsidP="00B2351F">
      <w:pPr>
        <w:pStyle w:val="Heading2"/>
      </w:pPr>
      <w:bookmarkStart w:id="66" w:name="_Toc118885963"/>
      <w:r>
        <w:t>Notas de orientación general</w:t>
      </w:r>
      <w:bookmarkEnd w:id="66"/>
    </w:p>
    <w:p w14:paraId="1EE3B1AA" w14:textId="77777777" w:rsidR="00922A55" w:rsidRDefault="00922A55" w:rsidP="00922A55">
      <w:pPr>
        <w:pStyle w:val="ListParagraph"/>
        <w:numPr>
          <w:ilvl w:val="0"/>
          <w:numId w:val="15"/>
        </w:numPr>
        <w:rPr>
          <w:rFonts w:cs="Arial"/>
        </w:rPr>
      </w:pPr>
      <w:r>
        <w:t>Utilice el producto únicamente con el equipo aprobado.</w:t>
      </w:r>
    </w:p>
    <w:p w14:paraId="2023888C" w14:textId="77777777" w:rsidR="00922A55" w:rsidRDefault="00922A55" w:rsidP="00922A55">
      <w:pPr>
        <w:pStyle w:val="ListParagraph"/>
        <w:numPr>
          <w:ilvl w:val="0"/>
          <w:numId w:val="15"/>
        </w:numPr>
        <w:rPr>
          <w:rFonts w:cs="Arial"/>
        </w:rPr>
      </w:pPr>
      <w:r>
        <w:t>Deje que los productos se enfríen antes de retirar las cubiertas o tocar los componentes internos.</w:t>
      </w:r>
    </w:p>
    <w:p w14:paraId="0E3A28C5" w14:textId="77777777" w:rsidR="00922A55" w:rsidRDefault="00922A55" w:rsidP="00922A55">
      <w:pPr>
        <w:pStyle w:val="ListParagraph"/>
        <w:numPr>
          <w:ilvl w:val="0"/>
          <w:numId w:val="15"/>
        </w:numPr>
        <w:rPr>
          <w:rFonts w:cs="Arial"/>
        </w:rPr>
      </w:pPr>
      <w:r>
        <w:t>Para evitar daños en el sistema, asegúrese de que el interruptor de selección de voltaje (si se incluye) de la fuente de alimentación está configurado para que coincida con la alimentación disponible en su ubicación:</w:t>
      </w:r>
    </w:p>
    <w:p w14:paraId="683AD319" w14:textId="77777777" w:rsidR="00922A55" w:rsidRDefault="00922A55" w:rsidP="00922A55">
      <w:pPr>
        <w:pStyle w:val="ListParagraph"/>
        <w:numPr>
          <w:ilvl w:val="1"/>
          <w:numId w:val="15"/>
        </w:numPr>
        <w:rPr>
          <w:rFonts w:cs="Arial"/>
        </w:rPr>
      </w:pPr>
      <w:r>
        <w:t>110 voltios (V) y 60 hercios (Hz) para la mayoría de los países de América del Norte y del Sur, y para algunos países asiáticos, como Corea del Sur y Taiwán</w:t>
      </w:r>
    </w:p>
    <w:p w14:paraId="33C15580" w14:textId="77777777" w:rsidR="00922A55" w:rsidRDefault="00922A55" w:rsidP="00922A55">
      <w:pPr>
        <w:pStyle w:val="ListParagraph"/>
        <w:numPr>
          <w:ilvl w:val="1"/>
          <w:numId w:val="15"/>
        </w:numPr>
        <w:rPr>
          <w:rFonts w:cs="Arial"/>
        </w:rPr>
      </w:pPr>
      <w:r>
        <w:t>100 V y 50 Hz para el este de Japón, y 100 V y 60 Hz para el oeste de Japón</w:t>
      </w:r>
    </w:p>
    <w:p w14:paraId="1AF9ED2A" w14:textId="77777777" w:rsidR="00922A55" w:rsidRDefault="00922A55" w:rsidP="00922A55">
      <w:pPr>
        <w:pStyle w:val="ListParagraph"/>
        <w:numPr>
          <w:ilvl w:val="1"/>
          <w:numId w:val="15"/>
        </w:numPr>
        <w:rPr>
          <w:rFonts w:cs="Arial"/>
        </w:rPr>
      </w:pPr>
      <w:r>
        <w:t>230 V y 50 Hz para la mayor parte de los países de Europa, Oriente Medio y los países asiáticos.</w:t>
      </w:r>
    </w:p>
    <w:p w14:paraId="2A43BCA5" w14:textId="2B8D643D" w:rsidR="00AA5A71" w:rsidRDefault="00922A55" w:rsidP="008A30EE">
      <w:pPr>
        <w:pStyle w:val="ListParagraph"/>
        <w:numPr>
          <w:ilvl w:val="0"/>
          <w:numId w:val="15"/>
        </w:numPr>
        <w:rPr>
          <w:rFonts w:cs="Arial"/>
        </w:rPr>
      </w:pPr>
      <w:r>
        <w:t>Para proteger el sistema de aumentos y reducciones de la alimentación eléctrica repentinos y transitorios, utilice un supresor de sobretensiones, un acondicionador de línea o un sistema de alimentación ininterrumpida (SAI).</w:t>
      </w:r>
    </w:p>
    <w:p w14:paraId="13100612" w14:textId="77777777" w:rsidR="00B2351F" w:rsidRDefault="00B2351F" w:rsidP="00B2351F">
      <w:pPr>
        <w:pStyle w:val="ListParagraph"/>
        <w:numPr>
          <w:ilvl w:val="0"/>
          <w:numId w:val="15"/>
        </w:numPr>
        <w:rPr>
          <w:rFonts w:cs="Arial"/>
        </w:rPr>
      </w:pPr>
      <w:r>
        <w:t>Los cables de alimentación periféricos están equipados con enchufes de tres clavijas para garantizar una conexión a tierra adecuada.  No utilice enchufes adaptadores ni retire la clavija de conexión a tierra de un cable.</w:t>
      </w:r>
    </w:p>
    <w:p w14:paraId="084EADB5" w14:textId="77777777" w:rsidR="00B2351F" w:rsidRDefault="00B2351F" w:rsidP="00B2351F">
      <w:pPr>
        <w:pStyle w:val="ListParagraph"/>
        <w:numPr>
          <w:ilvl w:val="0"/>
          <w:numId w:val="15"/>
        </w:numPr>
        <w:rPr>
          <w:rFonts w:cs="Arial"/>
        </w:rPr>
      </w:pPr>
      <w:r>
        <w:lastRenderedPageBreak/>
        <w:t>Si abre o retira las cubiertas marcadas con el símbolo triangular con un relámpago, se expone a posibles descargas eléctricas.  Solo un técnico de servicio cualificado debe realizar el mantenimiento de los componentes que se encuentran dentro de estos compartimentos.</w:t>
      </w:r>
    </w:p>
    <w:p w14:paraId="6A4B3227" w14:textId="3766ED00" w:rsidR="000747E1" w:rsidRPr="000747E1" w:rsidRDefault="000747E1" w:rsidP="000747E1">
      <w:pPr>
        <w:pStyle w:val="ListParagraph"/>
        <w:numPr>
          <w:ilvl w:val="0"/>
          <w:numId w:val="15"/>
        </w:numPr>
        <w:rPr>
          <w:rFonts w:cs="Arial"/>
        </w:rPr>
      </w:pPr>
      <w:r>
        <w:t xml:space="preserve">No realice el mantenimiento de ningún producto, excepto en los casos que se explican en la documentación del sistema. </w:t>
      </w:r>
    </w:p>
    <w:p w14:paraId="4AA3B7F9" w14:textId="52ECD6F6" w:rsidR="0082382E" w:rsidRPr="0082382E" w:rsidRDefault="0082382E" w:rsidP="00E63B27">
      <w:pPr>
        <w:pStyle w:val="Heading1"/>
        <w:rPr>
          <w:rStyle w:val="Hyperlink"/>
          <w:rFonts w:eastAsia="新細明體" w:cstheme="minorBidi"/>
          <w:b w:val="0"/>
          <w:bCs w:val="0"/>
          <w:color w:val="000000" w:themeColor="text1"/>
          <w:sz w:val="18"/>
          <w:szCs w:val="22"/>
          <w:u w:val="none"/>
        </w:rPr>
      </w:pPr>
      <w:bookmarkStart w:id="67" w:name="_Toc118885964"/>
      <w:r>
        <w:rPr>
          <w:rStyle w:val="Hyperlink"/>
          <w:color w:val="000000" w:themeColor="text1"/>
          <w:u w:val="none"/>
        </w:rPr>
        <w:t>Cumplimiento de la proposición 65 de California (</w:t>
      </w:r>
      <w:proofErr w:type="spellStart"/>
      <w:r>
        <w:rPr>
          <w:rStyle w:val="Hyperlink"/>
          <w:color w:val="000000" w:themeColor="text1"/>
          <w:u w:val="none"/>
        </w:rPr>
        <w:t>Prop</w:t>
      </w:r>
      <w:proofErr w:type="spellEnd"/>
      <w:r>
        <w:rPr>
          <w:rStyle w:val="Hyperlink"/>
          <w:color w:val="000000" w:themeColor="text1"/>
          <w:u w:val="none"/>
        </w:rPr>
        <w:t xml:space="preserve"> 65)</w:t>
      </w:r>
      <w:bookmarkEnd w:id="67"/>
      <w:r>
        <w:rPr>
          <w:rStyle w:val="Hyperlink"/>
          <w:color w:val="000000" w:themeColor="text1"/>
          <w:u w:val="none"/>
        </w:rPr>
        <w:t xml:space="preserve"> </w:t>
      </w:r>
    </w:p>
    <w:p w14:paraId="62FF7820" w14:textId="34FC1A48" w:rsidR="0082382E" w:rsidRPr="0082382E" w:rsidRDefault="0082382E" w:rsidP="00E63B27">
      <w:r>
        <w:t xml:space="preserve">Los productos de NETGEAR cumplen con la </w:t>
      </w:r>
      <w:proofErr w:type="spellStart"/>
      <w:r>
        <w:t>Prop</w:t>
      </w:r>
      <w:proofErr w:type="spellEnd"/>
      <w:r>
        <w:t xml:space="preserve"> 65. NETGEAR declara que sus productos no contienen ninguna de las sustancias enumeradas por la OEHHA de California o que, si las contienen, se encuentran dentro del umbral de seguridad estipulado por la OEHHA.</w:t>
      </w:r>
    </w:p>
    <w:p w14:paraId="3AFC4B28" w14:textId="305F4BD4" w:rsidR="0040534E" w:rsidRDefault="0006746B" w:rsidP="0082382E">
      <w:pPr>
        <w:pStyle w:val="Heading1"/>
      </w:pPr>
      <w:bookmarkStart w:id="68" w:name="_Toc118885965"/>
      <w:r>
        <w:t>Instrucciones de seguridad para el montaje en bastidor</w:t>
      </w:r>
      <w:bookmarkEnd w:id="68"/>
    </w:p>
    <w:p w14:paraId="7BDC0EFA" w14:textId="77777777" w:rsidR="0040534E" w:rsidRDefault="00D8195F" w:rsidP="0040534E">
      <w:pPr>
        <w:rPr>
          <w:rFonts w:cs="Arial"/>
        </w:rPr>
      </w:pPr>
      <w:r>
        <w:t>Esta información se aplica a la instalación de productos de montaje en bastidor NETGEAR.</w:t>
      </w:r>
    </w:p>
    <w:p w14:paraId="443777AB" w14:textId="77777777" w:rsidR="0040534E" w:rsidRPr="0040534E" w:rsidRDefault="0040534E" w:rsidP="0040534E">
      <w:pPr>
        <w:pStyle w:val="ListParagraph"/>
        <w:numPr>
          <w:ilvl w:val="0"/>
          <w:numId w:val="15"/>
        </w:numPr>
        <w:rPr>
          <w:rFonts w:cs="Arial"/>
        </w:rPr>
      </w:pPr>
      <w:r>
        <w:rPr>
          <w:b/>
        </w:rPr>
        <w:t>Temperatura de funcionamiento ambiente</w:t>
      </w:r>
      <w:r>
        <w:t>. Si el switch está instalado en un conjunto de bastidor cerrado o de varias unidades, la temperatura de funcionamiento ambiente del entorno de bastidor puede ser superior a la temperatura ambiente de la habitación en la que se encuentre. Por lo tanto, tenga en cuenta la temperatura nominal máxima a la hora instalar el equipo para que sea en un entorno compatible.</w:t>
      </w:r>
    </w:p>
    <w:p w14:paraId="1EF6B5DD" w14:textId="77777777" w:rsidR="0040534E" w:rsidRPr="0040534E" w:rsidRDefault="0040534E" w:rsidP="0040534E">
      <w:pPr>
        <w:pStyle w:val="ListParagraph"/>
        <w:numPr>
          <w:ilvl w:val="0"/>
          <w:numId w:val="15"/>
        </w:numPr>
        <w:rPr>
          <w:rFonts w:cs="Arial"/>
        </w:rPr>
      </w:pPr>
      <w:r>
        <w:rPr>
          <w:b/>
        </w:rPr>
        <w:t>Flujo de aire reducido</w:t>
      </w:r>
      <w:r>
        <w:t>. Monte el equipo en un bastidor de forma que el flujo de aire requerido para un uso seguro no se vea comprometido.</w:t>
      </w:r>
    </w:p>
    <w:p w14:paraId="79AB917C" w14:textId="77777777" w:rsidR="0040534E" w:rsidRPr="0040534E" w:rsidRDefault="0040534E" w:rsidP="0040534E">
      <w:pPr>
        <w:pStyle w:val="ListParagraph"/>
        <w:numPr>
          <w:ilvl w:val="0"/>
          <w:numId w:val="15"/>
        </w:numPr>
        <w:rPr>
          <w:rFonts w:cs="Arial"/>
        </w:rPr>
      </w:pPr>
      <w:r>
        <w:rPr>
          <w:b/>
        </w:rPr>
        <w:t>Carga mecánica</w:t>
      </w:r>
      <w:r>
        <w:t>. Monte el equipo en un bastidor para evitar que se produzca una situación peligrosa debido a una carga mecánica desigual.</w:t>
      </w:r>
    </w:p>
    <w:p w14:paraId="45F936B6" w14:textId="77777777" w:rsidR="0040534E" w:rsidRPr="0040534E" w:rsidRDefault="0040534E" w:rsidP="0040534E">
      <w:pPr>
        <w:pStyle w:val="ListParagraph"/>
        <w:numPr>
          <w:ilvl w:val="0"/>
          <w:numId w:val="15"/>
        </w:numPr>
        <w:rPr>
          <w:rFonts w:cs="Arial"/>
        </w:rPr>
      </w:pPr>
      <w:r>
        <w:rPr>
          <w:b/>
        </w:rPr>
        <w:t>Sobrecarga del circuito</w:t>
      </w:r>
      <w:r>
        <w:t xml:space="preserve">. Tenga en cuenta la conexión del equipo al circuito de la fuente de alimentación y el efecto que cualquier posible sobrecarga del circuito tendría en la protección contra </w:t>
      </w:r>
      <w:proofErr w:type="spellStart"/>
      <w:r>
        <w:t>sobrecorrientes</w:t>
      </w:r>
      <w:proofErr w:type="spellEnd"/>
      <w:r>
        <w:t xml:space="preserve"> y en el cableado de la fuente de alimentación. Además, tenga en cuenta las potencias indicadas en la placa del equipo al abordar este problema.</w:t>
      </w:r>
    </w:p>
    <w:p w14:paraId="04B4B6EB" w14:textId="77777777" w:rsidR="0040534E" w:rsidRPr="0040534E" w:rsidRDefault="0040534E" w:rsidP="0040534E">
      <w:pPr>
        <w:pStyle w:val="ListParagraph"/>
        <w:numPr>
          <w:ilvl w:val="0"/>
          <w:numId w:val="15"/>
        </w:numPr>
        <w:rPr>
          <w:rFonts w:cs="Arial"/>
        </w:rPr>
      </w:pPr>
      <w:r>
        <w:rPr>
          <w:b/>
        </w:rPr>
        <w:t>Conexión a tierra fiable</w:t>
      </w:r>
      <w:r>
        <w:t>. Este producto requiere una conexión a tierra fiable que se mantenga en todo momento. Para garantizar esta conexión, conecte a tierra el propio bastidor. Preste especial atención a las conexiones de la fuente de alimentación que no sean las conexiones directas al circuito derivado (por ejemplo, el uso de las regletas).</w:t>
      </w:r>
    </w:p>
    <w:p w14:paraId="23D9FDD6" w14:textId="77777777" w:rsidR="0026043D" w:rsidRDefault="0040534E" w:rsidP="008A30EE">
      <w:pPr>
        <w:pStyle w:val="ListParagraph"/>
        <w:numPr>
          <w:ilvl w:val="0"/>
          <w:numId w:val="15"/>
        </w:numPr>
        <w:rPr>
          <w:rFonts w:cs="Arial"/>
        </w:rPr>
      </w:pPr>
      <w:r>
        <w:rPr>
          <w:b/>
        </w:rPr>
        <w:t>Espacio</w:t>
      </w:r>
      <w:r>
        <w:t>. Deje suficiente espacio delante del bastidor (aproximadamente 0,6 metros) para poder abrir la puerta frontal al completo, así como en la parte posterior del bastidor (aproximadamente 0,8 metros) para permitir un flujo de aire suficiente y facilitar el mantenimiento.</w:t>
      </w:r>
    </w:p>
    <w:p w14:paraId="25E1FB58" w14:textId="77777777" w:rsidR="007747FD" w:rsidRDefault="00A40CD8" w:rsidP="007747FD">
      <w:pPr>
        <w:rPr>
          <w:rFonts w:cs="Arial"/>
        </w:rPr>
      </w:pPr>
      <w:r>
        <w:pict w14:anchorId="2ABF7066">
          <v:rect id="_x0000_i1025" style="width:468pt;height:1pt" o:hralign="center" o:hrstd="t" o:hrnoshade="t" o:hr="t" fillcolor="#7030a0" stroked="f"/>
        </w:pict>
      </w:r>
    </w:p>
    <w:p w14:paraId="69742600" w14:textId="77777777" w:rsidR="007747FD" w:rsidRDefault="007747FD" w:rsidP="007747FD">
      <w:pPr>
        <w:jc w:val="center"/>
      </w:pPr>
      <w:r>
        <w:t>NETGEAR, Inc., 350 E. Plumeria Avenue, San Jose, CA 95134, EE. UU.</w:t>
      </w:r>
    </w:p>
    <w:p w14:paraId="38FDB602" w14:textId="77777777" w:rsidR="00D55649" w:rsidRDefault="00D55649" w:rsidP="00DE7838">
      <w:pPr>
        <w:jc w:val="center"/>
        <w:rPr>
          <w:noProof/>
        </w:rPr>
      </w:pPr>
    </w:p>
    <w:p w14:paraId="27E2AF55" w14:textId="1D861FE9" w:rsidR="00E62611" w:rsidRDefault="00E62611" w:rsidP="00D55649">
      <w:pPr>
        <w:jc w:val="center"/>
      </w:pPr>
    </w:p>
    <w:sectPr w:rsidR="00E62611" w:rsidSect="00AE4C00">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B0C" w14:textId="77777777" w:rsidR="00887D9B" w:rsidRDefault="00887D9B" w:rsidP="007747FD">
      <w:pPr>
        <w:spacing w:after="0" w:line="240" w:lineRule="auto"/>
      </w:pPr>
      <w:r>
        <w:separator/>
      </w:r>
    </w:p>
  </w:endnote>
  <w:endnote w:type="continuationSeparator" w:id="0">
    <w:p w14:paraId="31F73FD8" w14:textId="77777777" w:rsidR="00887D9B" w:rsidRDefault="00887D9B" w:rsidP="0077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undry Sterling Bold">
    <w:altName w:val="Calibri"/>
    <w:panose1 w:val="00000000000000000000"/>
    <w:charset w:val="00"/>
    <w:family w:val="swiss"/>
    <w:notTrueType/>
    <w:pitch w:val="default"/>
    <w:sig w:usb0="00000003" w:usb1="00000000" w:usb2="00000000" w:usb3="00000000" w:csb0="00000001" w:csb1="00000000"/>
  </w:font>
  <w:font w:name="Foundry Sterling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CD2" w14:textId="45910A7A" w:rsidR="00887D9B" w:rsidRDefault="00887D9B" w:rsidP="000B1672">
    <w:pPr>
      <w:jc w:val="center"/>
    </w:pPr>
    <w:r>
      <w:t>Notificaciones de cumplimiento de NETGEAR v36</w:t>
    </w:r>
    <w:r>
      <w:ptab w:relativeTo="margin" w:alignment="center" w:leader="none"/>
    </w:r>
    <w:r>
      <w:t xml:space="preserve"> revisadas el </w:t>
    </w:r>
    <w:r w:rsidR="002C562E">
      <w:t>11</w:t>
    </w:r>
    <w:r>
      <w:t>/</w:t>
    </w:r>
    <w:r w:rsidR="002C562E">
      <w:t>9</w:t>
    </w:r>
    <w:r>
      <w:t>/2022</w:t>
    </w:r>
    <w:r>
      <w:ptab w:relativeTo="margin" w:alignment="right" w:leader="none"/>
    </w:r>
    <w:r>
      <w:t xml:space="preserve">Página </w:t>
    </w:r>
    <w:r w:rsidRPr="00AD5A34">
      <w:fldChar w:fldCharType="begin"/>
    </w:r>
    <w:r w:rsidRPr="00AD5A34">
      <w:instrText xml:space="preserve"> PAGE   \* MERGEFORMAT </w:instrText>
    </w:r>
    <w:r w:rsidRPr="00AD5A34">
      <w:fldChar w:fldCharType="separate"/>
    </w:r>
    <w:r>
      <w:t>21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F26B" w14:textId="77777777" w:rsidR="00887D9B" w:rsidRDefault="00887D9B" w:rsidP="007747FD">
      <w:pPr>
        <w:spacing w:after="0" w:line="240" w:lineRule="auto"/>
      </w:pPr>
      <w:r>
        <w:separator/>
      </w:r>
    </w:p>
  </w:footnote>
  <w:footnote w:type="continuationSeparator" w:id="0">
    <w:p w14:paraId="49D3B117" w14:textId="77777777" w:rsidR="00887D9B" w:rsidRDefault="00887D9B" w:rsidP="0077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0B2CE"/>
    <w:multiLevelType w:val="hybridMultilevel"/>
    <w:tmpl w:val="660B6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9793AB"/>
    <w:multiLevelType w:val="hybridMultilevel"/>
    <w:tmpl w:val="F2306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770098"/>
    <w:multiLevelType w:val="hybridMultilevel"/>
    <w:tmpl w:val="065D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40B07E"/>
    <w:multiLevelType w:val="hybridMultilevel"/>
    <w:tmpl w:val="0333FA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93127C38"/>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E14A8D50"/>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F0A4694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96A9952"/>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264C8FD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D0C81EDA"/>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722435F2"/>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4B56AFA8"/>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F7B681A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87EC0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041816"/>
    <w:multiLevelType w:val="hybridMultilevel"/>
    <w:tmpl w:val="753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05009"/>
    <w:multiLevelType w:val="hybridMultilevel"/>
    <w:tmpl w:val="AFEEECE6"/>
    <w:lvl w:ilvl="0" w:tplc="7690F5C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468FE"/>
    <w:multiLevelType w:val="hybridMultilevel"/>
    <w:tmpl w:val="2ECA4D8C"/>
    <w:lvl w:ilvl="0" w:tplc="9B8846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03E56"/>
    <w:multiLevelType w:val="hybridMultilevel"/>
    <w:tmpl w:val="AF4C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21918"/>
    <w:multiLevelType w:val="hybridMultilevel"/>
    <w:tmpl w:val="11F62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1522B3"/>
    <w:multiLevelType w:val="hybridMultilevel"/>
    <w:tmpl w:val="B3B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E4F0A"/>
    <w:multiLevelType w:val="hybridMultilevel"/>
    <w:tmpl w:val="D3F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25283"/>
    <w:multiLevelType w:val="hybridMultilevel"/>
    <w:tmpl w:val="FECC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B3858"/>
    <w:multiLevelType w:val="hybridMultilevel"/>
    <w:tmpl w:val="78D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B7A85"/>
    <w:multiLevelType w:val="hybridMultilevel"/>
    <w:tmpl w:val="99D2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0C94D4D"/>
    <w:multiLevelType w:val="hybridMultilevel"/>
    <w:tmpl w:val="8A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CAE1A"/>
    <w:multiLevelType w:val="hybridMultilevel"/>
    <w:tmpl w:val="DE63D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49564AC"/>
    <w:multiLevelType w:val="hybridMultilevel"/>
    <w:tmpl w:val="BDE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D5022"/>
    <w:multiLevelType w:val="hybridMultilevel"/>
    <w:tmpl w:val="BD60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96329"/>
    <w:multiLevelType w:val="multilevel"/>
    <w:tmpl w:val="E790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82E48"/>
    <w:multiLevelType w:val="hybridMultilevel"/>
    <w:tmpl w:val="580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D3B08CC"/>
    <w:multiLevelType w:val="hybridMultilevel"/>
    <w:tmpl w:val="67F45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E85880"/>
    <w:multiLevelType w:val="hybridMultilevel"/>
    <w:tmpl w:val="E31AFBB2"/>
    <w:lvl w:ilvl="0" w:tplc="71C295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919B5"/>
    <w:multiLevelType w:val="hybridMultilevel"/>
    <w:tmpl w:val="DDB2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235DC"/>
    <w:multiLevelType w:val="hybridMultilevel"/>
    <w:tmpl w:val="E47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768AC"/>
    <w:multiLevelType w:val="hybridMultilevel"/>
    <w:tmpl w:val="CC5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440C"/>
    <w:multiLevelType w:val="hybridMultilevel"/>
    <w:tmpl w:val="AC2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114"/>
    <w:multiLevelType w:val="hybridMultilevel"/>
    <w:tmpl w:val="72A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2176"/>
    <w:multiLevelType w:val="hybridMultilevel"/>
    <w:tmpl w:val="A24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3103C"/>
    <w:multiLevelType w:val="hybridMultilevel"/>
    <w:tmpl w:val="816222AA"/>
    <w:lvl w:ilvl="0" w:tplc="22963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682659">
    <w:abstractNumId w:val="13"/>
  </w:num>
  <w:num w:numId="2" w16cid:durableId="2087532495">
    <w:abstractNumId w:val="11"/>
  </w:num>
  <w:num w:numId="3" w16cid:durableId="581183130">
    <w:abstractNumId w:val="10"/>
  </w:num>
  <w:num w:numId="4" w16cid:durableId="1014460139">
    <w:abstractNumId w:val="9"/>
  </w:num>
  <w:num w:numId="5" w16cid:durableId="1050031314">
    <w:abstractNumId w:val="8"/>
  </w:num>
  <w:num w:numId="6" w16cid:durableId="1245259427">
    <w:abstractNumId w:val="12"/>
  </w:num>
  <w:num w:numId="7" w16cid:durableId="1547571066">
    <w:abstractNumId w:val="7"/>
  </w:num>
  <w:num w:numId="8" w16cid:durableId="1502625334">
    <w:abstractNumId w:val="6"/>
  </w:num>
  <w:num w:numId="9" w16cid:durableId="1495995229">
    <w:abstractNumId w:val="5"/>
  </w:num>
  <w:num w:numId="10" w16cid:durableId="1178038896">
    <w:abstractNumId w:val="4"/>
  </w:num>
  <w:num w:numId="11" w16cid:durableId="706640680">
    <w:abstractNumId w:val="38"/>
  </w:num>
  <w:num w:numId="12" w16cid:durableId="1393458525">
    <w:abstractNumId w:val="39"/>
  </w:num>
  <w:num w:numId="13" w16cid:durableId="1403795062">
    <w:abstractNumId w:val="28"/>
  </w:num>
  <w:num w:numId="14" w16cid:durableId="871070712">
    <w:abstractNumId w:val="36"/>
  </w:num>
  <w:num w:numId="15" w16cid:durableId="1886210414">
    <w:abstractNumId w:val="17"/>
  </w:num>
  <w:num w:numId="16" w16cid:durableId="22174156">
    <w:abstractNumId w:val="32"/>
  </w:num>
  <w:num w:numId="17" w16cid:durableId="284627299">
    <w:abstractNumId w:val="31"/>
  </w:num>
  <w:num w:numId="18" w16cid:durableId="1806463460">
    <w:abstractNumId w:val="27"/>
  </w:num>
  <w:num w:numId="19" w16cid:durableId="1032729492">
    <w:abstractNumId w:val="30"/>
  </w:num>
  <w:num w:numId="20" w16cid:durableId="20770522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1718071">
    <w:abstractNumId w:val="24"/>
  </w:num>
  <w:num w:numId="22" w16cid:durableId="624042049">
    <w:abstractNumId w:val="19"/>
  </w:num>
  <w:num w:numId="23" w16cid:durableId="2056347578">
    <w:abstractNumId w:val="40"/>
  </w:num>
  <w:num w:numId="24" w16cid:durableId="2012563041">
    <w:abstractNumId w:val="33"/>
  </w:num>
  <w:num w:numId="25" w16cid:durableId="1841192404">
    <w:abstractNumId w:val="41"/>
  </w:num>
  <w:num w:numId="26" w16cid:durableId="1631202524">
    <w:abstractNumId w:val="42"/>
  </w:num>
  <w:num w:numId="27" w16cid:durableId="2009668504">
    <w:abstractNumId w:val="20"/>
  </w:num>
  <w:num w:numId="28" w16cid:durableId="1264538377">
    <w:abstractNumId w:val="14"/>
  </w:num>
  <w:num w:numId="29" w16cid:durableId="1235240006">
    <w:abstractNumId w:val="29"/>
  </w:num>
  <w:num w:numId="30" w16cid:durableId="2039507768">
    <w:abstractNumId w:val="37"/>
  </w:num>
  <w:num w:numId="31" w16cid:durableId="137311296">
    <w:abstractNumId w:val="34"/>
  </w:num>
  <w:num w:numId="32" w16cid:durableId="1550914332">
    <w:abstractNumId w:val="21"/>
  </w:num>
  <w:num w:numId="33" w16cid:durableId="1075736078">
    <w:abstractNumId w:val="22"/>
  </w:num>
  <w:num w:numId="34" w16cid:durableId="498152544">
    <w:abstractNumId w:val="15"/>
  </w:num>
  <w:num w:numId="35" w16cid:durableId="2019193219">
    <w:abstractNumId w:val="25"/>
  </w:num>
  <w:num w:numId="36" w16cid:durableId="2047756860">
    <w:abstractNumId w:val="23"/>
  </w:num>
  <w:num w:numId="37" w16cid:durableId="1288395324">
    <w:abstractNumId w:val="35"/>
  </w:num>
  <w:num w:numId="38" w16cid:durableId="1302271489">
    <w:abstractNumId w:val="16"/>
  </w:num>
  <w:num w:numId="39" w16cid:durableId="933901825">
    <w:abstractNumId w:val="2"/>
  </w:num>
  <w:num w:numId="40" w16cid:durableId="1182431286">
    <w:abstractNumId w:val="26"/>
  </w:num>
  <w:num w:numId="41" w16cid:durableId="938952793">
    <w:abstractNumId w:val="0"/>
  </w:num>
  <w:num w:numId="42" w16cid:durableId="208343604">
    <w:abstractNumId w:val="1"/>
  </w:num>
  <w:num w:numId="43" w16cid:durableId="698313538">
    <w:abstractNumId w:val="3"/>
  </w:num>
  <w:num w:numId="44" w16cid:durableId="11741074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D"/>
    <w:rsid w:val="0000101F"/>
    <w:rsid w:val="0000477A"/>
    <w:rsid w:val="0000533D"/>
    <w:rsid w:val="00010328"/>
    <w:rsid w:val="00011236"/>
    <w:rsid w:val="00011C22"/>
    <w:rsid w:val="000127AA"/>
    <w:rsid w:val="000147B6"/>
    <w:rsid w:val="00014818"/>
    <w:rsid w:val="000212EE"/>
    <w:rsid w:val="000215AE"/>
    <w:rsid w:val="00022466"/>
    <w:rsid w:val="00027449"/>
    <w:rsid w:val="00031FFF"/>
    <w:rsid w:val="00037752"/>
    <w:rsid w:val="00042C67"/>
    <w:rsid w:val="000435D6"/>
    <w:rsid w:val="00045A55"/>
    <w:rsid w:val="000477B3"/>
    <w:rsid w:val="00047F4D"/>
    <w:rsid w:val="00054A73"/>
    <w:rsid w:val="00063563"/>
    <w:rsid w:val="0006445B"/>
    <w:rsid w:val="0006746B"/>
    <w:rsid w:val="00067D7F"/>
    <w:rsid w:val="000747E1"/>
    <w:rsid w:val="00075F96"/>
    <w:rsid w:val="00086ECA"/>
    <w:rsid w:val="000A40D1"/>
    <w:rsid w:val="000A4825"/>
    <w:rsid w:val="000A4B34"/>
    <w:rsid w:val="000A51B1"/>
    <w:rsid w:val="000B1672"/>
    <w:rsid w:val="000B36AE"/>
    <w:rsid w:val="000B6C98"/>
    <w:rsid w:val="000B6C9C"/>
    <w:rsid w:val="000C0C1B"/>
    <w:rsid w:val="000C20D9"/>
    <w:rsid w:val="000C411E"/>
    <w:rsid w:val="000C42DE"/>
    <w:rsid w:val="000D203C"/>
    <w:rsid w:val="000D6A99"/>
    <w:rsid w:val="000D7E4D"/>
    <w:rsid w:val="000E14ED"/>
    <w:rsid w:val="000E23B5"/>
    <w:rsid w:val="000E2515"/>
    <w:rsid w:val="000E301F"/>
    <w:rsid w:val="000E6B64"/>
    <w:rsid w:val="000E7882"/>
    <w:rsid w:val="000F03DC"/>
    <w:rsid w:val="000F251E"/>
    <w:rsid w:val="000F2CE9"/>
    <w:rsid w:val="000F304C"/>
    <w:rsid w:val="000F395D"/>
    <w:rsid w:val="000F4A86"/>
    <w:rsid w:val="001035C0"/>
    <w:rsid w:val="00104BC3"/>
    <w:rsid w:val="00124B98"/>
    <w:rsid w:val="00124BAD"/>
    <w:rsid w:val="0012607E"/>
    <w:rsid w:val="001263C7"/>
    <w:rsid w:val="0012644D"/>
    <w:rsid w:val="00130A80"/>
    <w:rsid w:val="00132062"/>
    <w:rsid w:val="0013300D"/>
    <w:rsid w:val="00142EC6"/>
    <w:rsid w:val="0014339D"/>
    <w:rsid w:val="00145201"/>
    <w:rsid w:val="00145868"/>
    <w:rsid w:val="0015149C"/>
    <w:rsid w:val="00151917"/>
    <w:rsid w:val="00152F10"/>
    <w:rsid w:val="00155080"/>
    <w:rsid w:val="00157F81"/>
    <w:rsid w:val="001619F2"/>
    <w:rsid w:val="00164A46"/>
    <w:rsid w:val="0017180B"/>
    <w:rsid w:val="001748E9"/>
    <w:rsid w:val="00174B99"/>
    <w:rsid w:val="00176244"/>
    <w:rsid w:val="00180FB9"/>
    <w:rsid w:val="00187888"/>
    <w:rsid w:val="00190050"/>
    <w:rsid w:val="001903FF"/>
    <w:rsid w:val="00194876"/>
    <w:rsid w:val="001A41EA"/>
    <w:rsid w:val="001A4C46"/>
    <w:rsid w:val="001A514C"/>
    <w:rsid w:val="001A59A6"/>
    <w:rsid w:val="001B46B7"/>
    <w:rsid w:val="001B5599"/>
    <w:rsid w:val="001B7ECA"/>
    <w:rsid w:val="001C4B14"/>
    <w:rsid w:val="001D77A4"/>
    <w:rsid w:val="001E0784"/>
    <w:rsid w:val="001E4EB5"/>
    <w:rsid w:val="001E54B9"/>
    <w:rsid w:val="001E6007"/>
    <w:rsid w:val="001E6DA5"/>
    <w:rsid w:val="001F2CF2"/>
    <w:rsid w:val="001F3313"/>
    <w:rsid w:val="001F3F1D"/>
    <w:rsid w:val="001F54C4"/>
    <w:rsid w:val="00201E44"/>
    <w:rsid w:val="00201F29"/>
    <w:rsid w:val="002044E6"/>
    <w:rsid w:val="00204A14"/>
    <w:rsid w:val="002064B6"/>
    <w:rsid w:val="002145BB"/>
    <w:rsid w:val="00217BC8"/>
    <w:rsid w:val="00217EFE"/>
    <w:rsid w:val="0023008B"/>
    <w:rsid w:val="002330C5"/>
    <w:rsid w:val="00233A1F"/>
    <w:rsid w:val="00234A05"/>
    <w:rsid w:val="002414BE"/>
    <w:rsid w:val="00250F36"/>
    <w:rsid w:val="00251B7C"/>
    <w:rsid w:val="0026043D"/>
    <w:rsid w:val="00260503"/>
    <w:rsid w:val="00260B0E"/>
    <w:rsid w:val="00260B39"/>
    <w:rsid w:val="00263213"/>
    <w:rsid w:val="00263361"/>
    <w:rsid w:val="00263DC2"/>
    <w:rsid w:val="00266E54"/>
    <w:rsid w:val="00276750"/>
    <w:rsid w:val="00276868"/>
    <w:rsid w:val="00277065"/>
    <w:rsid w:val="00277177"/>
    <w:rsid w:val="00281A17"/>
    <w:rsid w:val="00281B31"/>
    <w:rsid w:val="00284AF5"/>
    <w:rsid w:val="00290AEF"/>
    <w:rsid w:val="00293858"/>
    <w:rsid w:val="00294042"/>
    <w:rsid w:val="00294208"/>
    <w:rsid w:val="002A1D67"/>
    <w:rsid w:val="002A2D30"/>
    <w:rsid w:val="002A6434"/>
    <w:rsid w:val="002A7E78"/>
    <w:rsid w:val="002B2473"/>
    <w:rsid w:val="002B3585"/>
    <w:rsid w:val="002B58BB"/>
    <w:rsid w:val="002C4B56"/>
    <w:rsid w:val="002C562E"/>
    <w:rsid w:val="002C73E9"/>
    <w:rsid w:val="002C7415"/>
    <w:rsid w:val="002D60EB"/>
    <w:rsid w:val="002D6D64"/>
    <w:rsid w:val="002E0621"/>
    <w:rsid w:val="002E361F"/>
    <w:rsid w:val="002E5510"/>
    <w:rsid w:val="002E6629"/>
    <w:rsid w:val="002F0CAE"/>
    <w:rsid w:val="002F1C2F"/>
    <w:rsid w:val="002F2D23"/>
    <w:rsid w:val="002F32A0"/>
    <w:rsid w:val="002F3CBE"/>
    <w:rsid w:val="00307134"/>
    <w:rsid w:val="00312797"/>
    <w:rsid w:val="00313BAD"/>
    <w:rsid w:val="00314CF3"/>
    <w:rsid w:val="00315028"/>
    <w:rsid w:val="00315237"/>
    <w:rsid w:val="00315929"/>
    <w:rsid w:val="0031607B"/>
    <w:rsid w:val="003177A8"/>
    <w:rsid w:val="003200B1"/>
    <w:rsid w:val="00320D63"/>
    <w:rsid w:val="003343D9"/>
    <w:rsid w:val="003413AE"/>
    <w:rsid w:val="00341846"/>
    <w:rsid w:val="00342297"/>
    <w:rsid w:val="0034553B"/>
    <w:rsid w:val="00346382"/>
    <w:rsid w:val="00346F97"/>
    <w:rsid w:val="00351260"/>
    <w:rsid w:val="00354B5B"/>
    <w:rsid w:val="00354E7E"/>
    <w:rsid w:val="00354FF9"/>
    <w:rsid w:val="00356269"/>
    <w:rsid w:val="003572CF"/>
    <w:rsid w:val="00371A57"/>
    <w:rsid w:val="00375F22"/>
    <w:rsid w:val="00375FF8"/>
    <w:rsid w:val="0037608F"/>
    <w:rsid w:val="00382666"/>
    <w:rsid w:val="0038724B"/>
    <w:rsid w:val="00387A5A"/>
    <w:rsid w:val="00391C39"/>
    <w:rsid w:val="00394F1F"/>
    <w:rsid w:val="003A0DA1"/>
    <w:rsid w:val="003A6025"/>
    <w:rsid w:val="003B01F9"/>
    <w:rsid w:val="003B05E3"/>
    <w:rsid w:val="003B1754"/>
    <w:rsid w:val="003B28A1"/>
    <w:rsid w:val="003B293C"/>
    <w:rsid w:val="003B3DC6"/>
    <w:rsid w:val="003B3E0A"/>
    <w:rsid w:val="003B5C5E"/>
    <w:rsid w:val="003C35E7"/>
    <w:rsid w:val="003C44A0"/>
    <w:rsid w:val="003C6B77"/>
    <w:rsid w:val="003D2494"/>
    <w:rsid w:val="003D5457"/>
    <w:rsid w:val="003D7795"/>
    <w:rsid w:val="003E066C"/>
    <w:rsid w:val="003E0CCE"/>
    <w:rsid w:val="003E0E35"/>
    <w:rsid w:val="003E2EC0"/>
    <w:rsid w:val="003E5064"/>
    <w:rsid w:val="003F09B3"/>
    <w:rsid w:val="003F20E8"/>
    <w:rsid w:val="003F3A5A"/>
    <w:rsid w:val="003F4F06"/>
    <w:rsid w:val="003F7B59"/>
    <w:rsid w:val="00401B39"/>
    <w:rsid w:val="00404C25"/>
    <w:rsid w:val="0040534E"/>
    <w:rsid w:val="004053EC"/>
    <w:rsid w:val="00406A5B"/>
    <w:rsid w:val="00410A44"/>
    <w:rsid w:val="00413E95"/>
    <w:rsid w:val="00417F27"/>
    <w:rsid w:val="00420559"/>
    <w:rsid w:val="00421319"/>
    <w:rsid w:val="004217DC"/>
    <w:rsid w:val="00423270"/>
    <w:rsid w:val="00423F6A"/>
    <w:rsid w:val="00424412"/>
    <w:rsid w:val="00424989"/>
    <w:rsid w:val="00430601"/>
    <w:rsid w:val="00431D4F"/>
    <w:rsid w:val="00434EC6"/>
    <w:rsid w:val="00434FDD"/>
    <w:rsid w:val="004354C0"/>
    <w:rsid w:val="0044027B"/>
    <w:rsid w:val="00440354"/>
    <w:rsid w:val="00441C80"/>
    <w:rsid w:val="00442E7F"/>
    <w:rsid w:val="004437D2"/>
    <w:rsid w:val="0044582A"/>
    <w:rsid w:val="00445F96"/>
    <w:rsid w:val="00447B86"/>
    <w:rsid w:val="004570E2"/>
    <w:rsid w:val="0046104C"/>
    <w:rsid w:val="00463A8D"/>
    <w:rsid w:val="0048171C"/>
    <w:rsid w:val="0048177F"/>
    <w:rsid w:val="00481C42"/>
    <w:rsid w:val="00482369"/>
    <w:rsid w:val="00485B89"/>
    <w:rsid w:val="004874C5"/>
    <w:rsid w:val="0049001A"/>
    <w:rsid w:val="00491C10"/>
    <w:rsid w:val="00494D1A"/>
    <w:rsid w:val="00496277"/>
    <w:rsid w:val="004A7BFA"/>
    <w:rsid w:val="004A7D3F"/>
    <w:rsid w:val="004B1640"/>
    <w:rsid w:val="004B22D1"/>
    <w:rsid w:val="004B2951"/>
    <w:rsid w:val="004B319D"/>
    <w:rsid w:val="004B4F57"/>
    <w:rsid w:val="004C163F"/>
    <w:rsid w:val="004C3A6A"/>
    <w:rsid w:val="004C712D"/>
    <w:rsid w:val="004D2019"/>
    <w:rsid w:val="004D3CB2"/>
    <w:rsid w:val="004D74B1"/>
    <w:rsid w:val="004E30A8"/>
    <w:rsid w:val="004E534D"/>
    <w:rsid w:val="004E5CDC"/>
    <w:rsid w:val="004E6865"/>
    <w:rsid w:val="004F02A8"/>
    <w:rsid w:val="004F0B55"/>
    <w:rsid w:val="004F497D"/>
    <w:rsid w:val="004F5457"/>
    <w:rsid w:val="00502E0D"/>
    <w:rsid w:val="0050414C"/>
    <w:rsid w:val="00504C13"/>
    <w:rsid w:val="00507E03"/>
    <w:rsid w:val="00510C1B"/>
    <w:rsid w:val="00510FD6"/>
    <w:rsid w:val="00512C32"/>
    <w:rsid w:val="00516FEC"/>
    <w:rsid w:val="00523081"/>
    <w:rsid w:val="00523200"/>
    <w:rsid w:val="0052662C"/>
    <w:rsid w:val="0052671E"/>
    <w:rsid w:val="00527ADC"/>
    <w:rsid w:val="00530C71"/>
    <w:rsid w:val="00530F29"/>
    <w:rsid w:val="00531789"/>
    <w:rsid w:val="005322BD"/>
    <w:rsid w:val="00540578"/>
    <w:rsid w:val="005426C2"/>
    <w:rsid w:val="00542BAE"/>
    <w:rsid w:val="00544635"/>
    <w:rsid w:val="00546238"/>
    <w:rsid w:val="00553FB4"/>
    <w:rsid w:val="00554260"/>
    <w:rsid w:val="005546E5"/>
    <w:rsid w:val="0055539B"/>
    <w:rsid w:val="0055706F"/>
    <w:rsid w:val="0056586B"/>
    <w:rsid w:val="005740B4"/>
    <w:rsid w:val="005749B5"/>
    <w:rsid w:val="005756BD"/>
    <w:rsid w:val="005778CF"/>
    <w:rsid w:val="005806E0"/>
    <w:rsid w:val="00583B2A"/>
    <w:rsid w:val="005860FE"/>
    <w:rsid w:val="00590123"/>
    <w:rsid w:val="0059065D"/>
    <w:rsid w:val="00591F7C"/>
    <w:rsid w:val="00593BB7"/>
    <w:rsid w:val="00594E54"/>
    <w:rsid w:val="005A3EBA"/>
    <w:rsid w:val="005A5077"/>
    <w:rsid w:val="005B1993"/>
    <w:rsid w:val="005C121F"/>
    <w:rsid w:val="005C4A60"/>
    <w:rsid w:val="005C6860"/>
    <w:rsid w:val="005D17AE"/>
    <w:rsid w:val="005D389D"/>
    <w:rsid w:val="005E602B"/>
    <w:rsid w:val="005F1BE8"/>
    <w:rsid w:val="005F214C"/>
    <w:rsid w:val="005F3CE1"/>
    <w:rsid w:val="005F5119"/>
    <w:rsid w:val="00603489"/>
    <w:rsid w:val="00604F74"/>
    <w:rsid w:val="0060535B"/>
    <w:rsid w:val="0060625B"/>
    <w:rsid w:val="006067D1"/>
    <w:rsid w:val="006078D0"/>
    <w:rsid w:val="006110E2"/>
    <w:rsid w:val="006114AF"/>
    <w:rsid w:val="00611E9C"/>
    <w:rsid w:val="00612DC5"/>
    <w:rsid w:val="00615AFF"/>
    <w:rsid w:val="00620D32"/>
    <w:rsid w:val="00620E05"/>
    <w:rsid w:val="00621AAC"/>
    <w:rsid w:val="006239CE"/>
    <w:rsid w:val="00623EEA"/>
    <w:rsid w:val="0062527A"/>
    <w:rsid w:val="00627781"/>
    <w:rsid w:val="00631365"/>
    <w:rsid w:val="006314A6"/>
    <w:rsid w:val="00635055"/>
    <w:rsid w:val="00642DE3"/>
    <w:rsid w:val="00643CD4"/>
    <w:rsid w:val="006464D3"/>
    <w:rsid w:val="006465B0"/>
    <w:rsid w:val="006473A7"/>
    <w:rsid w:val="00650BE1"/>
    <w:rsid w:val="00653370"/>
    <w:rsid w:val="006611D6"/>
    <w:rsid w:val="00665F5B"/>
    <w:rsid w:val="00667738"/>
    <w:rsid w:val="00667B8A"/>
    <w:rsid w:val="00675A65"/>
    <w:rsid w:val="00676CC8"/>
    <w:rsid w:val="00682E9D"/>
    <w:rsid w:val="00683FD5"/>
    <w:rsid w:val="006840DB"/>
    <w:rsid w:val="0068435A"/>
    <w:rsid w:val="00684CF1"/>
    <w:rsid w:val="00686CE9"/>
    <w:rsid w:val="00695862"/>
    <w:rsid w:val="0069591F"/>
    <w:rsid w:val="00697549"/>
    <w:rsid w:val="0069788A"/>
    <w:rsid w:val="006A0246"/>
    <w:rsid w:val="006A070C"/>
    <w:rsid w:val="006A18D5"/>
    <w:rsid w:val="006A663D"/>
    <w:rsid w:val="006B01B8"/>
    <w:rsid w:val="006B124E"/>
    <w:rsid w:val="006B3862"/>
    <w:rsid w:val="006B4956"/>
    <w:rsid w:val="006B51C6"/>
    <w:rsid w:val="006C1A5E"/>
    <w:rsid w:val="006C3E49"/>
    <w:rsid w:val="006C7F36"/>
    <w:rsid w:val="006D0E42"/>
    <w:rsid w:val="006D1744"/>
    <w:rsid w:val="006D178B"/>
    <w:rsid w:val="006D5780"/>
    <w:rsid w:val="006D6E83"/>
    <w:rsid w:val="006E6F0E"/>
    <w:rsid w:val="006E714A"/>
    <w:rsid w:val="006F2801"/>
    <w:rsid w:val="006F292F"/>
    <w:rsid w:val="006F32B8"/>
    <w:rsid w:val="006F503A"/>
    <w:rsid w:val="006F52BA"/>
    <w:rsid w:val="006F6302"/>
    <w:rsid w:val="007000CC"/>
    <w:rsid w:val="00711C6D"/>
    <w:rsid w:val="00716A11"/>
    <w:rsid w:val="007230FA"/>
    <w:rsid w:val="00727A09"/>
    <w:rsid w:val="0073303E"/>
    <w:rsid w:val="00742C88"/>
    <w:rsid w:val="00742D36"/>
    <w:rsid w:val="00743DE1"/>
    <w:rsid w:val="007456AA"/>
    <w:rsid w:val="00745F46"/>
    <w:rsid w:val="007465B2"/>
    <w:rsid w:val="00751520"/>
    <w:rsid w:val="00756B28"/>
    <w:rsid w:val="007576CC"/>
    <w:rsid w:val="00763931"/>
    <w:rsid w:val="007647B0"/>
    <w:rsid w:val="00765625"/>
    <w:rsid w:val="007747FD"/>
    <w:rsid w:val="00775411"/>
    <w:rsid w:val="00775DC6"/>
    <w:rsid w:val="00782DCC"/>
    <w:rsid w:val="00782EDA"/>
    <w:rsid w:val="007836E8"/>
    <w:rsid w:val="00785CF6"/>
    <w:rsid w:val="00790898"/>
    <w:rsid w:val="007A2880"/>
    <w:rsid w:val="007A37BA"/>
    <w:rsid w:val="007A7DC9"/>
    <w:rsid w:val="007B2983"/>
    <w:rsid w:val="007B4860"/>
    <w:rsid w:val="007C0A5A"/>
    <w:rsid w:val="007C4FD1"/>
    <w:rsid w:val="007C5FA2"/>
    <w:rsid w:val="007C6C8A"/>
    <w:rsid w:val="007D04AC"/>
    <w:rsid w:val="007D0D27"/>
    <w:rsid w:val="007D1EBC"/>
    <w:rsid w:val="007D277E"/>
    <w:rsid w:val="007D5B99"/>
    <w:rsid w:val="007E040C"/>
    <w:rsid w:val="007E389D"/>
    <w:rsid w:val="007E573C"/>
    <w:rsid w:val="007E5B60"/>
    <w:rsid w:val="007F284C"/>
    <w:rsid w:val="007F359B"/>
    <w:rsid w:val="007F3816"/>
    <w:rsid w:val="007F5C80"/>
    <w:rsid w:val="0080229A"/>
    <w:rsid w:val="00807DED"/>
    <w:rsid w:val="008122A0"/>
    <w:rsid w:val="0081235B"/>
    <w:rsid w:val="008127FD"/>
    <w:rsid w:val="0081445F"/>
    <w:rsid w:val="00814F87"/>
    <w:rsid w:val="00816B70"/>
    <w:rsid w:val="00816D3E"/>
    <w:rsid w:val="008172B1"/>
    <w:rsid w:val="00820802"/>
    <w:rsid w:val="00820C84"/>
    <w:rsid w:val="00821506"/>
    <w:rsid w:val="0082382E"/>
    <w:rsid w:val="008244B2"/>
    <w:rsid w:val="00832DE1"/>
    <w:rsid w:val="00833B0F"/>
    <w:rsid w:val="008341C9"/>
    <w:rsid w:val="008345D0"/>
    <w:rsid w:val="00834D53"/>
    <w:rsid w:val="008350C8"/>
    <w:rsid w:val="008370E7"/>
    <w:rsid w:val="00844B44"/>
    <w:rsid w:val="008509C9"/>
    <w:rsid w:val="00856E11"/>
    <w:rsid w:val="008626B5"/>
    <w:rsid w:val="00863997"/>
    <w:rsid w:val="00864319"/>
    <w:rsid w:val="0086630F"/>
    <w:rsid w:val="00866A38"/>
    <w:rsid w:val="008707F9"/>
    <w:rsid w:val="00874AD2"/>
    <w:rsid w:val="00875031"/>
    <w:rsid w:val="00877E6D"/>
    <w:rsid w:val="00880428"/>
    <w:rsid w:val="00880523"/>
    <w:rsid w:val="008824E6"/>
    <w:rsid w:val="0088639A"/>
    <w:rsid w:val="00887D9B"/>
    <w:rsid w:val="00892279"/>
    <w:rsid w:val="008944C4"/>
    <w:rsid w:val="0089506E"/>
    <w:rsid w:val="008A1173"/>
    <w:rsid w:val="008A152F"/>
    <w:rsid w:val="008A30EE"/>
    <w:rsid w:val="008A3B83"/>
    <w:rsid w:val="008B4430"/>
    <w:rsid w:val="008C2049"/>
    <w:rsid w:val="008C2AC8"/>
    <w:rsid w:val="008C3C9C"/>
    <w:rsid w:val="008C4E60"/>
    <w:rsid w:val="008C6680"/>
    <w:rsid w:val="008C77FA"/>
    <w:rsid w:val="008D3F45"/>
    <w:rsid w:val="008D3F8E"/>
    <w:rsid w:val="008D49D2"/>
    <w:rsid w:val="008D4B1D"/>
    <w:rsid w:val="008E0AE0"/>
    <w:rsid w:val="008E1045"/>
    <w:rsid w:val="008E2716"/>
    <w:rsid w:val="008F23C9"/>
    <w:rsid w:val="008F2752"/>
    <w:rsid w:val="009016A7"/>
    <w:rsid w:val="00906EAF"/>
    <w:rsid w:val="00921BE7"/>
    <w:rsid w:val="00922A55"/>
    <w:rsid w:val="0092333D"/>
    <w:rsid w:val="009246CD"/>
    <w:rsid w:val="00931EEB"/>
    <w:rsid w:val="00933F34"/>
    <w:rsid w:val="00935050"/>
    <w:rsid w:val="00936F79"/>
    <w:rsid w:val="009441F4"/>
    <w:rsid w:val="00944A3B"/>
    <w:rsid w:val="009450E0"/>
    <w:rsid w:val="00952395"/>
    <w:rsid w:val="00956AB1"/>
    <w:rsid w:val="00956C18"/>
    <w:rsid w:val="00957030"/>
    <w:rsid w:val="00957073"/>
    <w:rsid w:val="0096116C"/>
    <w:rsid w:val="00964B33"/>
    <w:rsid w:val="0097006B"/>
    <w:rsid w:val="00990AC1"/>
    <w:rsid w:val="009913BA"/>
    <w:rsid w:val="00991CB7"/>
    <w:rsid w:val="00995943"/>
    <w:rsid w:val="009A054E"/>
    <w:rsid w:val="009A1267"/>
    <w:rsid w:val="009A1357"/>
    <w:rsid w:val="009A22C9"/>
    <w:rsid w:val="009A5C72"/>
    <w:rsid w:val="009A675F"/>
    <w:rsid w:val="009A769B"/>
    <w:rsid w:val="009B16CB"/>
    <w:rsid w:val="009B5DC2"/>
    <w:rsid w:val="009C105E"/>
    <w:rsid w:val="009C1BEF"/>
    <w:rsid w:val="009C202A"/>
    <w:rsid w:val="009C2166"/>
    <w:rsid w:val="009C27BE"/>
    <w:rsid w:val="009E043D"/>
    <w:rsid w:val="009E16C7"/>
    <w:rsid w:val="009E172B"/>
    <w:rsid w:val="009E1A24"/>
    <w:rsid w:val="009F10BF"/>
    <w:rsid w:val="009F1EF2"/>
    <w:rsid w:val="009F3130"/>
    <w:rsid w:val="009F4584"/>
    <w:rsid w:val="009F4DAB"/>
    <w:rsid w:val="00A00538"/>
    <w:rsid w:val="00A00D27"/>
    <w:rsid w:val="00A03195"/>
    <w:rsid w:val="00A12B63"/>
    <w:rsid w:val="00A23CD2"/>
    <w:rsid w:val="00A254E8"/>
    <w:rsid w:val="00A26F22"/>
    <w:rsid w:val="00A3605E"/>
    <w:rsid w:val="00A360FC"/>
    <w:rsid w:val="00A36BD1"/>
    <w:rsid w:val="00A40B93"/>
    <w:rsid w:val="00A40CD8"/>
    <w:rsid w:val="00A413BA"/>
    <w:rsid w:val="00A42825"/>
    <w:rsid w:val="00A443D6"/>
    <w:rsid w:val="00A44B0E"/>
    <w:rsid w:val="00A44D85"/>
    <w:rsid w:val="00A44DF9"/>
    <w:rsid w:val="00A5425C"/>
    <w:rsid w:val="00A5567C"/>
    <w:rsid w:val="00A56306"/>
    <w:rsid w:val="00A57D4F"/>
    <w:rsid w:val="00A61106"/>
    <w:rsid w:val="00A622E2"/>
    <w:rsid w:val="00A670DE"/>
    <w:rsid w:val="00A70FE2"/>
    <w:rsid w:val="00A72112"/>
    <w:rsid w:val="00A77C50"/>
    <w:rsid w:val="00A81D71"/>
    <w:rsid w:val="00A83AC9"/>
    <w:rsid w:val="00A86E9B"/>
    <w:rsid w:val="00A87C82"/>
    <w:rsid w:val="00A87FFB"/>
    <w:rsid w:val="00A92061"/>
    <w:rsid w:val="00A95388"/>
    <w:rsid w:val="00AA0DDA"/>
    <w:rsid w:val="00AA1A53"/>
    <w:rsid w:val="00AA1C70"/>
    <w:rsid w:val="00AA30D0"/>
    <w:rsid w:val="00AA4EED"/>
    <w:rsid w:val="00AA5A71"/>
    <w:rsid w:val="00AA5B25"/>
    <w:rsid w:val="00AA7FAE"/>
    <w:rsid w:val="00AC1FC9"/>
    <w:rsid w:val="00AC23E2"/>
    <w:rsid w:val="00AC5A02"/>
    <w:rsid w:val="00AD1E97"/>
    <w:rsid w:val="00AD3F79"/>
    <w:rsid w:val="00AD5A34"/>
    <w:rsid w:val="00AD5F1E"/>
    <w:rsid w:val="00AE18DC"/>
    <w:rsid w:val="00AE299A"/>
    <w:rsid w:val="00AE2A18"/>
    <w:rsid w:val="00AE2CB6"/>
    <w:rsid w:val="00AE3A05"/>
    <w:rsid w:val="00AE49FB"/>
    <w:rsid w:val="00AE4C00"/>
    <w:rsid w:val="00AE72FE"/>
    <w:rsid w:val="00AE7BC2"/>
    <w:rsid w:val="00AF5D93"/>
    <w:rsid w:val="00AF5E7F"/>
    <w:rsid w:val="00AF6B26"/>
    <w:rsid w:val="00B04F75"/>
    <w:rsid w:val="00B07032"/>
    <w:rsid w:val="00B0726F"/>
    <w:rsid w:val="00B12215"/>
    <w:rsid w:val="00B15620"/>
    <w:rsid w:val="00B2351F"/>
    <w:rsid w:val="00B24349"/>
    <w:rsid w:val="00B26FC8"/>
    <w:rsid w:val="00B30C34"/>
    <w:rsid w:val="00B36BA1"/>
    <w:rsid w:val="00B37C78"/>
    <w:rsid w:val="00B402FA"/>
    <w:rsid w:val="00B41119"/>
    <w:rsid w:val="00B437EA"/>
    <w:rsid w:val="00B45971"/>
    <w:rsid w:val="00B45C4B"/>
    <w:rsid w:val="00B5301B"/>
    <w:rsid w:val="00B62030"/>
    <w:rsid w:val="00B62416"/>
    <w:rsid w:val="00B647AA"/>
    <w:rsid w:val="00B654CA"/>
    <w:rsid w:val="00B76660"/>
    <w:rsid w:val="00B76D27"/>
    <w:rsid w:val="00B83F48"/>
    <w:rsid w:val="00B85660"/>
    <w:rsid w:val="00B85AB4"/>
    <w:rsid w:val="00B86893"/>
    <w:rsid w:val="00B90FD7"/>
    <w:rsid w:val="00BA03CE"/>
    <w:rsid w:val="00BA1B27"/>
    <w:rsid w:val="00BA29B1"/>
    <w:rsid w:val="00BB1CE3"/>
    <w:rsid w:val="00BB2455"/>
    <w:rsid w:val="00BB2623"/>
    <w:rsid w:val="00BB2B5E"/>
    <w:rsid w:val="00BB3188"/>
    <w:rsid w:val="00BB37EA"/>
    <w:rsid w:val="00BB5581"/>
    <w:rsid w:val="00BB66B4"/>
    <w:rsid w:val="00BB6EF9"/>
    <w:rsid w:val="00BC631F"/>
    <w:rsid w:val="00BC7AC3"/>
    <w:rsid w:val="00BD564C"/>
    <w:rsid w:val="00BD5A7D"/>
    <w:rsid w:val="00BD613A"/>
    <w:rsid w:val="00BE0FAC"/>
    <w:rsid w:val="00BE4392"/>
    <w:rsid w:val="00BE4923"/>
    <w:rsid w:val="00BE55C8"/>
    <w:rsid w:val="00BE7D6F"/>
    <w:rsid w:val="00BF07F1"/>
    <w:rsid w:val="00BF4BEC"/>
    <w:rsid w:val="00BF6C07"/>
    <w:rsid w:val="00C01830"/>
    <w:rsid w:val="00C03A95"/>
    <w:rsid w:val="00C06C76"/>
    <w:rsid w:val="00C1193F"/>
    <w:rsid w:val="00C11FB5"/>
    <w:rsid w:val="00C12422"/>
    <w:rsid w:val="00C151FA"/>
    <w:rsid w:val="00C1670E"/>
    <w:rsid w:val="00C243AA"/>
    <w:rsid w:val="00C3268C"/>
    <w:rsid w:val="00C34109"/>
    <w:rsid w:val="00C3537F"/>
    <w:rsid w:val="00C37937"/>
    <w:rsid w:val="00C41C95"/>
    <w:rsid w:val="00C4207D"/>
    <w:rsid w:val="00C46159"/>
    <w:rsid w:val="00C509BF"/>
    <w:rsid w:val="00C5342C"/>
    <w:rsid w:val="00C610D9"/>
    <w:rsid w:val="00C63A0C"/>
    <w:rsid w:val="00C64D3E"/>
    <w:rsid w:val="00C759EA"/>
    <w:rsid w:val="00C77FC0"/>
    <w:rsid w:val="00C801F8"/>
    <w:rsid w:val="00C831B1"/>
    <w:rsid w:val="00C9195E"/>
    <w:rsid w:val="00C9341D"/>
    <w:rsid w:val="00C9766E"/>
    <w:rsid w:val="00CA049C"/>
    <w:rsid w:val="00CA4328"/>
    <w:rsid w:val="00CA4343"/>
    <w:rsid w:val="00CA5893"/>
    <w:rsid w:val="00CA5926"/>
    <w:rsid w:val="00CA613A"/>
    <w:rsid w:val="00CB192D"/>
    <w:rsid w:val="00CB6A33"/>
    <w:rsid w:val="00CD6361"/>
    <w:rsid w:val="00CE7E5B"/>
    <w:rsid w:val="00CF0E11"/>
    <w:rsid w:val="00CF1108"/>
    <w:rsid w:val="00CF561C"/>
    <w:rsid w:val="00CF6217"/>
    <w:rsid w:val="00D06CFB"/>
    <w:rsid w:val="00D07607"/>
    <w:rsid w:val="00D07CD7"/>
    <w:rsid w:val="00D10A71"/>
    <w:rsid w:val="00D11E03"/>
    <w:rsid w:val="00D1216D"/>
    <w:rsid w:val="00D144BF"/>
    <w:rsid w:val="00D14AE9"/>
    <w:rsid w:val="00D16C69"/>
    <w:rsid w:val="00D16F43"/>
    <w:rsid w:val="00D17572"/>
    <w:rsid w:val="00D23AB7"/>
    <w:rsid w:val="00D32267"/>
    <w:rsid w:val="00D33BCF"/>
    <w:rsid w:val="00D372FF"/>
    <w:rsid w:val="00D47193"/>
    <w:rsid w:val="00D477EB"/>
    <w:rsid w:val="00D54FF3"/>
    <w:rsid w:val="00D55649"/>
    <w:rsid w:val="00D55B2D"/>
    <w:rsid w:val="00D56971"/>
    <w:rsid w:val="00D57181"/>
    <w:rsid w:val="00D62739"/>
    <w:rsid w:val="00D709AB"/>
    <w:rsid w:val="00D72E30"/>
    <w:rsid w:val="00D76DE3"/>
    <w:rsid w:val="00D76E4A"/>
    <w:rsid w:val="00D80416"/>
    <w:rsid w:val="00D8195F"/>
    <w:rsid w:val="00D83744"/>
    <w:rsid w:val="00D92B98"/>
    <w:rsid w:val="00D93A87"/>
    <w:rsid w:val="00D94F27"/>
    <w:rsid w:val="00DA0C40"/>
    <w:rsid w:val="00DA2340"/>
    <w:rsid w:val="00DA2909"/>
    <w:rsid w:val="00DA35FB"/>
    <w:rsid w:val="00DA3F88"/>
    <w:rsid w:val="00DA4579"/>
    <w:rsid w:val="00DA7671"/>
    <w:rsid w:val="00DB1424"/>
    <w:rsid w:val="00DB1C21"/>
    <w:rsid w:val="00DB2383"/>
    <w:rsid w:val="00DC19C1"/>
    <w:rsid w:val="00DC4207"/>
    <w:rsid w:val="00DC500E"/>
    <w:rsid w:val="00DC5EAA"/>
    <w:rsid w:val="00DC7558"/>
    <w:rsid w:val="00DD32FC"/>
    <w:rsid w:val="00DD4A52"/>
    <w:rsid w:val="00DE7200"/>
    <w:rsid w:val="00DE7838"/>
    <w:rsid w:val="00DF0D4A"/>
    <w:rsid w:val="00DF1FE9"/>
    <w:rsid w:val="00DF3F22"/>
    <w:rsid w:val="00DF5D73"/>
    <w:rsid w:val="00E02734"/>
    <w:rsid w:val="00E105BF"/>
    <w:rsid w:val="00E109AA"/>
    <w:rsid w:val="00E1333B"/>
    <w:rsid w:val="00E13347"/>
    <w:rsid w:val="00E13934"/>
    <w:rsid w:val="00E15178"/>
    <w:rsid w:val="00E230E0"/>
    <w:rsid w:val="00E2422A"/>
    <w:rsid w:val="00E244D6"/>
    <w:rsid w:val="00E252AF"/>
    <w:rsid w:val="00E253EC"/>
    <w:rsid w:val="00E26579"/>
    <w:rsid w:val="00E320CF"/>
    <w:rsid w:val="00E36D9F"/>
    <w:rsid w:val="00E3743F"/>
    <w:rsid w:val="00E37662"/>
    <w:rsid w:val="00E545E9"/>
    <w:rsid w:val="00E555C8"/>
    <w:rsid w:val="00E57E48"/>
    <w:rsid w:val="00E62611"/>
    <w:rsid w:val="00E63B27"/>
    <w:rsid w:val="00E7107C"/>
    <w:rsid w:val="00E72EE4"/>
    <w:rsid w:val="00E82C94"/>
    <w:rsid w:val="00E85723"/>
    <w:rsid w:val="00E862C9"/>
    <w:rsid w:val="00E90731"/>
    <w:rsid w:val="00EA5DA3"/>
    <w:rsid w:val="00EB009A"/>
    <w:rsid w:val="00EB1502"/>
    <w:rsid w:val="00EB52B4"/>
    <w:rsid w:val="00EC019B"/>
    <w:rsid w:val="00EC0F3B"/>
    <w:rsid w:val="00EC14AE"/>
    <w:rsid w:val="00EC1D55"/>
    <w:rsid w:val="00EC52DA"/>
    <w:rsid w:val="00EC6BD6"/>
    <w:rsid w:val="00EC7353"/>
    <w:rsid w:val="00ED0A66"/>
    <w:rsid w:val="00ED150C"/>
    <w:rsid w:val="00ED31F0"/>
    <w:rsid w:val="00ED54D5"/>
    <w:rsid w:val="00ED6388"/>
    <w:rsid w:val="00ED6E9F"/>
    <w:rsid w:val="00EE08C6"/>
    <w:rsid w:val="00EE0CE4"/>
    <w:rsid w:val="00EE2620"/>
    <w:rsid w:val="00EE4C24"/>
    <w:rsid w:val="00EE5249"/>
    <w:rsid w:val="00EE552E"/>
    <w:rsid w:val="00EE61BC"/>
    <w:rsid w:val="00EE7148"/>
    <w:rsid w:val="00EF352A"/>
    <w:rsid w:val="00EF48A7"/>
    <w:rsid w:val="00EF535E"/>
    <w:rsid w:val="00EF5A92"/>
    <w:rsid w:val="00EF6A6C"/>
    <w:rsid w:val="00F02BB1"/>
    <w:rsid w:val="00F07353"/>
    <w:rsid w:val="00F1393D"/>
    <w:rsid w:val="00F17B8B"/>
    <w:rsid w:val="00F205AA"/>
    <w:rsid w:val="00F21D50"/>
    <w:rsid w:val="00F36D72"/>
    <w:rsid w:val="00F409B7"/>
    <w:rsid w:val="00F41C2F"/>
    <w:rsid w:val="00F4773E"/>
    <w:rsid w:val="00F52ECD"/>
    <w:rsid w:val="00F550FF"/>
    <w:rsid w:val="00F55878"/>
    <w:rsid w:val="00F60757"/>
    <w:rsid w:val="00F61886"/>
    <w:rsid w:val="00F61B01"/>
    <w:rsid w:val="00F7291E"/>
    <w:rsid w:val="00F74373"/>
    <w:rsid w:val="00F750E6"/>
    <w:rsid w:val="00F76120"/>
    <w:rsid w:val="00F77478"/>
    <w:rsid w:val="00F77DDD"/>
    <w:rsid w:val="00F80C52"/>
    <w:rsid w:val="00F8221B"/>
    <w:rsid w:val="00FA27C1"/>
    <w:rsid w:val="00FA3B94"/>
    <w:rsid w:val="00FA3EFF"/>
    <w:rsid w:val="00FA4693"/>
    <w:rsid w:val="00FA5DA3"/>
    <w:rsid w:val="00FB3140"/>
    <w:rsid w:val="00FB5B24"/>
    <w:rsid w:val="00FB72F4"/>
    <w:rsid w:val="00FC00C7"/>
    <w:rsid w:val="00FC5C60"/>
    <w:rsid w:val="00FC7A0D"/>
    <w:rsid w:val="00FC7E78"/>
    <w:rsid w:val="00FD236E"/>
    <w:rsid w:val="00FD37C7"/>
    <w:rsid w:val="00FD41BE"/>
    <w:rsid w:val="00FD43BB"/>
    <w:rsid w:val="00FD441D"/>
    <w:rsid w:val="00FD7329"/>
    <w:rsid w:val="00FD781F"/>
    <w:rsid w:val="00FE06D9"/>
    <w:rsid w:val="00FE7064"/>
    <w:rsid w:val="00FF1ADF"/>
    <w:rsid w:val="00FF1D6C"/>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D810F6"/>
  <w15:docId w15:val="{66AC59ED-D454-4938-B6A4-7AF4DC7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E9"/>
    <w:rPr>
      <w:rFonts w:ascii="Arial" w:hAnsi="Arial"/>
      <w:sz w:val="18"/>
    </w:rPr>
  </w:style>
  <w:style w:type="paragraph" w:styleId="Heading1">
    <w:name w:val="heading 1"/>
    <w:basedOn w:val="Normal"/>
    <w:next w:val="Normal"/>
    <w:link w:val="Heading1Char"/>
    <w:uiPriority w:val="9"/>
    <w:qFormat/>
    <w:rsid w:val="00481C42"/>
    <w:pPr>
      <w:keepNext/>
      <w:keepLines/>
      <w:spacing w:before="480" w:after="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81C42"/>
    <w:pPr>
      <w:keepNext/>
      <w:keepLines/>
      <w:spacing w:before="200" w:after="6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481C42"/>
    <w:pPr>
      <w:keepNext/>
      <w:keepLines/>
      <w:spacing w:before="20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8122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0D"/>
    <w:rPr>
      <w:rFonts w:ascii="Tahoma" w:hAnsi="Tahoma" w:cs="Tahoma"/>
      <w:sz w:val="16"/>
      <w:szCs w:val="16"/>
    </w:rPr>
  </w:style>
  <w:style w:type="paragraph" w:styleId="Title">
    <w:name w:val="Title"/>
    <w:basedOn w:val="Normal"/>
    <w:next w:val="Normal"/>
    <w:link w:val="TitleChar"/>
    <w:autoRedefine/>
    <w:uiPriority w:val="10"/>
    <w:qFormat/>
    <w:rsid w:val="009F10BF"/>
    <w:pPr>
      <w:pBdr>
        <w:bottom w:val="single" w:sz="8" w:space="1" w:color="7030A0"/>
      </w:pBdr>
      <w:spacing w:after="300" w:line="240" w:lineRule="auto"/>
      <w:contextualSpacing/>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9F10BF"/>
    <w:rPr>
      <w:rFonts w:ascii="Arial" w:eastAsiaTheme="majorEastAsia" w:hAnsi="Arial" w:cstheme="majorBidi"/>
      <w:color w:val="000000" w:themeColor="text1"/>
      <w:spacing w:val="5"/>
      <w:kern w:val="28"/>
      <w:sz w:val="40"/>
      <w:szCs w:val="52"/>
    </w:rPr>
  </w:style>
  <w:style w:type="paragraph" w:styleId="PlainText">
    <w:name w:val="Plain Text"/>
    <w:basedOn w:val="Normal"/>
    <w:link w:val="PlainTextChar"/>
    <w:uiPriority w:val="99"/>
    <w:unhideWhenUsed/>
    <w:rsid w:val="00502E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2E0D"/>
    <w:rPr>
      <w:rFonts w:ascii="Consolas" w:hAnsi="Consolas" w:cs="Consolas"/>
      <w:sz w:val="21"/>
      <w:szCs w:val="21"/>
    </w:rPr>
  </w:style>
  <w:style w:type="character" w:customStyle="1" w:styleId="Heading1Char">
    <w:name w:val="Heading 1 Char"/>
    <w:basedOn w:val="DefaultParagraphFont"/>
    <w:link w:val="Heading1"/>
    <w:uiPriority w:val="9"/>
    <w:rsid w:val="00481C42"/>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4E534D"/>
    <w:pPr>
      <w:ind w:left="720"/>
      <w:contextualSpacing/>
    </w:pPr>
  </w:style>
  <w:style w:type="character" w:customStyle="1" w:styleId="Heading2Char">
    <w:name w:val="Heading 2 Char"/>
    <w:basedOn w:val="DefaultParagraphFont"/>
    <w:link w:val="Heading2"/>
    <w:uiPriority w:val="9"/>
    <w:rsid w:val="00481C42"/>
    <w:rPr>
      <w:rFonts w:ascii="Arial" w:eastAsiaTheme="majorEastAsia" w:hAnsi="Arial" w:cstheme="majorBidi"/>
      <w:b/>
      <w:bCs/>
      <w:color w:val="000000" w:themeColor="text1"/>
      <w:sz w:val="26"/>
      <w:szCs w:val="26"/>
    </w:rPr>
  </w:style>
  <w:style w:type="table" w:styleId="TableGrid">
    <w:name w:val="Table Grid"/>
    <w:basedOn w:val="TableNormal"/>
    <w:rsid w:val="005F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F1B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F1BE8"/>
    <w:rPr>
      <w:rFonts w:ascii="Arial" w:hAnsi="Arial"/>
      <w:b/>
      <w:bCs/>
      <w:sz w:val="18"/>
    </w:rPr>
  </w:style>
  <w:style w:type="character" w:customStyle="1" w:styleId="Heading3Char">
    <w:name w:val="Heading 3 Char"/>
    <w:basedOn w:val="DefaultParagraphFont"/>
    <w:link w:val="Heading3"/>
    <w:uiPriority w:val="9"/>
    <w:rsid w:val="00481C42"/>
    <w:rPr>
      <w:rFonts w:ascii="Arial" w:eastAsiaTheme="majorEastAsia" w:hAnsi="Arial" w:cstheme="majorBidi"/>
      <w:b/>
      <w:bCs/>
      <w:color w:val="000000" w:themeColor="text1"/>
      <w:sz w:val="18"/>
    </w:rPr>
  </w:style>
  <w:style w:type="paragraph" w:styleId="Header">
    <w:name w:val="header"/>
    <w:basedOn w:val="Normal"/>
    <w:link w:val="HeaderChar"/>
    <w:uiPriority w:val="99"/>
    <w:unhideWhenUsed/>
    <w:rsid w:val="0077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FD"/>
    <w:rPr>
      <w:rFonts w:ascii="Arial" w:hAnsi="Arial"/>
      <w:sz w:val="18"/>
    </w:rPr>
  </w:style>
  <w:style w:type="paragraph" w:styleId="Footer">
    <w:name w:val="footer"/>
    <w:basedOn w:val="Normal"/>
    <w:link w:val="FooterChar"/>
    <w:uiPriority w:val="99"/>
    <w:unhideWhenUsed/>
    <w:rsid w:val="007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FD"/>
    <w:rPr>
      <w:rFonts w:ascii="Arial" w:hAnsi="Arial"/>
      <w:sz w:val="18"/>
    </w:rPr>
  </w:style>
  <w:style w:type="paragraph" w:customStyle="1" w:styleId="SP241826">
    <w:name w:val="SP241826"/>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paragraph" w:customStyle="1" w:styleId="SP241705">
    <w:name w:val="SP241705"/>
    <w:basedOn w:val="Normal"/>
    <w:next w:val="Normal"/>
    <w:uiPriority w:val="99"/>
    <w:rsid w:val="00C243AA"/>
    <w:pPr>
      <w:autoSpaceDE w:val="0"/>
      <w:autoSpaceDN w:val="0"/>
      <w:adjustRightInd w:val="0"/>
      <w:spacing w:after="0" w:line="240" w:lineRule="auto"/>
    </w:pPr>
    <w:rPr>
      <w:rFonts w:ascii="Times New Roman" w:hAnsi="Times New Roman" w:cs="Times New Roman"/>
      <w:sz w:val="24"/>
      <w:szCs w:val="24"/>
    </w:rPr>
  </w:style>
  <w:style w:type="character" w:customStyle="1" w:styleId="SC1512">
    <w:name w:val="SC1512"/>
    <w:uiPriority w:val="99"/>
    <w:rsid w:val="00C243AA"/>
    <w:rPr>
      <w:color w:val="000000"/>
      <w:sz w:val="20"/>
      <w:szCs w:val="20"/>
    </w:rPr>
  </w:style>
  <w:style w:type="paragraph" w:customStyle="1" w:styleId="Default">
    <w:name w:val="Default"/>
    <w:rsid w:val="00AE2A18"/>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7D5B99"/>
  </w:style>
  <w:style w:type="character" w:customStyle="1" w:styleId="hps">
    <w:name w:val="hps"/>
    <w:basedOn w:val="DefaultParagraphFont"/>
    <w:rsid w:val="007D5B99"/>
  </w:style>
  <w:style w:type="paragraph" w:customStyle="1" w:styleId="SP5282723">
    <w:name w:val="SP.5.282723"/>
    <w:basedOn w:val="Normal"/>
    <w:uiPriority w:val="99"/>
    <w:rsid w:val="0040534E"/>
    <w:pPr>
      <w:autoSpaceDE w:val="0"/>
      <w:autoSpaceDN w:val="0"/>
      <w:spacing w:after="0" w:line="240" w:lineRule="auto"/>
    </w:pPr>
    <w:rPr>
      <w:rFonts w:cs="Arial"/>
      <w:sz w:val="24"/>
      <w:szCs w:val="24"/>
    </w:rPr>
  </w:style>
  <w:style w:type="character" w:customStyle="1" w:styleId="SC5188495">
    <w:name w:val="SC.5.188495"/>
    <w:basedOn w:val="DefaultParagraphFont"/>
    <w:uiPriority w:val="99"/>
    <w:rsid w:val="0040534E"/>
    <w:rPr>
      <w:b/>
      <w:bCs/>
      <w:color w:val="211D1E"/>
    </w:rPr>
  </w:style>
  <w:style w:type="paragraph" w:customStyle="1" w:styleId="Special">
    <w:name w:val="Special"/>
    <w:basedOn w:val="Normal"/>
    <w:rsid w:val="004570E2"/>
    <w:pPr>
      <w:spacing w:after="0" w:line="240" w:lineRule="auto"/>
      <w:jc w:val="center"/>
    </w:pPr>
    <w:rPr>
      <w:rFonts w:eastAsia="SimSun" w:cs="Arial"/>
      <w:sz w:val="20"/>
      <w:szCs w:val="20"/>
      <w:lang w:eastAsia="zh-CN"/>
    </w:rPr>
  </w:style>
  <w:style w:type="paragraph" w:styleId="HTMLPreformatted">
    <w:name w:val="HTML Preformatted"/>
    <w:basedOn w:val="Normal"/>
    <w:link w:val="HTMLPreformattedChar"/>
    <w:uiPriority w:val="99"/>
    <w:semiHidden/>
    <w:unhideWhenUsed/>
    <w:rsid w:val="00FD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41BE"/>
    <w:rPr>
      <w:rFonts w:ascii="Courier New" w:eastAsia="Times New Roman" w:hAnsi="Courier New" w:cs="Courier New"/>
      <w:sz w:val="20"/>
      <w:szCs w:val="20"/>
    </w:rPr>
  </w:style>
  <w:style w:type="character" w:styleId="Hyperlink">
    <w:name w:val="Hyperlink"/>
    <w:basedOn w:val="DefaultParagraphFont"/>
    <w:uiPriority w:val="99"/>
    <w:unhideWhenUsed/>
    <w:rsid w:val="00B76660"/>
    <w:rPr>
      <w:color w:val="0000FF" w:themeColor="hyperlink"/>
      <w:u w:val="single"/>
    </w:rPr>
  </w:style>
  <w:style w:type="character" w:customStyle="1" w:styleId="Heading4Char">
    <w:name w:val="Heading 4 Char"/>
    <w:basedOn w:val="DefaultParagraphFont"/>
    <w:link w:val="Heading4"/>
    <w:uiPriority w:val="9"/>
    <w:rsid w:val="008122A0"/>
    <w:rPr>
      <w:rFonts w:asciiTheme="majorHAnsi" w:eastAsiaTheme="majorEastAsia" w:hAnsiTheme="majorHAnsi" w:cstheme="majorBidi"/>
      <w:i/>
      <w:iCs/>
      <w:color w:val="365F91" w:themeColor="accent1" w:themeShade="BF"/>
      <w:sz w:val="18"/>
    </w:rPr>
  </w:style>
  <w:style w:type="paragraph" w:styleId="Revision">
    <w:name w:val="Revision"/>
    <w:hidden/>
    <w:uiPriority w:val="99"/>
    <w:semiHidden/>
    <w:rsid w:val="00EE61BC"/>
    <w:pPr>
      <w:spacing w:after="0" w:line="240" w:lineRule="auto"/>
    </w:pPr>
    <w:rPr>
      <w:rFonts w:ascii="Arial" w:hAnsi="Arial"/>
      <w:sz w:val="18"/>
    </w:rPr>
  </w:style>
  <w:style w:type="character" w:customStyle="1" w:styleId="UnresolvedMention1">
    <w:name w:val="Unresolved Mention1"/>
    <w:basedOn w:val="DefaultParagraphFont"/>
    <w:uiPriority w:val="99"/>
    <w:semiHidden/>
    <w:unhideWhenUsed/>
    <w:rsid w:val="00B654CA"/>
    <w:rPr>
      <w:color w:val="605E5C"/>
      <w:shd w:val="clear" w:color="auto" w:fill="E1DFDD"/>
    </w:rPr>
  </w:style>
  <w:style w:type="character" w:styleId="CommentReference">
    <w:name w:val="annotation reference"/>
    <w:basedOn w:val="DefaultParagraphFont"/>
    <w:uiPriority w:val="99"/>
    <w:semiHidden/>
    <w:unhideWhenUsed/>
    <w:rsid w:val="007C5FA2"/>
    <w:rPr>
      <w:sz w:val="16"/>
      <w:szCs w:val="16"/>
    </w:rPr>
  </w:style>
  <w:style w:type="paragraph" w:styleId="CommentText">
    <w:name w:val="annotation text"/>
    <w:basedOn w:val="Normal"/>
    <w:link w:val="CommentTextChar"/>
    <w:uiPriority w:val="99"/>
    <w:semiHidden/>
    <w:unhideWhenUsed/>
    <w:rsid w:val="007C5FA2"/>
    <w:pPr>
      <w:spacing w:line="240" w:lineRule="auto"/>
    </w:pPr>
    <w:rPr>
      <w:sz w:val="20"/>
      <w:szCs w:val="20"/>
    </w:rPr>
  </w:style>
  <w:style w:type="character" w:customStyle="1" w:styleId="CommentTextChar">
    <w:name w:val="Comment Text Char"/>
    <w:basedOn w:val="DefaultParagraphFont"/>
    <w:link w:val="CommentText"/>
    <w:uiPriority w:val="99"/>
    <w:semiHidden/>
    <w:rsid w:val="007C5F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5FA2"/>
    <w:rPr>
      <w:b/>
      <w:bCs/>
    </w:rPr>
  </w:style>
  <w:style w:type="character" w:customStyle="1" w:styleId="CommentSubjectChar">
    <w:name w:val="Comment Subject Char"/>
    <w:basedOn w:val="CommentTextChar"/>
    <w:link w:val="CommentSubject"/>
    <w:uiPriority w:val="99"/>
    <w:semiHidden/>
    <w:rsid w:val="007C5FA2"/>
    <w:rPr>
      <w:rFonts w:ascii="Arial" w:hAnsi="Arial"/>
      <w:b/>
      <w:bCs/>
      <w:sz w:val="20"/>
      <w:szCs w:val="20"/>
    </w:rPr>
  </w:style>
  <w:style w:type="paragraph" w:styleId="TOCHeading">
    <w:name w:val="TOC Heading"/>
    <w:basedOn w:val="Heading1"/>
    <w:next w:val="Normal"/>
    <w:uiPriority w:val="39"/>
    <w:unhideWhenUsed/>
    <w:qFormat/>
    <w:rsid w:val="00B45971"/>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B45971"/>
    <w:pPr>
      <w:tabs>
        <w:tab w:val="right" w:leader="dot" w:pos="9350"/>
      </w:tabs>
      <w:spacing w:after="60"/>
    </w:pPr>
  </w:style>
  <w:style w:type="paragraph" w:styleId="TOC2">
    <w:name w:val="toc 2"/>
    <w:basedOn w:val="Normal"/>
    <w:next w:val="Normal"/>
    <w:autoRedefine/>
    <w:uiPriority w:val="39"/>
    <w:unhideWhenUsed/>
    <w:rsid w:val="00B45971"/>
    <w:pPr>
      <w:spacing w:after="100"/>
      <w:ind w:left="180"/>
    </w:pPr>
  </w:style>
  <w:style w:type="paragraph" w:styleId="TOC3">
    <w:name w:val="toc 3"/>
    <w:basedOn w:val="Normal"/>
    <w:next w:val="Normal"/>
    <w:autoRedefine/>
    <w:uiPriority w:val="39"/>
    <w:unhideWhenUsed/>
    <w:rsid w:val="00164A46"/>
    <w:pPr>
      <w:tabs>
        <w:tab w:val="right" w:leader="dot" w:pos="9350"/>
      </w:tabs>
      <w:spacing w:after="100"/>
      <w:ind w:left="360"/>
    </w:pPr>
  </w:style>
  <w:style w:type="character" w:customStyle="1" w:styleId="flagicon">
    <w:name w:val="flagicon"/>
    <w:basedOn w:val="DefaultParagraphFont"/>
    <w:rsid w:val="00313BAD"/>
  </w:style>
  <w:style w:type="character" w:styleId="UnresolvedMention">
    <w:name w:val="Unresolved Mention"/>
    <w:basedOn w:val="DefaultParagraphFont"/>
    <w:uiPriority w:val="99"/>
    <w:semiHidden/>
    <w:unhideWhenUsed/>
    <w:rsid w:val="00394F1F"/>
    <w:rPr>
      <w:color w:val="605E5C"/>
      <w:shd w:val="clear" w:color="auto" w:fill="E1DFDD"/>
    </w:rPr>
  </w:style>
  <w:style w:type="character" w:styleId="FollowedHyperlink">
    <w:name w:val="FollowedHyperlink"/>
    <w:basedOn w:val="DefaultParagraphFont"/>
    <w:uiPriority w:val="99"/>
    <w:semiHidden/>
    <w:unhideWhenUsed/>
    <w:rsid w:val="00394F1F"/>
    <w:rPr>
      <w:color w:val="800080" w:themeColor="followedHyperlink"/>
      <w:u w:val="single"/>
    </w:rPr>
  </w:style>
  <w:style w:type="character" w:customStyle="1" w:styleId="A0">
    <w:name w:val="A0"/>
    <w:uiPriority w:val="99"/>
    <w:rsid w:val="002C7415"/>
    <w:rPr>
      <w:rFonts w:cs="Foundry Sterling Bold"/>
      <w:b/>
      <w:bCs/>
      <w:color w:val="000000"/>
      <w:sz w:val="14"/>
      <w:szCs w:val="14"/>
    </w:rPr>
  </w:style>
  <w:style w:type="character" w:customStyle="1" w:styleId="sc-hjhjly">
    <w:name w:val="sc-hjhjly"/>
    <w:basedOn w:val="DefaultParagraphFont"/>
    <w:rsid w:val="001B5599"/>
  </w:style>
  <w:style w:type="character" w:customStyle="1" w:styleId="y2iqfc">
    <w:name w:val="y2iqfc"/>
    <w:basedOn w:val="DefaultParagraphFont"/>
    <w:rsid w:val="00A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3818">
      <w:bodyDiv w:val="1"/>
      <w:marLeft w:val="0"/>
      <w:marRight w:val="0"/>
      <w:marTop w:val="0"/>
      <w:marBottom w:val="0"/>
      <w:divBdr>
        <w:top w:val="none" w:sz="0" w:space="0" w:color="auto"/>
        <w:left w:val="none" w:sz="0" w:space="0" w:color="auto"/>
        <w:bottom w:val="none" w:sz="0" w:space="0" w:color="auto"/>
        <w:right w:val="none" w:sz="0" w:space="0" w:color="auto"/>
      </w:divBdr>
    </w:div>
    <w:div w:id="145518545">
      <w:bodyDiv w:val="1"/>
      <w:marLeft w:val="0"/>
      <w:marRight w:val="0"/>
      <w:marTop w:val="0"/>
      <w:marBottom w:val="0"/>
      <w:divBdr>
        <w:top w:val="none" w:sz="0" w:space="0" w:color="auto"/>
        <w:left w:val="none" w:sz="0" w:space="0" w:color="auto"/>
        <w:bottom w:val="none" w:sz="0" w:space="0" w:color="auto"/>
        <w:right w:val="none" w:sz="0" w:space="0" w:color="auto"/>
      </w:divBdr>
    </w:div>
    <w:div w:id="164709810">
      <w:bodyDiv w:val="1"/>
      <w:marLeft w:val="0"/>
      <w:marRight w:val="0"/>
      <w:marTop w:val="0"/>
      <w:marBottom w:val="0"/>
      <w:divBdr>
        <w:top w:val="none" w:sz="0" w:space="0" w:color="auto"/>
        <w:left w:val="none" w:sz="0" w:space="0" w:color="auto"/>
        <w:bottom w:val="none" w:sz="0" w:space="0" w:color="auto"/>
        <w:right w:val="none" w:sz="0" w:space="0" w:color="auto"/>
      </w:divBdr>
    </w:div>
    <w:div w:id="180977510">
      <w:bodyDiv w:val="1"/>
      <w:marLeft w:val="0"/>
      <w:marRight w:val="0"/>
      <w:marTop w:val="0"/>
      <w:marBottom w:val="0"/>
      <w:divBdr>
        <w:top w:val="none" w:sz="0" w:space="0" w:color="auto"/>
        <w:left w:val="none" w:sz="0" w:space="0" w:color="auto"/>
        <w:bottom w:val="none" w:sz="0" w:space="0" w:color="auto"/>
        <w:right w:val="none" w:sz="0" w:space="0" w:color="auto"/>
      </w:divBdr>
    </w:div>
    <w:div w:id="219481985">
      <w:bodyDiv w:val="1"/>
      <w:marLeft w:val="0"/>
      <w:marRight w:val="0"/>
      <w:marTop w:val="0"/>
      <w:marBottom w:val="0"/>
      <w:divBdr>
        <w:top w:val="none" w:sz="0" w:space="0" w:color="auto"/>
        <w:left w:val="none" w:sz="0" w:space="0" w:color="auto"/>
        <w:bottom w:val="none" w:sz="0" w:space="0" w:color="auto"/>
        <w:right w:val="none" w:sz="0" w:space="0" w:color="auto"/>
      </w:divBdr>
    </w:div>
    <w:div w:id="263806124">
      <w:bodyDiv w:val="1"/>
      <w:marLeft w:val="0"/>
      <w:marRight w:val="0"/>
      <w:marTop w:val="0"/>
      <w:marBottom w:val="0"/>
      <w:divBdr>
        <w:top w:val="none" w:sz="0" w:space="0" w:color="auto"/>
        <w:left w:val="none" w:sz="0" w:space="0" w:color="auto"/>
        <w:bottom w:val="none" w:sz="0" w:space="0" w:color="auto"/>
        <w:right w:val="none" w:sz="0" w:space="0" w:color="auto"/>
      </w:divBdr>
    </w:div>
    <w:div w:id="283001754">
      <w:bodyDiv w:val="1"/>
      <w:marLeft w:val="0"/>
      <w:marRight w:val="0"/>
      <w:marTop w:val="0"/>
      <w:marBottom w:val="0"/>
      <w:divBdr>
        <w:top w:val="none" w:sz="0" w:space="0" w:color="auto"/>
        <w:left w:val="none" w:sz="0" w:space="0" w:color="auto"/>
        <w:bottom w:val="none" w:sz="0" w:space="0" w:color="auto"/>
        <w:right w:val="none" w:sz="0" w:space="0" w:color="auto"/>
      </w:divBdr>
    </w:div>
    <w:div w:id="438063538">
      <w:bodyDiv w:val="1"/>
      <w:marLeft w:val="0"/>
      <w:marRight w:val="0"/>
      <w:marTop w:val="0"/>
      <w:marBottom w:val="0"/>
      <w:divBdr>
        <w:top w:val="none" w:sz="0" w:space="0" w:color="auto"/>
        <w:left w:val="none" w:sz="0" w:space="0" w:color="auto"/>
        <w:bottom w:val="none" w:sz="0" w:space="0" w:color="auto"/>
        <w:right w:val="none" w:sz="0" w:space="0" w:color="auto"/>
      </w:divBdr>
    </w:div>
    <w:div w:id="480460606">
      <w:bodyDiv w:val="1"/>
      <w:marLeft w:val="0"/>
      <w:marRight w:val="0"/>
      <w:marTop w:val="0"/>
      <w:marBottom w:val="0"/>
      <w:divBdr>
        <w:top w:val="none" w:sz="0" w:space="0" w:color="auto"/>
        <w:left w:val="none" w:sz="0" w:space="0" w:color="auto"/>
        <w:bottom w:val="none" w:sz="0" w:space="0" w:color="auto"/>
        <w:right w:val="none" w:sz="0" w:space="0" w:color="auto"/>
      </w:divBdr>
    </w:div>
    <w:div w:id="489097072">
      <w:bodyDiv w:val="1"/>
      <w:marLeft w:val="0"/>
      <w:marRight w:val="0"/>
      <w:marTop w:val="0"/>
      <w:marBottom w:val="0"/>
      <w:divBdr>
        <w:top w:val="none" w:sz="0" w:space="0" w:color="auto"/>
        <w:left w:val="none" w:sz="0" w:space="0" w:color="auto"/>
        <w:bottom w:val="none" w:sz="0" w:space="0" w:color="auto"/>
        <w:right w:val="none" w:sz="0" w:space="0" w:color="auto"/>
      </w:divBdr>
    </w:div>
    <w:div w:id="515775712">
      <w:bodyDiv w:val="1"/>
      <w:marLeft w:val="0"/>
      <w:marRight w:val="0"/>
      <w:marTop w:val="0"/>
      <w:marBottom w:val="0"/>
      <w:divBdr>
        <w:top w:val="none" w:sz="0" w:space="0" w:color="auto"/>
        <w:left w:val="none" w:sz="0" w:space="0" w:color="auto"/>
        <w:bottom w:val="none" w:sz="0" w:space="0" w:color="auto"/>
        <w:right w:val="none" w:sz="0" w:space="0" w:color="auto"/>
      </w:divBdr>
    </w:div>
    <w:div w:id="575553824">
      <w:bodyDiv w:val="1"/>
      <w:marLeft w:val="0"/>
      <w:marRight w:val="0"/>
      <w:marTop w:val="0"/>
      <w:marBottom w:val="0"/>
      <w:divBdr>
        <w:top w:val="none" w:sz="0" w:space="0" w:color="auto"/>
        <w:left w:val="none" w:sz="0" w:space="0" w:color="auto"/>
        <w:bottom w:val="none" w:sz="0" w:space="0" w:color="auto"/>
        <w:right w:val="none" w:sz="0" w:space="0" w:color="auto"/>
      </w:divBdr>
    </w:div>
    <w:div w:id="607394447">
      <w:bodyDiv w:val="1"/>
      <w:marLeft w:val="0"/>
      <w:marRight w:val="0"/>
      <w:marTop w:val="0"/>
      <w:marBottom w:val="0"/>
      <w:divBdr>
        <w:top w:val="none" w:sz="0" w:space="0" w:color="auto"/>
        <w:left w:val="none" w:sz="0" w:space="0" w:color="auto"/>
        <w:bottom w:val="none" w:sz="0" w:space="0" w:color="auto"/>
        <w:right w:val="none" w:sz="0" w:space="0" w:color="auto"/>
      </w:divBdr>
    </w:div>
    <w:div w:id="623119421">
      <w:bodyDiv w:val="1"/>
      <w:marLeft w:val="0"/>
      <w:marRight w:val="0"/>
      <w:marTop w:val="0"/>
      <w:marBottom w:val="0"/>
      <w:divBdr>
        <w:top w:val="none" w:sz="0" w:space="0" w:color="auto"/>
        <w:left w:val="none" w:sz="0" w:space="0" w:color="auto"/>
        <w:bottom w:val="none" w:sz="0" w:space="0" w:color="auto"/>
        <w:right w:val="none" w:sz="0" w:space="0" w:color="auto"/>
      </w:divBdr>
    </w:div>
    <w:div w:id="623658188">
      <w:bodyDiv w:val="1"/>
      <w:marLeft w:val="0"/>
      <w:marRight w:val="0"/>
      <w:marTop w:val="0"/>
      <w:marBottom w:val="0"/>
      <w:divBdr>
        <w:top w:val="none" w:sz="0" w:space="0" w:color="auto"/>
        <w:left w:val="none" w:sz="0" w:space="0" w:color="auto"/>
        <w:bottom w:val="none" w:sz="0" w:space="0" w:color="auto"/>
        <w:right w:val="none" w:sz="0" w:space="0" w:color="auto"/>
      </w:divBdr>
    </w:div>
    <w:div w:id="659583222">
      <w:bodyDiv w:val="1"/>
      <w:marLeft w:val="0"/>
      <w:marRight w:val="0"/>
      <w:marTop w:val="0"/>
      <w:marBottom w:val="0"/>
      <w:divBdr>
        <w:top w:val="none" w:sz="0" w:space="0" w:color="auto"/>
        <w:left w:val="none" w:sz="0" w:space="0" w:color="auto"/>
        <w:bottom w:val="none" w:sz="0" w:space="0" w:color="auto"/>
        <w:right w:val="none" w:sz="0" w:space="0" w:color="auto"/>
      </w:divBdr>
    </w:div>
    <w:div w:id="758865888">
      <w:bodyDiv w:val="1"/>
      <w:marLeft w:val="0"/>
      <w:marRight w:val="0"/>
      <w:marTop w:val="0"/>
      <w:marBottom w:val="0"/>
      <w:divBdr>
        <w:top w:val="none" w:sz="0" w:space="0" w:color="auto"/>
        <w:left w:val="none" w:sz="0" w:space="0" w:color="auto"/>
        <w:bottom w:val="none" w:sz="0" w:space="0" w:color="auto"/>
        <w:right w:val="none" w:sz="0" w:space="0" w:color="auto"/>
      </w:divBdr>
    </w:div>
    <w:div w:id="1031765060">
      <w:bodyDiv w:val="1"/>
      <w:marLeft w:val="0"/>
      <w:marRight w:val="0"/>
      <w:marTop w:val="0"/>
      <w:marBottom w:val="0"/>
      <w:divBdr>
        <w:top w:val="none" w:sz="0" w:space="0" w:color="auto"/>
        <w:left w:val="none" w:sz="0" w:space="0" w:color="auto"/>
        <w:bottom w:val="none" w:sz="0" w:space="0" w:color="auto"/>
        <w:right w:val="none" w:sz="0" w:space="0" w:color="auto"/>
      </w:divBdr>
    </w:div>
    <w:div w:id="1064523845">
      <w:bodyDiv w:val="1"/>
      <w:marLeft w:val="0"/>
      <w:marRight w:val="0"/>
      <w:marTop w:val="0"/>
      <w:marBottom w:val="0"/>
      <w:divBdr>
        <w:top w:val="none" w:sz="0" w:space="0" w:color="auto"/>
        <w:left w:val="none" w:sz="0" w:space="0" w:color="auto"/>
        <w:bottom w:val="none" w:sz="0" w:space="0" w:color="auto"/>
        <w:right w:val="none" w:sz="0" w:space="0" w:color="auto"/>
      </w:divBdr>
    </w:div>
    <w:div w:id="1175803610">
      <w:bodyDiv w:val="1"/>
      <w:marLeft w:val="0"/>
      <w:marRight w:val="0"/>
      <w:marTop w:val="0"/>
      <w:marBottom w:val="0"/>
      <w:divBdr>
        <w:top w:val="none" w:sz="0" w:space="0" w:color="auto"/>
        <w:left w:val="none" w:sz="0" w:space="0" w:color="auto"/>
        <w:bottom w:val="none" w:sz="0" w:space="0" w:color="auto"/>
        <w:right w:val="none" w:sz="0" w:space="0" w:color="auto"/>
      </w:divBdr>
    </w:div>
    <w:div w:id="1257247352">
      <w:bodyDiv w:val="1"/>
      <w:marLeft w:val="0"/>
      <w:marRight w:val="0"/>
      <w:marTop w:val="0"/>
      <w:marBottom w:val="0"/>
      <w:divBdr>
        <w:top w:val="none" w:sz="0" w:space="0" w:color="auto"/>
        <w:left w:val="none" w:sz="0" w:space="0" w:color="auto"/>
        <w:bottom w:val="none" w:sz="0" w:space="0" w:color="auto"/>
        <w:right w:val="none" w:sz="0" w:space="0" w:color="auto"/>
      </w:divBdr>
    </w:div>
    <w:div w:id="1297370213">
      <w:bodyDiv w:val="1"/>
      <w:marLeft w:val="0"/>
      <w:marRight w:val="0"/>
      <w:marTop w:val="0"/>
      <w:marBottom w:val="0"/>
      <w:divBdr>
        <w:top w:val="none" w:sz="0" w:space="0" w:color="auto"/>
        <w:left w:val="none" w:sz="0" w:space="0" w:color="auto"/>
        <w:bottom w:val="none" w:sz="0" w:space="0" w:color="auto"/>
        <w:right w:val="none" w:sz="0" w:space="0" w:color="auto"/>
      </w:divBdr>
    </w:div>
    <w:div w:id="1333800805">
      <w:bodyDiv w:val="1"/>
      <w:marLeft w:val="0"/>
      <w:marRight w:val="0"/>
      <w:marTop w:val="0"/>
      <w:marBottom w:val="0"/>
      <w:divBdr>
        <w:top w:val="none" w:sz="0" w:space="0" w:color="auto"/>
        <w:left w:val="none" w:sz="0" w:space="0" w:color="auto"/>
        <w:bottom w:val="none" w:sz="0" w:space="0" w:color="auto"/>
        <w:right w:val="none" w:sz="0" w:space="0" w:color="auto"/>
      </w:divBdr>
    </w:div>
    <w:div w:id="1436438910">
      <w:bodyDiv w:val="1"/>
      <w:marLeft w:val="0"/>
      <w:marRight w:val="0"/>
      <w:marTop w:val="0"/>
      <w:marBottom w:val="0"/>
      <w:divBdr>
        <w:top w:val="none" w:sz="0" w:space="0" w:color="auto"/>
        <w:left w:val="none" w:sz="0" w:space="0" w:color="auto"/>
        <w:bottom w:val="none" w:sz="0" w:space="0" w:color="auto"/>
        <w:right w:val="none" w:sz="0" w:space="0" w:color="auto"/>
      </w:divBdr>
    </w:div>
    <w:div w:id="1496611380">
      <w:bodyDiv w:val="1"/>
      <w:marLeft w:val="0"/>
      <w:marRight w:val="0"/>
      <w:marTop w:val="0"/>
      <w:marBottom w:val="0"/>
      <w:divBdr>
        <w:top w:val="none" w:sz="0" w:space="0" w:color="auto"/>
        <w:left w:val="none" w:sz="0" w:space="0" w:color="auto"/>
        <w:bottom w:val="none" w:sz="0" w:space="0" w:color="auto"/>
        <w:right w:val="none" w:sz="0" w:space="0" w:color="auto"/>
      </w:divBdr>
    </w:div>
    <w:div w:id="1497770396">
      <w:bodyDiv w:val="1"/>
      <w:marLeft w:val="0"/>
      <w:marRight w:val="0"/>
      <w:marTop w:val="0"/>
      <w:marBottom w:val="0"/>
      <w:divBdr>
        <w:top w:val="none" w:sz="0" w:space="0" w:color="auto"/>
        <w:left w:val="none" w:sz="0" w:space="0" w:color="auto"/>
        <w:bottom w:val="none" w:sz="0" w:space="0" w:color="auto"/>
        <w:right w:val="none" w:sz="0" w:space="0" w:color="auto"/>
      </w:divBdr>
    </w:div>
    <w:div w:id="1534416934">
      <w:bodyDiv w:val="1"/>
      <w:marLeft w:val="0"/>
      <w:marRight w:val="0"/>
      <w:marTop w:val="0"/>
      <w:marBottom w:val="0"/>
      <w:divBdr>
        <w:top w:val="none" w:sz="0" w:space="0" w:color="auto"/>
        <w:left w:val="none" w:sz="0" w:space="0" w:color="auto"/>
        <w:bottom w:val="none" w:sz="0" w:space="0" w:color="auto"/>
        <w:right w:val="none" w:sz="0" w:space="0" w:color="auto"/>
      </w:divBdr>
    </w:div>
    <w:div w:id="1606302102">
      <w:bodyDiv w:val="1"/>
      <w:marLeft w:val="0"/>
      <w:marRight w:val="0"/>
      <w:marTop w:val="0"/>
      <w:marBottom w:val="0"/>
      <w:divBdr>
        <w:top w:val="none" w:sz="0" w:space="0" w:color="auto"/>
        <w:left w:val="none" w:sz="0" w:space="0" w:color="auto"/>
        <w:bottom w:val="none" w:sz="0" w:space="0" w:color="auto"/>
        <w:right w:val="none" w:sz="0" w:space="0" w:color="auto"/>
      </w:divBdr>
    </w:div>
    <w:div w:id="1615095388">
      <w:bodyDiv w:val="1"/>
      <w:marLeft w:val="0"/>
      <w:marRight w:val="0"/>
      <w:marTop w:val="0"/>
      <w:marBottom w:val="0"/>
      <w:divBdr>
        <w:top w:val="none" w:sz="0" w:space="0" w:color="auto"/>
        <w:left w:val="none" w:sz="0" w:space="0" w:color="auto"/>
        <w:bottom w:val="none" w:sz="0" w:space="0" w:color="auto"/>
        <w:right w:val="none" w:sz="0" w:space="0" w:color="auto"/>
      </w:divBdr>
      <w:divsChild>
        <w:div w:id="1241016623">
          <w:marLeft w:val="0"/>
          <w:marRight w:val="0"/>
          <w:marTop w:val="0"/>
          <w:marBottom w:val="0"/>
          <w:divBdr>
            <w:top w:val="none" w:sz="0" w:space="0" w:color="auto"/>
            <w:left w:val="none" w:sz="0" w:space="0" w:color="auto"/>
            <w:bottom w:val="none" w:sz="0" w:space="0" w:color="auto"/>
            <w:right w:val="none" w:sz="0" w:space="0" w:color="auto"/>
          </w:divBdr>
          <w:divsChild>
            <w:div w:id="53433418">
              <w:marLeft w:val="0"/>
              <w:marRight w:val="0"/>
              <w:marTop w:val="0"/>
              <w:marBottom w:val="0"/>
              <w:divBdr>
                <w:top w:val="none" w:sz="0" w:space="0" w:color="auto"/>
                <w:left w:val="none" w:sz="0" w:space="0" w:color="auto"/>
                <w:bottom w:val="none" w:sz="0" w:space="0" w:color="auto"/>
                <w:right w:val="none" w:sz="0" w:space="0" w:color="auto"/>
              </w:divBdr>
              <w:divsChild>
                <w:div w:id="476916732">
                  <w:marLeft w:val="0"/>
                  <w:marRight w:val="0"/>
                  <w:marTop w:val="0"/>
                  <w:marBottom w:val="0"/>
                  <w:divBdr>
                    <w:top w:val="none" w:sz="0" w:space="0" w:color="auto"/>
                    <w:left w:val="none" w:sz="0" w:space="0" w:color="auto"/>
                    <w:bottom w:val="none" w:sz="0" w:space="0" w:color="auto"/>
                    <w:right w:val="none" w:sz="0" w:space="0" w:color="auto"/>
                  </w:divBdr>
                  <w:divsChild>
                    <w:div w:id="254750060">
                      <w:marLeft w:val="0"/>
                      <w:marRight w:val="0"/>
                      <w:marTop w:val="0"/>
                      <w:marBottom w:val="0"/>
                      <w:divBdr>
                        <w:top w:val="none" w:sz="0" w:space="0" w:color="auto"/>
                        <w:left w:val="none" w:sz="0" w:space="0" w:color="auto"/>
                        <w:bottom w:val="none" w:sz="0" w:space="0" w:color="auto"/>
                        <w:right w:val="none" w:sz="0" w:space="0" w:color="auto"/>
                      </w:divBdr>
                      <w:divsChild>
                        <w:div w:id="1349454505">
                          <w:marLeft w:val="0"/>
                          <w:marRight w:val="0"/>
                          <w:marTop w:val="0"/>
                          <w:marBottom w:val="0"/>
                          <w:divBdr>
                            <w:top w:val="none" w:sz="0" w:space="0" w:color="auto"/>
                            <w:left w:val="none" w:sz="0" w:space="0" w:color="auto"/>
                            <w:bottom w:val="none" w:sz="0" w:space="0" w:color="auto"/>
                            <w:right w:val="none" w:sz="0" w:space="0" w:color="auto"/>
                          </w:divBdr>
                          <w:divsChild>
                            <w:div w:id="2056418237">
                              <w:marLeft w:val="0"/>
                              <w:marRight w:val="0"/>
                              <w:marTop w:val="0"/>
                              <w:marBottom w:val="0"/>
                              <w:divBdr>
                                <w:top w:val="none" w:sz="0" w:space="0" w:color="auto"/>
                                <w:left w:val="none" w:sz="0" w:space="0" w:color="auto"/>
                                <w:bottom w:val="none" w:sz="0" w:space="0" w:color="auto"/>
                                <w:right w:val="none" w:sz="0" w:space="0" w:color="auto"/>
                              </w:divBdr>
                              <w:divsChild>
                                <w:div w:id="1061639400">
                                  <w:marLeft w:val="0"/>
                                  <w:marRight w:val="0"/>
                                  <w:marTop w:val="0"/>
                                  <w:marBottom w:val="0"/>
                                  <w:divBdr>
                                    <w:top w:val="none" w:sz="0" w:space="0" w:color="auto"/>
                                    <w:left w:val="none" w:sz="0" w:space="0" w:color="auto"/>
                                    <w:bottom w:val="none" w:sz="0" w:space="0" w:color="auto"/>
                                    <w:right w:val="none" w:sz="0" w:space="0" w:color="auto"/>
                                  </w:divBdr>
                                  <w:divsChild>
                                    <w:div w:id="1928341245">
                                      <w:marLeft w:val="0"/>
                                      <w:marRight w:val="0"/>
                                      <w:marTop w:val="0"/>
                                      <w:marBottom w:val="0"/>
                                      <w:divBdr>
                                        <w:top w:val="none" w:sz="0" w:space="0" w:color="auto"/>
                                        <w:left w:val="none" w:sz="0" w:space="0" w:color="auto"/>
                                        <w:bottom w:val="none" w:sz="0" w:space="0" w:color="auto"/>
                                        <w:right w:val="none" w:sz="0" w:space="0" w:color="auto"/>
                                      </w:divBdr>
                                      <w:divsChild>
                                        <w:div w:id="1830443354">
                                          <w:marLeft w:val="0"/>
                                          <w:marRight w:val="0"/>
                                          <w:marTop w:val="0"/>
                                          <w:marBottom w:val="0"/>
                                          <w:divBdr>
                                            <w:top w:val="none" w:sz="0" w:space="0" w:color="auto"/>
                                            <w:left w:val="none" w:sz="0" w:space="0" w:color="auto"/>
                                            <w:bottom w:val="none" w:sz="0" w:space="0" w:color="auto"/>
                                            <w:right w:val="none" w:sz="0" w:space="0" w:color="auto"/>
                                          </w:divBdr>
                                          <w:divsChild>
                                            <w:div w:id="301541168">
                                              <w:marLeft w:val="0"/>
                                              <w:marRight w:val="0"/>
                                              <w:marTop w:val="0"/>
                                              <w:marBottom w:val="0"/>
                                              <w:divBdr>
                                                <w:top w:val="none" w:sz="0" w:space="0" w:color="auto"/>
                                                <w:left w:val="none" w:sz="0" w:space="0" w:color="auto"/>
                                                <w:bottom w:val="none" w:sz="0" w:space="0" w:color="auto"/>
                                                <w:right w:val="none" w:sz="0" w:space="0" w:color="auto"/>
                                              </w:divBdr>
                                              <w:divsChild>
                                                <w:div w:id="1377194067">
                                                  <w:marLeft w:val="0"/>
                                                  <w:marRight w:val="0"/>
                                                  <w:marTop w:val="0"/>
                                                  <w:marBottom w:val="0"/>
                                                  <w:divBdr>
                                                    <w:top w:val="none" w:sz="0" w:space="0" w:color="auto"/>
                                                    <w:left w:val="none" w:sz="0" w:space="0" w:color="auto"/>
                                                    <w:bottom w:val="none" w:sz="0" w:space="0" w:color="auto"/>
                                                    <w:right w:val="none" w:sz="0" w:space="0" w:color="auto"/>
                                                  </w:divBdr>
                                                  <w:divsChild>
                                                    <w:div w:id="1280453537">
                                                      <w:marLeft w:val="0"/>
                                                      <w:marRight w:val="0"/>
                                                      <w:marTop w:val="0"/>
                                                      <w:marBottom w:val="0"/>
                                                      <w:divBdr>
                                                        <w:top w:val="none" w:sz="0" w:space="0" w:color="auto"/>
                                                        <w:left w:val="none" w:sz="0" w:space="0" w:color="auto"/>
                                                        <w:bottom w:val="none" w:sz="0" w:space="0" w:color="auto"/>
                                                        <w:right w:val="none" w:sz="0" w:space="0" w:color="auto"/>
                                                      </w:divBdr>
                                                      <w:divsChild>
                                                        <w:div w:id="100882810">
                                                          <w:marLeft w:val="0"/>
                                                          <w:marRight w:val="0"/>
                                                          <w:marTop w:val="0"/>
                                                          <w:marBottom w:val="0"/>
                                                          <w:divBdr>
                                                            <w:top w:val="none" w:sz="0" w:space="0" w:color="auto"/>
                                                            <w:left w:val="none" w:sz="0" w:space="0" w:color="auto"/>
                                                            <w:bottom w:val="none" w:sz="0" w:space="0" w:color="auto"/>
                                                            <w:right w:val="none" w:sz="0" w:space="0" w:color="auto"/>
                                                          </w:divBdr>
                                                          <w:divsChild>
                                                            <w:div w:id="1210654842">
                                                              <w:marLeft w:val="0"/>
                                                              <w:marRight w:val="0"/>
                                                              <w:marTop w:val="0"/>
                                                              <w:marBottom w:val="0"/>
                                                              <w:divBdr>
                                                                <w:top w:val="none" w:sz="0" w:space="0" w:color="auto"/>
                                                                <w:left w:val="none" w:sz="0" w:space="0" w:color="auto"/>
                                                                <w:bottom w:val="none" w:sz="0" w:space="0" w:color="auto"/>
                                                                <w:right w:val="none" w:sz="0" w:space="0" w:color="auto"/>
                                                              </w:divBdr>
                                                              <w:divsChild>
                                                                <w:div w:id="1212617080">
                                                                  <w:marLeft w:val="0"/>
                                                                  <w:marRight w:val="0"/>
                                                                  <w:marTop w:val="0"/>
                                                                  <w:marBottom w:val="0"/>
                                                                  <w:divBdr>
                                                                    <w:top w:val="none" w:sz="0" w:space="0" w:color="auto"/>
                                                                    <w:left w:val="none" w:sz="0" w:space="0" w:color="auto"/>
                                                                    <w:bottom w:val="none" w:sz="0" w:space="0" w:color="auto"/>
                                                                    <w:right w:val="none" w:sz="0" w:space="0" w:color="auto"/>
                                                                  </w:divBdr>
                                                                  <w:divsChild>
                                                                    <w:div w:id="792596913">
                                                                      <w:marLeft w:val="0"/>
                                                                      <w:marRight w:val="0"/>
                                                                      <w:marTop w:val="0"/>
                                                                      <w:marBottom w:val="0"/>
                                                                      <w:divBdr>
                                                                        <w:top w:val="none" w:sz="0" w:space="0" w:color="auto"/>
                                                                        <w:left w:val="none" w:sz="0" w:space="0" w:color="auto"/>
                                                                        <w:bottom w:val="none" w:sz="0" w:space="0" w:color="auto"/>
                                                                        <w:right w:val="none" w:sz="0" w:space="0" w:color="auto"/>
                                                                      </w:divBdr>
                                                                      <w:divsChild>
                                                                        <w:div w:id="1651594410">
                                                                          <w:marLeft w:val="0"/>
                                                                          <w:marRight w:val="0"/>
                                                                          <w:marTop w:val="0"/>
                                                                          <w:marBottom w:val="0"/>
                                                                          <w:divBdr>
                                                                            <w:top w:val="none" w:sz="0" w:space="0" w:color="auto"/>
                                                                            <w:left w:val="none" w:sz="0" w:space="0" w:color="auto"/>
                                                                            <w:bottom w:val="none" w:sz="0" w:space="0" w:color="auto"/>
                                                                            <w:right w:val="none" w:sz="0" w:space="0" w:color="auto"/>
                                                                          </w:divBdr>
                                                                          <w:divsChild>
                                                                            <w:div w:id="20223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007387">
      <w:bodyDiv w:val="1"/>
      <w:marLeft w:val="0"/>
      <w:marRight w:val="0"/>
      <w:marTop w:val="0"/>
      <w:marBottom w:val="0"/>
      <w:divBdr>
        <w:top w:val="none" w:sz="0" w:space="0" w:color="auto"/>
        <w:left w:val="none" w:sz="0" w:space="0" w:color="auto"/>
        <w:bottom w:val="none" w:sz="0" w:space="0" w:color="auto"/>
        <w:right w:val="none" w:sz="0" w:space="0" w:color="auto"/>
      </w:divBdr>
    </w:div>
    <w:div w:id="1701659547">
      <w:bodyDiv w:val="1"/>
      <w:marLeft w:val="0"/>
      <w:marRight w:val="0"/>
      <w:marTop w:val="0"/>
      <w:marBottom w:val="0"/>
      <w:divBdr>
        <w:top w:val="none" w:sz="0" w:space="0" w:color="auto"/>
        <w:left w:val="none" w:sz="0" w:space="0" w:color="auto"/>
        <w:bottom w:val="none" w:sz="0" w:space="0" w:color="auto"/>
        <w:right w:val="none" w:sz="0" w:space="0" w:color="auto"/>
      </w:divBdr>
    </w:div>
    <w:div w:id="1717587182">
      <w:bodyDiv w:val="1"/>
      <w:marLeft w:val="0"/>
      <w:marRight w:val="0"/>
      <w:marTop w:val="0"/>
      <w:marBottom w:val="0"/>
      <w:divBdr>
        <w:top w:val="none" w:sz="0" w:space="0" w:color="auto"/>
        <w:left w:val="none" w:sz="0" w:space="0" w:color="auto"/>
        <w:bottom w:val="none" w:sz="0" w:space="0" w:color="auto"/>
        <w:right w:val="none" w:sz="0" w:space="0" w:color="auto"/>
      </w:divBdr>
    </w:div>
    <w:div w:id="1787114225">
      <w:bodyDiv w:val="1"/>
      <w:marLeft w:val="0"/>
      <w:marRight w:val="0"/>
      <w:marTop w:val="0"/>
      <w:marBottom w:val="0"/>
      <w:divBdr>
        <w:top w:val="none" w:sz="0" w:space="0" w:color="auto"/>
        <w:left w:val="none" w:sz="0" w:space="0" w:color="auto"/>
        <w:bottom w:val="none" w:sz="0" w:space="0" w:color="auto"/>
        <w:right w:val="none" w:sz="0" w:space="0" w:color="auto"/>
      </w:divBdr>
    </w:div>
    <w:div w:id="1839419620">
      <w:bodyDiv w:val="1"/>
      <w:marLeft w:val="0"/>
      <w:marRight w:val="0"/>
      <w:marTop w:val="0"/>
      <w:marBottom w:val="0"/>
      <w:divBdr>
        <w:top w:val="none" w:sz="0" w:space="0" w:color="auto"/>
        <w:left w:val="none" w:sz="0" w:space="0" w:color="auto"/>
        <w:bottom w:val="none" w:sz="0" w:space="0" w:color="auto"/>
        <w:right w:val="none" w:sz="0" w:space="0" w:color="auto"/>
      </w:divBdr>
    </w:div>
    <w:div w:id="1884170325">
      <w:bodyDiv w:val="1"/>
      <w:marLeft w:val="0"/>
      <w:marRight w:val="0"/>
      <w:marTop w:val="0"/>
      <w:marBottom w:val="0"/>
      <w:divBdr>
        <w:top w:val="none" w:sz="0" w:space="0" w:color="auto"/>
        <w:left w:val="none" w:sz="0" w:space="0" w:color="auto"/>
        <w:bottom w:val="none" w:sz="0" w:space="0" w:color="auto"/>
        <w:right w:val="none" w:sz="0" w:space="0" w:color="auto"/>
      </w:divBdr>
    </w:div>
    <w:div w:id="1906798043">
      <w:bodyDiv w:val="1"/>
      <w:marLeft w:val="0"/>
      <w:marRight w:val="0"/>
      <w:marTop w:val="0"/>
      <w:marBottom w:val="0"/>
      <w:divBdr>
        <w:top w:val="none" w:sz="0" w:space="0" w:color="auto"/>
        <w:left w:val="none" w:sz="0" w:space="0" w:color="auto"/>
        <w:bottom w:val="none" w:sz="0" w:space="0" w:color="auto"/>
        <w:right w:val="none" w:sz="0" w:space="0" w:color="auto"/>
      </w:divBdr>
    </w:div>
    <w:div w:id="1908297787">
      <w:bodyDiv w:val="1"/>
      <w:marLeft w:val="0"/>
      <w:marRight w:val="0"/>
      <w:marTop w:val="0"/>
      <w:marBottom w:val="0"/>
      <w:divBdr>
        <w:top w:val="none" w:sz="0" w:space="0" w:color="auto"/>
        <w:left w:val="none" w:sz="0" w:space="0" w:color="auto"/>
        <w:bottom w:val="none" w:sz="0" w:space="0" w:color="auto"/>
        <w:right w:val="none" w:sz="0" w:space="0" w:color="auto"/>
      </w:divBdr>
    </w:div>
    <w:div w:id="1934432079">
      <w:bodyDiv w:val="1"/>
      <w:marLeft w:val="0"/>
      <w:marRight w:val="0"/>
      <w:marTop w:val="0"/>
      <w:marBottom w:val="0"/>
      <w:divBdr>
        <w:top w:val="none" w:sz="0" w:space="0" w:color="auto"/>
        <w:left w:val="none" w:sz="0" w:space="0" w:color="auto"/>
        <w:bottom w:val="none" w:sz="0" w:space="0" w:color="auto"/>
        <w:right w:val="none" w:sz="0" w:space="0" w:color="auto"/>
      </w:divBdr>
    </w:div>
    <w:div w:id="2008701439">
      <w:bodyDiv w:val="1"/>
      <w:marLeft w:val="0"/>
      <w:marRight w:val="0"/>
      <w:marTop w:val="0"/>
      <w:marBottom w:val="0"/>
      <w:divBdr>
        <w:top w:val="none" w:sz="0" w:space="0" w:color="auto"/>
        <w:left w:val="none" w:sz="0" w:space="0" w:color="auto"/>
        <w:bottom w:val="none" w:sz="0" w:space="0" w:color="auto"/>
        <w:right w:val="none" w:sz="0" w:space="0" w:color="auto"/>
      </w:divBdr>
    </w:div>
    <w:div w:id="2027364057">
      <w:bodyDiv w:val="1"/>
      <w:marLeft w:val="0"/>
      <w:marRight w:val="0"/>
      <w:marTop w:val="0"/>
      <w:marBottom w:val="0"/>
      <w:divBdr>
        <w:top w:val="none" w:sz="0" w:space="0" w:color="auto"/>
        <w:left w:val="none" w:sz="0" w:space="0" w:color="auto"/>
        <w:bottom w:val="none" w:sz="0" w:space="0" w:color="auto"/>
        <w:right w:val="none" w:sz="0" w:space="0" w:color="auto"/>
      </w:divBdr>
    </w:div>
    <w:div w:id="2046787355">
      <w:bodyDiv w:val="1"/>
      <w:marLeft w:val="0"/>
      <w:marRight w:val="0"/>
      <w:marTop w:val="0"/>
      <w:marBottom w:val="0"/>
      <w:divBdr>
        <w:top w:val="none" w:sz="0" w:space="0" w:color="auto"/>
        <w:left w:val="none" w:sz="0" w:space="0" w:color="auto"/>
        <w:bottom w:val="none" w:sz="0" w:space="0" w:color="auto"/>
        <w:right w:val="none" w:sz="0" w:space="0" w:color="auto"/>
      </w:divBdr>
    </w:div>
    <w:div w:id="2067027635">
      <w:bodyDiv w:val="1"/>
      <w:marLeft w:val="0"/>
      <w:marRight w:val="0"/>
      <w:marTop w:val="0"/>
      <w:marBottom w:val="0"/>
      <w:divBdr>
        <w:top w:val="none" w:sz="0" w:space="0" w:color="auto"/>
        <w:left w:val="none" w:sz="0" w:space="0" w:color="auto"/>
        <w:bottom w:val="none" w:sz="0" w:space="0" w:color="auto"/>
        <w:right w:val="none" w:sz="0" w:space="0" w:color="auto"/>
      </w:divBdr>
    </w:div>
    <w:div w:id="20786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gear.com/about/regulatory/" TargetMode="External"/><Relationship Id="rId18" Type="http://schemas.openxmlformats.org/officeDocument/2006/relationships/hyperlink" Target="https://kb.netgear.com/000062897/UKCA-Declarations-of-Conformity" TargetMode="External"/><Relationship Id="rId26" Type="http://schemas.openxmlformats.org/officeDocument/2006/relationships/hyperlink" Target="https://www.netgear.com/about/regulatory/" TargetMode="External"/><Relationship Id="rId3" Type="http://schemas.openxmlformats.org/officeDocument/2006/relationships/customXml" Target="../customXml/item3.xml"/><Relationship Id="rId21" Type="http://schemas.openxmlformats.org/officeDocument/2006/relationships/hyperlink" Target="https://www.bipt.be/operators/general-holders-licence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etgear.com/about/regulatory/" TargetMode="External"/><Relationship Id="rId17" Type="http://schemas.openxmlformats.org/officeDocument/2006/relationships/hyperlink" Target="http://support.netgear.com/app/answers/detail/a_id/11621/" TargetMode="External"/><Relationship Id="rId25" Type="http://schemas.openxmlformats.org/officeDocument/2006/relationships/hyperlink" Target="https://www.netgear.com/about/regulatory/"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s://www.bipt.be/consumers/free-use-of-radio" TargetMode="External"/><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tgear.com/about/regulatory/"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5.gif"/><Relationship Id="rId28" Type="http://schemas.openxmlformats.org/officeDocument/2006/relationships/hyperlink" Target="https://recyclemyelectronics.ca/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EPRA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tang.netgear.com:7002/Agile/PCMServlet" TargetMode="External"/><Relationship Id="rId22" Type="http://schemas.openxmlformats.org/officeDocument/2006/relationships/hyperlink" Target="https://www.netgear.com/about/regulatory/" TargetMode="External"/><Relationship Id="rId27" Type="http://schemas.openxmlformats.org/officeDocument/2006/relationships/hyperlink" Target="https://www.netgear.com/about/regulatory/" TargetMode="External"/><Relationship Id="rId30" Type="http://schemas.openxmlformats.org/officeDocument/2006/relationships/hyperlink" Target="https://www.netgear.com/fr/about/regulato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E891C96935744F88197A8A27503256" ma:contentTypeVersion="13" ma:contentTypeDescription="Create a new document." ma:contentTypeScope="" ma:versionID="29edcef112954c6f0bc22fabcf97c735">
  <xsd:schema xmlns:xsd="http://www.w3.org/2001/XMLSchema" xmlns:xs="http://www.w3.org/2001/XMLSchema" xmlns:p="http://schemas.microsoft.com/office/2006/metadata/properties" xmlns:ns3="94e07db7-62c7-4a01-a557-389a5e36f29a" xmlns:ns4="01e74a2c-5aa7-4161-bd04-e7b47985a814" targetNamespace="http://schemas.microsoft.com/office/2006/metadata/properties" ma:root="true" ma:fieldsID="129cb3d195e7b9507554d03efa1d5743" ns3:_="" ns4:_="">
    <xsd:import namespace="94e07db7-62c7-4a01-a557-389a5e36f29a"/>
    <xsd:import namespace="01e74a2c-5aa7-4161-bd04-e7b47985a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b7-62c7-4a01-a557-389a5e36f2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4a2c-5aa7-4161-bd04-e7b47985a8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B5E7B-D252-43BF-A543-6AD8C02C8AD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01e74a2c-5aa7-4161-bd04-e7b47985a814"/>
    <ds:schemaRef ds:uri="http://schemas.openxmlformats.org/package/2006/metadata/core-properties"/>
    <ds:schemaRef ds:uri="http://schemas.microsoft.com/office/infopath/2007/PartnerControls"/>
    <ds:schemaRef ds:uri="94e07db7-62c7-4a01-a557-389a5e36f29a"/>
    <ds:schemaRef ds:uri="http://purl.org/dc/dcmitype/"/>
  </ds:schemaRefs>
</ds:datastoreItem>
</file>

<file path=customXml/itemProps2.xml><?xml version="1.0" encoding="utf-8"?>
<ds:datastoreItem xmlns:ds="http://schemas.openxmlformats.org/officeDocument/2006/customXml" ds:itemID="{47150496-CAD4-474D-A37A-C1F36FB6000D}">
  <ds:schemaRefs>
    <ds:schemaRef ds:uri="http://schemas.openxmlformats.org/officeDocument/2006/bibliography"/>
  </ds:schemaRefs>
</ds:datastoreItem>
</file>

<file path=customXml/itemProps3.xml><?xml version="1.0" encoding="utf-8"?>
<ds:datastoreItem xmlns:ds="http://schemas.openxmlformats.org/officeDocument/2006/customXml" ds:itemID="{5B276F34-5125-49B2-9C5A-4C7024865914}">
  <ds:schemaRefs>
    <ds:schemaRef ds:uri="http://schemas.microsoft.com/sharepoint/v3/contenttype/forms"/>
  </ds:schemaRefs>
</ds:datastoreItem>
</file>

<file path=customXml/itemProps4.xml><?xml version="1.0" encoding="utf-8"?>
<ds:datastoreItem xmlns:ds="http://schemas.openxmlformats.org/officeDocument/2006/customXml" ds:itemID="{8720F1D3-5D09-46D4-8C46-E3AD86A2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db7-62c7-4a01-a557-389a5e36f29a"/>
    <ds:schemaRef ds:uri="01e74a2c-5aa7-4161-bd04-e7b47985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Netgear, Inc.</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Sarah Kuan</cp:lastModifiedBy>
  <cp:revision>5</cp:revision>
  <cp:lastPrinted>2020-05-11T20:54:00Z</cp:lastPrinted>
  <dcterms:created xsi:type="dcterms:W3CDTF">2022-11-09T03:31:00Z</dcterms:created>
  <dcterms:modified xsi:type="dcterms:W3CDTF">2022-11-10T04:03:00Z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0x010100C9E891C96935744F88197A8A27503256</vt:lpwstr>
  </property>
</Properties>
</file>