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A971" w14:textId="77777777" w:rsidR="00FD43BB" w:rsidRDefault="00FD43BB" w:rsidP="00E253EC">
      <w:pPr>
        <w:tabs>
          <w:tab w:val="left" w:pos="3150"/>
        </w:tabs>
        <w:rPr>
          <w:rFonts w:cs="Arial"/>
        </w:rPr>
      </w:pPr>
    </w:p>
    <w:p w14:paraId="10B8183D" w14:textId="77777777" w:rsidR="00502E0D" w:rsidRDefault="00A36BD1" w:rsidP="00E253EC">
      <w:pPr>
        <w:tabs>
          <w:tab w:val="left" w:pos="3150"/>
        </w:tabs>
        <w:rPr>
          <w:rFonts w:cs="Arial"/>
        </w:rPr>
      </w:pPr>
      <w:r>
        <w:rPr>
          <w:noProof/>
        </w:rPr>
        <w:drawing>
          <wp:inline distT="0" distB="0" distL="0" distR="0" wp14:anchorId="3E6D27D8" wp14:editId="7C9E6CBF">
            <wp:extent cx="2886075" cy="495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6075" cy="495300"/>
                    </a:xfrm>
                    <a:prstGeom prst="rect">
                      <a:avLst/>
                    </a:prstGeom>
                  </pic:spPr>
                </pic:pic>
              </a:graphicData>
            </a:graphic>
          </wp:inline>
        </w:drawing>
      </w:r>
    </w:p>
    <w:p w14:paraId="01869AE1" w14:textId="77777777" w:rsidR="004053EC" w:rsidRDefault="00502E0D" w:rsidP="00502E0D">
      <w:pPr>
        <w:pStyle w:val="Title"/>
      </w:pPr>
      <w:r>
        <w:t>Konformitätserklärung</w:t>
      </w:r>
    </w:p>
    <w:sdt>
      <w:sdtPr>
        <w:rPr>
          <w:rFonts w:ascii="Arial" w:eastAsia="新細明體" w:hAnsi="Arial" w:cstheme="minorBidi"/>
          <w:color w:val="auto"/>
          <w:sz w:val="18"/>
          <w:szCs w:val="22"/>
        </w:rPr>
        <w:id w:val="2025824657"/>
        <w:docPartObj>
          <w:docPartGallery w:val="Table of Contents"/>
          <w:docPartUnique/>
        </w:docPartObj>
      </w:sdtPr>
      <w:sdtEndPr>
        <w:rPr>
          <w:b/>
          <w:bCs/>
          <w:noProof/>
        </w:rPr>
      </w:sdtEndPr>
      <w:sdtContent>
        <w:p w14:paraId="15DDFB2A" w14:textId="6D504B28" w:rsidR="00B45971" w:rsidRDefault="00B45971" w:rsidP="00481C42">
          <w:pPr>
            <w:pStyle w:val="TOCHeading"/>
          </w:pPr>
          <w:r>
            <w:t>Inhalt</w:t>
          </w:r>
        </w:p>
        <w:p w14:paraId="79F7DE7E" w14:textId="40120DE7" w:rsidR="00347E70" w:rsidRDefault="00B45971">
          <w:pPr>
            <w:pStyle w:val="TOC1"/>
            <w:rPr>
              <w:rFonts w:asciiTheme="minorHAnsi" w:eastAsiaTheme="minorEastAsia" w:hAnsiTheme="minorHAnsi"/>
              <w:noProof/>
              <w:sz w:val="22"/>
              <w:lang w:val="en-US" w:eastAsia="zh-TW"/>
            </w:rPr>
          </w:pPr>
          <w:r>
            <w:fldChar w:fldCharType="begin"/>
          </w:r>
          <w:r>
            <w:instrText xml:space="preserve"> TOC \o "1-3" \h \z \u </w:instrText>
          </w:r>
          <w:r>
            <w:fldChar w:fldCharType="separate"/>
          </w:r>
          <w:hyperlink w:anchor="_Toc118968903" w:history="1">
            <w:r w:rsidR="00347E70" w:rsidRPr="00174E38">
              <w:rPr>
                <w:rStyle w:val="Hyperlink"/>
                <w:noProof/>
              </w:rPr>
              <w:t>Sicherheitsinformationen und -hinweise</w:t>
            </w:r>
            <w:r w:rsidR="00347E70">
              <w:rPr>
                <w:noProof/>
                <w:webHidden/>
              </w:rPr>
              <w:tab/>
            </w:r>
            <w:r w:rsidR="00347E70">
              <w:rPr>
                <w:noProof/>
                <w:webHidden/>
              </w:rPr>
              <w:fldChar w:fldCharType="begin"/>
            </w:r>
            <w:r w:rsidR="00347E70">
              <w:rPr>
                <w:noProof/>
                <w:webHidden/>
              </w:rPr>
              <w:instrText xml:space="preserve"> PAGEREF _Toc118968903 \h </w:instrText>
            </w:r>
            <w:r w:rsidR="00347E70">
              <w:rPr>
                <w:noProof/>
                <w:webHidden/>
              </w:rPr>
            </w:r>
            <w:r w:rsidR="00347E70">
              <w:rPr>
                <w:noProof/>
                <w:webHidden/>
              </w:rPr>
              <w:fldChar w:fldCharType="separate"/>
            </w:r>
            <w:r w:rsidR="00347E70">
              <w:rPr>
                <w:noProof/>
                <w:webHidden/>
              </w:rPr>
              <w:t>2</w:t>
            </w:r>
            <w:r w:rsidR="00347E70">
              <w:rPr>
                <w:noProof/>
                <w:webHidden/>
              </w:rPr>
              <w:fldChar w:fldCharType="end"/>
            </w:r>
          </w:hyperlink>
        </w:p>
        <w:p w14:paraId="351F72B2" w14:textId="1A0CF5FE" w:rsidR="00347E70" w:rsidRDefault="00F946ED">
          <w:pPr>
            <w:pStyle w:val="TOC3"/>
            <w:rPr>
              <w:rFonts w:asciiTheme="minorHAnsi" w:eastAsiaTheme="minorEastAsia" w:hAnsiTheme="minorHAnsi"/>
              <w:noProof/>
              <w:sz w:val="22"/>
              <w:lang w:val="en-US" w:eastAsia="zh-TW"/>
            </w:rPr>
          </w:pPr>
          <w:hyperlink w:anchor="_Toc118968904" w:history="1">
            <w:r w:rsidR="00347E70" w:rsidRPr="00174E38">
              <w:rPr>
                <w:rStyle w:val="Hyperlink"/>
                <w:noProof/>
              </w:rPr>
              <w:t>Sicherer Umgang mit und sichere Verwendung von Akkus und Batterien</w:t>
            </w:r>
            <w:r w:rsidR="00347E70">
              <w:rPr>
                <w:noProof/>
                <w:webHidden/>
              </w:rPr>
              <w:tab/>
            </w:r>
            <w:r w:rsidR="00347E70">
              <w:rPr>
                <w:noProof/>
                <w:webHidden/>
              </w:rPr>
              <w:fldChar w:fldCharType="begin"/>
            </w:r>
            <w:r w:rsidR="00347E70">
              <w:rPr>
                <w:noProof/>
                <w:webHidden/>
              </w:rPr>
              <w:instrText xml:space="preserve"> PAGEREF _Toc118968904 \h </w:instrText>
            </w:r>
            <w:r w:rsidR="00347E70">
              <w:rPr>
                <w:noProof/>
                <w:webHidden/>
              </w:rPr>
            </w:r>
            <w:r w:rsidR="00347E70">
              <w:rPr>
                <w:noProof/>
                <w:webHidden/>
              </w:rPr>
              <w:fldChar w:fldCharType="separate"/>
            </w:r>
            <w:r w:rsidR="00347E70">
              <w:rPr>
                <w:noProof/>
                <w:webHidden/>
              </w:rPr>
              <w:t>2</w:t>
            </w:r>
            <w:r w:rsidR="00347E70">
              <w:rPr>
                <w:noProof/>
                <w:webHidden/>
              </w:rPr>
              <w:fldChar w:fldCharType="end"/>
            </w:r>
          </w:hyperlink>
        </w:p>
        <w:p w14:paraId="127FF84C" w14:textId="55DF6CF7"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05" w:history="1">
            <w:r w:rsidR="00347E70" w:rsidRPr="00174E38">
              <w:rPr>
                <w:rStyle w:val="Hyperlink"/>
                <w:noProof/>
              </w:rPr>
              <w:t>Kennzeichnung finden</w:t>
            </w:r>
            <w:r w:rsidR="00347E70">
              <w:rPr>
                <w:noProof/>
                <w:webHidden/>
              </w:rPr>
              <w:tab/>
            </w:r>
            <w:r w:rsidR="00347E70">
              <w:rPr>
                <w:noProof/>
                <w:webHidden/>
              </w:rPr>
              <w:fldChar w:fldCharType="begin"/>
            </w:r>
            <w:r w:rsidR="00347E70">
              <w:rPr>
                <w:noProof/>
                <w:webHidden/>
              </w:rPr>
              <w:instrText xml:space="preserve"> PAGEREF _Toc118968905 \h </w:instrText>
            </w:r>
            <w:r w:rsidR="00347E70">
              <w:rPr>
                <w:noProof/>
                <w:webHidden/>
              </w:rPr>
            </w:r>
            <w:r w:rsidR="00347E70">
              <w:rPr>
                <w:noProof/>
                <w:webHidden/>
              </w:rPr>
              <w:fldChar w:fldCharType="separate"/>
            </w:r>
            <w:r w:rsidR="00347E70">
              <w:rPr>
                <w:noProof/>
                <w:webHidden/>
              </w:rPr>
              <w:t>2</w:t>
            </w:r>
            <w:r w:rsidR="00347E70">
              <w:rPr>
                <w:noProof/>
                <w:webHidden/>
              </w:rPr>
              <w:fldChar w:fldCharType="end"/>
            </w:r>
          </w:hyperlink>
        </w:p>
        <w:p w14:paraId="52654916" w14:textId="60DAC8B2"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06" w:history="1">
            <w:r w:rsidR="00347E70" w:rsidRPr="00174E38">
              <w:rPr>
                <w:rStyle w:val="Hyperlink"/>
                <w:noProof/>
              </w:rPr>
              <w:t>Verwendung an Orten, an denen sich Kinder aufhalten können</w:t>
            </w:r>
            <w:r w:rsidR="00347E70">
              <w:rPr>
                <w:noProof/>
                <w:webHidden/>
              </w:rPr>
              <w:tab/>
            </w:r>
            <w:r w:rsidR="00347E70">
              <w:rPr>
                <w:noProof/>
                <w:webHidden/>
              </w:rPr>
              <w:fldChar w:fldCharType="begin"/>
            </w:r>
            <w:r w:rsidR="00347E70">
              <w:rPr>
                <w:noProof/>
                <w:webHidden/>
              </w:rPr>
              <w:instrText xml:space="preserve"> PAGEREF _Toc118968906 \h </w:instrText>
            </w:r>
            <w:r w:rsidR="00347E70">
              <w:rPr>
                <w:noProof/>
                <w:webHidden/>
              </w:rPr>
            </w:r>
            <w:r w:rsidR="00347E70">
              <w:rPr>
                <w:noProof/>
                <w:webHidden/>
              </w:rPr>
              <w:fldChar w:fldCharType="separate"/>
            </w:r>
            <w:r w:rsidR="00347E70">
              <w:rPr>
                <w:noProof/>
                <w:webHidden/>
              </w:rPr>
              <w:t>2</w:t>
            </w:r>
            <w:r w:rsidR="00347E70">
              <w:rPr>
                <w:noProof/>
                <w:webHidden/>
              </w:rPr>
              <w:fldChar w:fldCharType="end"/>
            </w:r>
          </w:hyperlink>
        </w:p>
        <w:p w14:paraId="12B1A3CB" w14:textId="64102287"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07" w:history="1">
            <w:r w:rsidR="00347E70" w:rsidRPr="00174E38">
              <w:rPr>
                <w:rStyle w:val="Hyperlink"/>
                <w:noProof/>
              </w:rPr>
              <w:t>Hinweise für beschränkten Zugang</w:t>
            </w:r>
            <w:r w:rsidR="00347E70">
              <w:rPr>
                <w:noProof/>
                <w:webHidden/>
              </w:rPr>
              <w:tab/>
            </w:r>
            <w:r w:rsidR="00347E70">
              <w:rPr>
                <w:noProof/>
                <w:webHidden/>
              </w:rPr>
              <w:fldChar w:fldCharType="begin"/>
            </w:r>
            <w:r w:rsidR="00347E70">
              <w:rPr>
                <w:noProof/>
                <w:webHidden/>
              </w:rPr>
              <w:instrText xml:space="preserve"> PAGEREF _Toc118968907 \h </w:instrText>
            </w:r>
            <w:r w:rsidR="00347E70">
              <w:rPr>
                <w:noProof/>
                <w:webHidden/>
              </w:rPr>
            </w:r>
            <w:r w:rsidR="00347E70">
              <w:rPr>
                <w:noProof/>
                <w:webHidden/>
              </w:rPr>
              <w:fldChar w:fldCharType="separate"/>
            </w:r>
            <w:r w:rsidR="00347E70">
              <w:rPr>
                <w:noProof/>
                <w:webHidden/>
              </w:rPr>
              <w:t>3</w:t>
            </w:r>
            <w:r w:rsidR="00347E70">
              <w:rPr>
                <w:noProof/>
                <w:webHidden/>
              </w:rPr>
              <w:fldChar w:fldCharType="end"/>
            </w:r>
          </w:hyperlink>
        </w:p>
        <w:p w14:paraId="43E54B35" w14:textId="5DA31477"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08" w:history="1">
            <w:r w:rsidR="00347E70" w:rsidRPr="00174E38">
              <w:rPr>
                <w:rStyle w:val="Hyperlink"/>
                <w:noProof/>
              </w:rPr>
              <w:t>Hinweis für Koaxialkabel-TV und Internetanschluss (bei ausgewählten Modellen)</w:t>
            </w:r>
            <w:r w:rsidR="00347E70">
              <w:rPr>
                <w:noProof/>
                <w:webHidden/>
              </w:rPr>
              <w:tab/>
            </w:r>
            <w:r w:rsidR="00347E70">
              <w:rPr>
                <w:noProof/>
                <w:webHidden/>
              </w:rPr>
              <w:fldChar w:fldCharType="begin"/>
            </w:r>
            <w:r w:rsidR="00347E70">
              <w:rPr>
                <w:noProof/>
                <w:webHidden/>
              </w:rPr>
              <w:instrText xml:space="preserve"> PAGEREF _Toc118968908 \h </w:instrText>
            </w:r>
            <w:r w:rsidR="00347E70">
              <w:rPr>
                <w:noProof/>
                <w:webHidden/>
              </w:rPr>
            </w:r>
            <w:r w:rsidR="00347E70">
              <w:rPr>
                <w:noProof/>
                <w:webHidden/>
              </w:rPr>
              <w:fldChar w:fldCharType="separate"/>
            </w:r>
            <w:r w:rsidR="00347E70">
              <w:rPr>
                <w:noProof/>
                <w:webHidden/>
              </w:rPr>
              <w:t>3</w:t>
            </w:r>
            <w:r w:rsidR="00347E70">
              <w:rPr>
                <w:noProof/>
                <w:webHidden/>
              </w:rPr>
              <w:fldChar w:fldCharType="end"/>
            </w:r>
          </w:hyperlink>
        </w:p>
        <w:p w14:paraId="4E830D64" w14:textId="3CAEE772" w:rsidR="00347E70" w:rsidRDefault="00F946ED">
          <w:pPr>
            <w:pStyle w:val="TOC1"/>
            <w:rPr>
              <w:rFonts w:asciiTheme="minorHAnsi" w:eastAsiaTheme="minorEastAsia" w:hAnsiTheme="minorHAnsi"/>
              <w:noProof/>
              <w:sz w:val="22"/>
              <w:lang w:val="en-US" w:eastAsia="zh-TW"/>
            </w:rPr>
          </w:pPr>
          <w:hyperlink w:anchor="_Toc118968909" w:history="1">
            <w:r w:rsidR="00347E70" w:rsidRPr="00174E38">
              <w:rPr>
                <w:rStyle w:val="Hyperlink"/>
                <w:noProof/>
              </w:rPr>
              <w:t>Informationen zur Einhaltung rechtlicher Vorschriften</w:t>
            </w:r>
            <w:r w:rsidR="00347E70">
              <w:rPr>
                <w:noProof/>
                <w:webHidden/>
              </w:rPr>
              <w:tab/>
            </w:r>
            <w:r w:rsidR="00347E70">
              <w:rPr>
                <w:noProof/>
                <w:webHidden/>
              </w:rPr>
              <w:fldChar w:fldCharType="begin"/>
            </w:r>
            <w:r w:rsidR="00347E70">
              <w:rPr>
                <w:noProof/>
                <w:webHidden/>
              </w:rPr>
              <w:instrText xml:space="preserve"> PAGEREF _Toc118968909 \h </w:instrText>
            </w:r>
            <w:r w:rsidR="00347E70">
              <w:rPr>
                <w:noProof/>
                <w:webHidden/>
              </w:rPr>
            </w:r>
            <w:r w:rsidR="00347E70">
              <w:rPr>
                <w:noProof/>
                <w:webHidden/>
              </w:rPr>
              <w:fldChar w:fldCharType="separate"/>
            </w:r>
            <w:r w:rsidR="00347E70">
              <w:rPr>
                <w:noProof/>
                <w:webHidden/>
              </w:rPr>
              <w:t>3</w:t>
            </w:r>
            <w:r w:rsidR="00347E70">
              <w:rPr>
                <w:noProof/>
                <w:webHidden/>
              </w:rPr>
              <w:fldChar w:fldCharType="end"/>
            </w:r>
          </w:hyperlink>
        </w:p>
        <w:p w14:paraId="14A586B4" w14:textId="51700A77"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10" w:history="1">
            <w:r w:rsidR="00347E70" w:rsidRPr="00174E38">
              <w:rPr>
                <w:rStyle w:val="Hyperlink"/>
                <w:noProof/>
              </w:rPr>
              <w:t>Für die Verwendung im Außenbereich zertifizierte Geräte</w:t>
            </w:r>
            <w:r w:rsidR="00347E70">
              <w:rPr>
                <w:noProof/>
                <w:webHidden/>
              </w:rPr>
              <w:tab/>
            </w:r>
            <w:r w:rsidR="00347E70">
              <w:rPr>
                <w:noProof/>
                <w:webHidden/>
              </w:rPr>
              <w:fldChar w:fldCharType="begin"/>
            </w:r>
            <w:r w:rsidR="00347E70">
              <w:rPr>
                <w:noProof/>
                <w:webHidden/>
              </w:rPr>
              <w:instrText xml:space="preserve"> PAGEREF _Toc118968910 \h </w:instrText>
            </w:r>
            <w:r w:rsidR="00347E70">
              <w:rPr>
                <w:noProof/>
                <w:webHidden/>
              </w:rPr>
            </w:r>
            <w:r w:rsidR="00347E70">
              <w:rPr>
                <w:noProof/>
                <w:webHidden/>
              </w:rPr>
              <w:fldChar w:fldCharType="separate"/>
            </w:r>
            <w:r w:rsidR="00347E70">
              <w:rPr>
                <w:noProof/>
                <w:webHidden/>
              </w:rPr>
              <w:t>4</w:t>
            </w:r>
            <w:r w:rsidR="00347E70">
              <w:rPr>
                <w:noProof/>
                <w:webHidden/>
              </w:rPr>
              <w:fldChar w:fldCharType="end"/>
            </w:r>
          </w:hyperlink>
        </w:p>
        <w:p w14:paraId="2D2D64E9" w14:textId="043DA834"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11" w:history="1">
            <w:r w:rsidR="00347E70" w:rsidRPr="00174E38">
              <w:rPr>
                <w:rStyle w:val="Hyperlink"/>
                <w:noProof/>
              </w:rPr>
              <w:t>Geräte mit externen Antennen</w:t>
            </w:r>
            <w:r w:rsidR="00347E70">
              <w:rPr>
                <w:noProof/>
                <w:webHidden/>
              </w:rPr>
              <w:tab/>
            </w:r>
            <w:r w:rsidR="00347E70">
              <w:rPr>
                <w:noProof/>
                <w:webHidden/>
              </w:rPr>
              <w:fldChar w:fldCharType="begin"/>
            </w:r>
            <w:r w:rsidR="00347E70">
              <w:rPr>
                <w:noProof/>
                <w:webHidden/>
              </w:rPr>
              <w:instrText xml:space="preserve"> PAGEREF _Toc118968911 \h </w:instrText>
            </w:r>
            <w:r w:rsidR="00347E70">
              <w:rPr>
                <w:noProof/>
                <w:webHidden/>
              </w:rPr>
            </w:r>
            <w:r w:rsidR="00347E70">
              <w:rPr>
                <w:noProof/>
                <w:webHidden/>
              </w:rPr>
              <w:fldChar w:fldCharType="separate"/>
            </w:r>
            <w:r w:rsidR="00347E70">
              <w:rPr>
                <w:noProof/>
                <w:webHidden/>
              </w:rPr>
              <w:t>4</w:t>
            </w:r>
            <w:r w:rsidR="00347E70">
              <w:rPr>
                <w:noProof/>
                <w:webHidden/>
              </w:rPr>
              <w:fldChar w:fldCharType="end"/>
            </w:r>
          </w:hyperlink>
        </w:p>
        <w:p w14:paraId="4184F6FE" w14:textId="253E29AE" w:rsidR="00347E70" w:rsidRDefault="00F946ED">
          <w:pPr>
            <w:pStyle w:val="TOC1"/>
            <w:rPr>
              <w:rFonts w:asciiTheme="minorHAnsi" w:eastAsiaTheme="minorEastAsia" w:hAnsiTheme="minorHAnsi"/>
              <w:noProof/>
              <w:sz w:val="22"/>
              <w:lang w:val="en-US" w:eastAsia="zh-TW"/>
            </w:rPr>
          </w:pPr>
          <w:hyperlink w:anchor="_Toc118968912" w:history="1">
            <w:r w:rsidR="00347E70" w:rsidRPr="00174E38">
              <w:rPr>
                <w:rStyle w:val="Hyperlink"/>
                <w:noProof/>
              </w:rPr>
              <w:t>Rechtsvorschriften für den Betrieb in Europa (GB, UK und EU)</w:t>
            </w:r>
            <w:r w:rsidR="00347E70">
              <w:rPr>
                <w:noProof/>
                <w:webHidden/>
              </w:rPr>
              <w:tab/>
            </w:r>
            <w:r w:rsidR="00347E70">
              <w:rPr>
                <w:noProof/>
                <w:webHidden/>
              </w:rPr>
              <w:fldChar w:fldCharType="begin"/>
            </w:r>
            <w:r w:rsidR="00347E70">
              <w:rPr>
                <w:noProof/>
                <w:webHidden/>
              </w:rPr>
              <w:instrText xml:space="preserve"> PAGEREF _Toc118968912 \h </w:instrText>
            </w:r>
            <w:r w:rsidR="00347E70">
              <w:rPr>
                <w:noProof/>
                <w:webHidden/>
              </w:rPr>
            </w:r>
            <w:r w:rsidR="00347E70">
              <w:rPr>
                <w:noProof/>
                <w:webHidden/>
              </w:rPr>
              <w:fldChar w:fldCharType="separate"/>
            </w:r>
            <w:r w:rsidR="00347E70">
              <w:rPr>
                <w:noProof/>
                <w:webHidden/>
              </w:rPr>
              <w:t>5</w:t>
            </w:r>
            <w:r w:rsidR="00347E70">
              <w:rPr>
                <w:noProof/>
                <w:webHidden/>
              </w:rPr>
              <w:fldChar w:fldCharType="end"/>
            </w:r>
          </w:hyperlink>
        </w:p>
        <w:p w14:paraId="25043888" w14:textId="13CC2258"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13" w:history="1">
            <w:r w:rsidR="00347E70" w:rsidRPr="00174E38">
              <w:rPr>
                <w:rStyle w:val="Hyperlink"/>
                <w:noProof/>
              </w:rPr>
              <w:t>Einhaltung der Funkanlagenrichtlinie 2014/53/EU</w:t>
            </w:r>
            <w:r w:rsidR="00347E70">
              <w:rPr>
                <w:noProof/>
                <w:webHidden/>
              </w:rPr>
              <w:tab/>
            </w:r>
            <w:r w:rsidR="00347E70">
              <w:rPr>
                <w:noProof/>
                <w:webHidden/>
              </w:rPr>
              <w:fldChar w:fldCharType="begin"/>
            </w:r>
            <w:r w:rsidR="00347E70">
              <w:rPr>
                <w:noProof/>
                <w:webHidden/>
              </w:rPr>
              <w:instrText xml:space="preserve"> PAGEREF _Toc118968913 \h </w:instrText>
            </w:r>
            <w:r w:rsidR="00347E70">
              <w:rPr>
                <w:noProof/>
                <w:webHidden/>
              </w:rPr>
            </w:r>
            <w:r w:rsidR="00347E70">
              <w:rPr>
                <w:noProof/>
                <w:webHidden/>
              </w:rPr>
              <w:fldChar w:fldCharType="separate"/>
            </w:r>
            <w:r w:rsidR="00347E70">
              <w:rPr>
                <w:noProof/>
                <w:webHidden/>
              </w:rPr>
              <w:t>6</w:t>
            </w:r>
            <w:r w:rsidR="00347E70">
              <w:rPr>
                <w:noProof/>
                <w:webHidden/>
              </w:rPr>
              <w:fldChar w:fldCharType="end"/>
            </w:r>
          </w:hyperlink>
        </w:p>
        <w:p w14:paraId="2DF96D1C" w14:textId="3C1925EA" w:rsidR="00347E70" w:rsidRDefault="00F946ED">
          <w:pPr>
            <w:pStyle w:val="TOC3"/>
            <w:rPr>
              <w:rFonts w:asciiTheme="minorHAnsi" w:eastAsiaTheme="minorEastAsia" w:hAnsiTheme="minorHAnsi"/>
              <w:noProof/>
              <w:sz w:val="22"/>
              <w:lang w:val="en-US" w:eastAsia="zh-TW"/>
            </w:rPr>
          </w:pPr>
          <w:hyperlink w:anchor="_Toc118968914" w:history="1">
            <w:r w:rsidR="00347E70" w:rsidRPr="00174E38">
              <w:rPr>
                <w:rStyle w:val="Hyperlink"/>
                <w:noProof/>
              </w:rPr>
              <w:t>Hinweise zur Belastung durch Funkwellen</w:t>
            </w:r>
            <w:r w:rsidR="00347E70">
              <w:rPr>
                <w:noProof/>
                <w:webHidden/>
              </w:rPr>
              <w:tab/>
            </w:r>
            <w:r w:rsidR="00347E70">
              <w:rPr>
                <w:noProof/>
                <w:webHidden/>
              </w:rPr>
              <w:fldChar w:fldCharType="begin"/>
            </w:r>
            <w:r w:rsidR="00347E70">
              <w:rPr>
                <w:noProof/>
                <w:webHidden/>
              </w:rPr>
              <w:instrText xml:space="preserve"> PAGEREF _Toc118968914 \h </w:instrText>
            </w:r>
            <w:r w:rsidR="00347E70">
              <w:rPr>
                <w:noProof/>
                <w:webHidden/>
              </w:rPr>
            </w:r>
            <w:r w:rsidR="00347E70">
              <w:rPr>
                <w:noProof/>
                <w:webHidden/>
              </w:rPr>
              <w:fldChar w:fldCharType="separate"/>
            </w:r>
            <w:r w:rsidR="00347E70">
              <w:rPr>
                <w:noProof/>
                <w:webHidden/>
              </w:rPr>
              <w:t>6</w:t>
            </w:r>
            <w:r w:rsidR="00347E70">
              <w:rPr>
                <w:noProof/>
                <w:webHidden/>
              </w:rPr>
              <w:fldChar w:fldCharType="end"/>
            </w:r>
          </w:hyperlink>
        </w:p>
        <w:p w14:paraId="54DB8B62" w14:textId="3C98D9EE"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15" w:history="1">
            <w:r w:rsidR="00347E70" w:rsidRPr="00174E38">
              <w:rPr>
                <w:rStyle w:val="Hyperlink"/>
                <w:noProof/>
              </w:rPr>
              <w:t>Spezifische Sicherheitsvorkehrungen für EMC</w:t>
            </w:r>
            <w:r w:rsidR="00347E70">
              <w:rPr>
                <w:noProof/>
                <w:webHidden/>
              </w:rPr>
              <w:tab/>
            </w:r>
            <w:r w:rsidR="00347E70">
              <w:rPr>
                <w:noProof/>
                <w:webHidden/>
              </w:rPr>
              <w:fldChar w:fldCharType="begin"/>
            </w:r>
            <w:r w:rsidR="00347E70">
              <w:rPr>
                <w:noProof/>
                <w:webHidden/>
              </w:rPr>
              <w:instrText xml:space="preserve"> PAGEREF _Toc118968915 \h </w:instrText>
            </w:r>
            <w:r w:rsidR="00347E70">
              <w:rPr>
                <w:noProof/>
                <w:webHidden/>
              </w:rPr>
            </w:r>
            <w:r w:rsidR="00347E70">
              <w:rPr>
                <w:noProof/>
                <w:webHidden/>
              </w:rPr>
              <w:fldChar w:fldCharType="separate"/>
            </w:r>
            <w:r w:rsidR="00347E70">
              <w:rPr>
                <w:noProof/>
                <w:webHidden/>
              </w:rPr>
              <w:t>7</w:t>
            </w:r>
            <w:r w:rsidR="00347E70">
              <w:rPr>
                <w:noProof/>
                <w:webHidden/>
              </w:rPr>
              <w:fldChar w:fldCharType="end"/>
            </w:r>
          </w:hyperlink>
        </w:p>
        <w:p w14:paraId="057F21FF" w14:textId="2D8B9E10" w:rsidR="00347E70" w:rsidRDefault="00F946ED">
          <w:pPr>
            <w:pStyle w:val="TOC1"/>
            <w:rPr>
              <w:rFonts w:asciiTheme="minorHAnsi" w:eastAsiaTheme="minorEastAsia" w:hAnsiTheme="minorHAnsi"/>
              <w:noProof/>
              <w:sz w:val="22"/>
              <w:lang w:val="en-US" w:eastAsia="zh-TW"/>
            </w:rPr>
          </w:pPr>
          <w:hyperlink w:anchor="_Toc118968916" w:history="1">
            <w:r w:rsidR="00347E70" w:rsidRPr="00174E38">
              <w:rPr>
                <w:rStyle w:val="Hyperlink"/>
                <w:noProof/>
              </w:rPr>
              <w:t>Richtlinien der FCC für den Betrieb in den USA</w:t>
            </w:r>
            <w:r w:rsidR="00347E70">
              <w:rPr>
                <w:noProof/>
                <w:webHidden/>
              </w:rPr>
              <w:tab/>
            </w:r>
            <w:r w:rsidR="00347E70">
              <w:rPr>
                <w:noProof/>
                <w:webHidden/>
              </w:rPr>
              <w:fldChar w:fldCharType="begin"/>
            </w:r>
            <w:r w:rsidR="00347E70">
              <w:rPr>
                <w:noProof/>
                <w:webHidden/>
              </w:rPr>
              <w:instrText xml:space="preserve"> PAGEREF _Toc118968916 \h </w:instrText>
            </w:r>
            <w:r w:rsidR="00347E70">
              <w:rPr>
                <w:noProof/>
                <w:webHidden/>
              </w:rPr>
            </w:r>
            <w:r w:rsidR="00347E70">
              <w:rPr>
                <w:noProof/>
                <w:webHidden/>
              </w:rPr>
              <w:fldChar w:fldCharType="separate"/>
            </w:r>
            <w:r w:rsidR="00347E70">
              <w:rPr>
                <w:noProof/>
                <w:webHidden/>
              </w:rPr>
              <w:t>7</w:t>
            </w:r>
            <w:r w:rsidR="00347E70">
              <w:rPr>
                <w:noProof/>
                <w:webHidden/>
              </w:rPr>
              <w:fldChar w:fldCharType="end"/>
            </w:r>
          </w:hyperlink>
        </w:p>
        <w:p w14:paraId="7947DC9F" w14:textId="4EC96F84"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17" w:history="1">
            <w:r w:rsidR="00347E70" w:rsidRPr="00174E38">
              <w:rPr>
                <w:rStyle w:val="Hyperlink"/>
                <w:noProof/>
              </w:rPr>
              <w:t>FCC-Konformitätserklärung</w:t>
            </w:r>
            <w:r w:rsidR="00347E70">
              <w:rPr>
                <w:noProof/>
                <w:webHidden/>
              </w:rPr>
              <w:tab/>
            </w:r>
            <w:r w:rsidR="00347E70">
              <w:rPr>
                <w:noProof/>
                <w:webHidden/>
              </w:rPr>
              <w:fldChar w:fldCharType="begin"/>
            </w:r>
            <w:r w:rsidR="00347E70">
              <w:rPr>
                <w:noProof/>
                <w:webHidden/>
              </w:rPr>
              <w:instrText xml:space="preserve"> PAGEREF _Toc118968917 \h </w:instrText>
            </w:r>
            <w:r w:rsidR="00347E70">
              <w:rPr>
                <w:noProof/>
                <w:webHidden/>
              </w:rPr>
            </w:r>
            <w:r w:rsidR="00347E70">
              <w:rPr>
                <w:noProof/>
                <w:webHidden/>
              </w:rPr>
              <w:fldChar w:fldCharType="separate"/>
            </w:r>
            <w:r w:rsidR="00347E70">
              <w:rPr>
                <w:noProof/>
                <w:webHidden/>
              </w:rPr>
              <w:t>8</w:t>
            </w:r>
            <w:r w:rsidR="00347E70">
              <w:rPr>
                <w:noProof/>
                <w:webHidden/>
              </w:rPr>
              <w:fldChar w:fldCharType="end"/>
            </w:r>
          </w:hyperlink>
        </w:p>
        <w:p w14:paraId="54E7A750" w14:textId="6B56792F"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18" w:history="1">
            <w:r w:rsidR="00347E70" w:rsidRPr="00174E38">
              <w:rPr>
                <w:rStyle w:val="Hyperlink"/>
                <w:noProof/>
              </w:rPr>
              <w:t>FCC-Informationen für den Benutzer</w:t>
            </w:r>
            <w:r w:rsidR="00347E70">
              <w:rPr>
                <w:noProof/>
                <w:webHidden/>
              </w:rPr>
              <w:tab/>
            </w:r>
            <w:r w:rsidR="00347E70">
              <w:rPr>
                <w:noProof/>
                <w:webHidden/>
              </w:rPr>
              <w:fldChar w:fldCharType="begin"/>
            </w:r>
            <w:r w:rsidR="00347E70">
              <w:rPr>
                <w:noProof/>
                <w:webHidden/>
              </w:rPr>
              <w:instrText xml:space="preserve"> PAGEREF _Toc118968918 \h </w:instrText>
            </w:r>
            <w:r w:rsidR="00347E70">
              <w:rPr>
                <w:noProof/>
                <w:webHidden/>
              </w:rPr>
            </w:r>
            <w:r w:rsidR="00347E70">
              <w:rPr>
                <w:noProof/>
                <w:webHidden/>
              </w:rPr>
              <w:fldChar w:fldCharType="separate"/>
            </w:r>
            <w:r w:rsidR="00347E70">
              <w:rPr>
                <w:noProof/>
                <w:webHidden/>
              </w:rPr>
              <w:t>8</w:t>
            </w:r>
            <w:r w:rsidR="00347E70">
              <w:rPr>
                <w:noProof/>
                <w:webHidden/>
              </w:rPr>
              <w:fldChar w:fldCharType="end"/>
            </w:r>
          </w:hyperlink>
        </w:p>
        <w:p w14:paraId="560A8319" w14:textId="47EC347B"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19" w:history="1">
            <w:r w:rsidR="00347E70" w:rsidRPr="00174E38">
              <w:rPr>
                <w:rStyle w:val="Hyperlink"/>
                <w:noProof/>
              </w:rPr>
              <w:t>FCC-Warnungen und -Hinweise für Funkfrequenzen</w:t>
            </w:r>
            <w:r w:rsidR="00347E70">
              <w:rPr>
                <w:noProof/>
                <w:webHidden/>
              </w:rPr>
              <w:tab/>
            </w:r>
            <w:r w:rsidR="00347E70">
              <w:rPr>
                <w:noProof/>
                <w:webHidden/>
              </w:rPr>
              <w:fldChar w:fldCharType="begin"/>
            </w:r>
            <w:r w:rsidR="00347E70">
              <w:rPr>
                <w:noProof/>
                <w:webHidden/>
              </w:rPr>
              <w:instrText xml:space="preserve"> PAGEREF _Toc118968919 \h </w:instrText>
            </w:r>
            <w:r w:rsidR="00347E70">
              <w:rPr>
                <w:noProof/>
                <w:webHidden/>
              </w:rPr>
            </w:r>
            <w:r w:rsidR="00347E70">
              <w:rPr>
                <w:noProof/>
                <w:webHidden/>
              </w:rPr>
              <w:fldChar w:fldCharType="separate"/>
            </w:r>
            <w:r w:rsidR="00347E70">
              <w:rPr>
                <w:noProof/>
                <w:webHidden/>
              </w:rPr>
              <w:t>8</w:t>
            </w:r>
            <w:r w:rsidR="00347E70">
              <w:rPr>
                <w:noProof/>
                <w:webHidden/>
              </w:rPr>
              <w:fldChar w:fldCharType="end"/>
            </w:r>
          </w:hyperlink>
        </w:p>
        <w:p w14:paraId="6C544A85" w14:textId="58201873" w:rsidR="00347E70" w:rsidRDefault="00F946ED">
          <w:pPr>
            <w:pStyle w:val="TOC3"/>
            <w:rPr>
              <w:rFonts w:asciiTheme="minorHAnsi" w:eastAsiaTheme="minorEastAsia" w:hAnsiTheme="minorHAnsi"/>
              <w:noProof/>
              <w:sz w:val="22"/>
              <w:lang w:val="en-US" w:eastAsia="zh-TW"/>
            </w:rPr>
          </w:pPr>
          <w:hyperlink w:anchor="_Toc118968920" w:history="1">
            <w:r w:rsidR="00347E70" w:rsidRPr="00174E38">
              <w:rPr>
                <w:rStyle w:val="Hyperlink"/>
                <w:noProof/>
              </w:rPr>
              <w:t>Ländercodeauswahl für die Verwendung (WLAN-Geräte)</w:t>
            </w:r>
            <w:r w:rsidR="00347E70">
              <w:rPr>
                <w:noProof/>
                <w:webHidden/>
              </w:rPr>
              <w:tab/>
            </w:r>
            <w:r w:rsidR="00347E70">
              <w:rPr>
                <w:noProof/>
                <w:webHidden/>
              </w:rPr>
              <w:fldChar w:fldCharType="begin"/>
            </w:r>
            <w:r w:rsidR="00347E70">
              <w:rPr>
                <w:noProof/>
                <w:webHidden/>
              </w:rPr>
              <w:instrText xml:space="preserve"> PAGEREF _Toc118968920 \h </w:instrText>
            </w:r>
            <w:r w:rsidR="00347E70">
              <w:rPr>
                <w:noProof/>
                <w:webHidden/>
              </w:rPr>
            </w:r>
            <w:r w:rsidR="00347E70">
              <w:rPr>
                <w:noProof/>
                <w:webHidden/>
              </w:rPr>
              <w:fldChar w:fldCharType="separate"/>
            </w:r>
            <w:r w:rsidR="00347E70">
              <w:rPr>
                <w:noProof/>
                <w:webHidden/>
              </w:rPr>
              <w:t>8</w:t>
            </w:r>
            <w:r w:rsidR="00347E70">
              <w:rPr>
                <w:noProof/>
                <w:webHidden/>
              </w:rPr>
              <w:fldChar w:fldCharType="end"/>
            </w:r>
          </w:hyperlink>
        </w:p>
        <w:p w14:paraId="78BBB47E" w14:textId="323F30DA" w:rsidR="00347E70" w:rsidRDefault="00F946ED">
          <w:pPr>
            <w:pStyle w:val="TOC3"/>
            <w:rPr>
              <w:rFonts w:asciiTheme="minorHAnsi" w:eastAsiaTheme="minorEastAsia" w:hAnsiTheme="minorHAnsi"/>
              <w:noProof/>
              <w:sz w:val="22"/>
              <w:lang w:val="en-US" w:eastAsia="zh-TW"/>
            </w:rPr>
          </w:pPr>
          <w:hyperlink w:anchor="_Toc118968921" w:history="1">
            <w:r w:rsidR="00347E70" w:rsidRPr="00174E38">
              <w:rPr>
                <w:rStyle w:val="Hyperlink"/>
                <w:noProof/>
              </w:rPr>
              <w:t>5,9- und 6 GHz-WLAN-Geräte</w:t>
            </w:r>
            <w:r w:rsidR="00347E70">
              <w:rPr>
                <w:noProof/>
                <w:webHidden/>
              </w:rPr>
              <w:tab/>
            </w:r>
            <w:r w:rsidR="00347E70">
              <w:rPr>
                <w:noProof/>
                <w:webHidden/>
              </w:rPr>
              <w:fldChar w:fldCharType="begin"/>
            </w:r>
            <w:r w:rsidR="00347E70">
              <w:rPr>
                <w:noProof/>
                <w:webHidden/>
              </w:rPr>
              <w:instrText xml:space="preserve"> PAGEREF _Toc118968921 \h </w:instrText>
            </w:r>
            <w:r w:rsidR="00347E70">
              <w:rPr>
                <w:noProof/>
                <w:webHidden/>
              </w:rPr>
            </w:r>
            <w:r w:rsidR="00347E70">
              <w:rPr>
                <w:noProof/>
                <w:webHidden/>
              </w:rPr>
              <w:fldChar w:fldCharType="separate"/>
            </w:r>
            <w:r w:rsidR="00347E70">
              <w:rPr>
                <w:noProof/>
                <w:webHidden/>
              </w:rPr>
              <w:t>8</w:t>
            </w:r>
            <w:r w:rsidR="00347E70">
              <w:rPr>
                <w:noProof/>
                <w:webHidden/>
              </w:rPr>
              <w:fldChar w:fldCharType="end"/>
            </w:r>
          </w:hyperlink>
        </w:p>
        <w:p w14:paraId="5408406E" w14:textId="3104D16A"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22" w:history="1">
            <w:r w:rsidR="00347E70" w:rsidRPr="00174E38">
              <w:rPr>
                <w:rStyle w:val="Hyperlink"/>
                <w:noProof/>
              </w:rPr>
              <w:t>FCC-Erklärung zur HF-Strahlungsexposition und SAR-Erklärung</w:t>
            </w:r>
            <w:r w:rsidR="00347E70">
              <w:rPr>
                <w:noProof/>
                <w:webHidden/>
              </w:rPr>
              <w:tab/>
            </w:r>
            <w:r w:rsidR="00347E70">
              <w:rPr>
                <w:noProof/>
                <w:webHidden/>
              </w:rPr>
              <w:fldChar w:fldCharType="begin"/>
            </w:r>
            <w:r w:rsidR="00347E70">
              <w:rPr>
                <w:noProof/>
                <w:webHidden/>
              </w:rPr>
              <w:instrText xml:space="preserve"> PAGEREF _Toc118968922 \h </w:instrText>
            </w:r>
            <w:r w:rsidR="00347E70">
              <w:rPr>
                <w:noProof/>
                <w:webHidden/>
              </w:rPr>
            </w:r>
            <w:r w:rsidR="00347E70">
              <w:rPr>
                <w:noProof/>
                <w:webHidden/>
              </w:rPr>
              <w:fldChar w:fldCharType="separate"/>
            </w:r>
            <w:r w:rsidR="00347E70">
              <w:rPr>
                <w:noProof/>
                <w:webHidden/>
              </w:rPr>
              <w:t>9</w:t>
            </w:r>
            <w:r w:rsidR="00347E70">
              <w:rPr>
                <w:noProof/>
                <w:webHidden/>
              </w:rPr>
              <w:fldChar w:fldCharType="end"/>
            </w:r>
          </w:hyperlink>
        </w:p>
        <w:p w14:paraId="5B9CA323" w14:textId="33CF1E8C" w:rsidR="00347E70" w:rsidRDefault="00F946ED">
          <w:pPr>
            <w:pStyle w:val="TOC3"/>
            <w:rPr>
              <w:rFonts w:asciiTheme="minorHAnsi" w:eastAsiaTheme="minorEastAsia" w:hAnsiTheme="minorHAnsi"/>
              <w:noProof/>
              <w:sz w:val="22"/>
              <w:lang w:val="en-US" w:eastAsia="zh-TW"/>
            </w:rPr>
          </w:pPr>
          <w:hyperlink w:anchor="_Toc118968923" w:history="1">
            <w:r w:rsidR="00347E70" w:rsidRPr="00174E38">
              <w:rPr>
                <w:rStyle w:val="Hyperlink"/>
                <w:noProof/>
              </w:rPr>
              <w:t>Die Informationen in diesem Abschnitt gelten für Produkte, die Daten übertragen oder drahtlos kommunizieren – SAR-Erklärung</w:t>
            </w:r>
            <w:r w:rsidR="00347E70">
              <w:rPr>
                <w:noProof/>
                <w:webHidden/>
              </w:rPr>
              <w:tab/>
            </w:r>
            <w:r w:rsidR="00347E70">
              <w:rPr>
                <w:noProof/>
                <w:webHidden/>
              </w:rPr>
              <w:fldChar w:fldCharType="begin"/>
            </w:r>
            <w:r w:rsidR="00347E70">
              <w:rPr>
                <w:noProof/>
                <w:webHidden/>
              </w:rPr>
              <w:instrText xml:space="preserve"> PAGEREF _Toc118968923 \h </w:instrText>
            </w:r>
            <w:r w:rsidR="00347E70">
              <w:rPr>
                <w:noProof/>
                <w:webHidden/>
              </w:rPr>
            </w:r>
            <w:r w:rsidR="00347E70">
              <w:rPr>
                <w:noProof/>
                <w:webHidden/>
              </w:rPr>
              <w:fldChar w:fldCharType="separate"/>
            </w:r>
            <w:r w:rsidR="00347E70">
              <w:rPr>
                <w:noProof/>
                <w:webHidden/>
              </w:rPr>
              <w:t>9</w:t>
            </w:r>
            <w:r w:rsidR="00347E70">
              <w:rPr>
                <w:noProof/>
                <w:webHidden/>
              </w:rPr>
              <w:fldChar w:fldCharType="end"/>
            </w:r>
          </w:hyperlink>
        </w:p>
        <w:p w14:paraId="232B5420" w14:textId="3B341D18" w:rsidR="00347E70" w:rsidRDefault="00F946ED">
          <w:pPr>
            <w:pStyle w:val="TOC3"/>
            <w:rPr>
              <w:rFonts w:asciiTheme="minorHAnsi" w:eastAsiaTheme="minorEastAsia" w:hAnsiTheme="minorHAnsi"/>
              <w:noProof/>
              <w:sz w:val="22"/>
              <w:lang w:val="en-US" w:eastAsia="zh-TW"/>
            </w:rPr>
          </w:pPr>
          <w:hyperlink w:anchor="_Toc118968924" w:history="1">
            <w:r w:rsidR="00347E70" w:rsidRPr="00174E38">
              <w:rPr>
                <w:rStyle w:val="Hyperlink"/>
                <w:noProof/>
              </w:rPr>
              <w:t>Erklärung zur Maximal zulässige Exposition (MPE-Erklärung):</w:t>
            </w:r>
            <w:r w:rsidR="00347E70">
              <w:rPr>
                <w:noProof/>
                <w:webHidden/>
              </w:rPr>
              <w:tab/>
            </w:r>
            <w:r w:rsidR="00347E70">
              <w:rPr>
                <w:noProof/>
                <w:webHidden/>
              </w:rPr>
              <w:fldChar w:fldCharType="begin"/>
            </w:r>
            <w:r w:rsidR="00347E70">
              <w:rPr>
                <w:noProof/>
                <w:webHidden/>
              </w:rPr>
              <w:instrText xml:space="preserve"> PAGEREF _Toc118968924 \h </w:instrText>
            </w:r>
            <w:r w:rsidR="00347E70">
              <w:rPr>
                <w:noProof/>
                <w:webHidden/>
              </w:rPr>
            </w:r>
            <w:r w:rsidR="00347E70">
              <w:rPr>
                <w:noProof/>
                <w:webHidden/>
              </w:rPr>
              <w:fldChar w:fldCharType="separate"/>
            </w:r>
            <w:r w:rsidR="00347E70">
              <w:rPr>
                <w:noProof/>
                <w:webHidden/>
              </w:rPr>
              <w:t>9</w:t>
            </w:r>
            <w:r w:rsidR="00347E70">
              <w:rPr>
                <w:noProof/>
                <w:webHidden/>
              </w:rPr>
              <w:fldChar w:fldCharType="end"/>
            </w:r>
          </w:hyperlink>
        </w:p>
        <w:p w14:paraId="5047245E" w14:textId="72512FD1"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25" w:history="1">
            <w:r w:rsidR="00347E70" w:rsidRPr="00174E38">
              <w:rPr>
                <w:rStyle w:val="Hyperlink"/>
                <w:noProof/>
              </w:rPr>
              <w:t>Spezifische Sicherheitsvorkehrungen für EMC</w:t>
            </w:r>
            <w:r w:rsidR="00347E70">
              <w:rPr>
                <w:noProof/>
                <w:webHidden/>
              </w:rPr>
              <w:tab/>
            </w:r>
            <w:r w:rsidR="00347E70">
              <w:rPr>
                <w:noProof/>
                <w:webHidden/>
              </w:rPr>
              <w:fldChar w:fldCharType="begin"/>
            </w:r>
            <w:r w:rsidR="00347E70">
              <w:rPr>
                <w:noProof/>
                <w:webHidden/>
              </w:rPr>
              <w:instrText xml:space="preserve"> PAGEREF _Toc118968925 \h </w:instrText>
            </w:r>
            <w:r w:rsidR="00347E70">
              <w:rPr>
                <w:noProof/>
                <w:webHidden/>
              </w:rPr>
            </w:r>
            <w:r w:rsidR="00347E70">
              <w:rPr>
                <w:noProof/>
                <w:webHidden/>
              </w:rPr>
              <w:fldChar w:fldCharType="separate"/>
            </w:r>
            <w:r w:rsidR="00347E70">
              <w:rPr>
                <w:noProof/>
                <w:webHidden/>
              </w:rPr>
              <w:t>9</w:t>
            </w:r>
            <w:r w:rsidR="00347E70">
              <w:rPr>
                <w:noProof/>
                <w:webHidden/>
              </w:rPr>
              <w:fldChar w:fldCharType="end"/>
            </w:r>
          </w:hyperlink>
        </w:p>
        <w:p w14:paraId="544B14B2" w14:textId="4B2CD1D6" w:rsidR="00347E70" w:rsidRDefault="00F946ED">
          <w:pPr>
            <w:pStyle w:val="TOC3"/>
            <w:rPr>
              <w:rFonts w:asciiTheme="minorHAnsi" w:eastAsiaTheme="minorEastAsia" w:hAnsiTheme="minorHAnsi"/>
              <w:noProof/>
              <w:sz w:val="22"/>
              <w:lang w:val="en-US" w:eastAsia="zh-TW"/>
            </w:rPr>
          </w:pPr>
          <w:hyperlink w:anchor="_Toc118968926" w:history="1">
            <w:r w:rsidR="00347E70" w:rsidRPr="00174E38">
              <w:rPr>
                <w:rStyle w:val="Hyperlink"/>
                <w:noProof/>
              </w:rPr>
              <w:t>Produkte der Klasse B</w:t>
            </w:r>
            <w:r w:rsidR="00347E70">
              <w:rPr>
                <w:noProof/>
                <w:webHidden/>
              </w:rPr>
              <w:tab/>
            </w:r>
            <w:r w:rsidR="00347E70">
              <w:rPr>
                <w:noProof/>
                <w:webHidden/>
              </w:rPr>
              <w:fldChar w:fldCharType="begin"/>
            </w:r>
            <w:r w:rsidR="00347E70">
              <w:rPr>
                <w:noProof/>
                <w:webHidden/>
              </w:rPr>
              <w:instrText xml:space="preserve"> PAGEREF _Toc118968926 \h </w:instrText>
            </w:r>
            <w:r w:rsidR="00347E70">
              <w:rPr>
                <w:noProof/>
                <w:webHidden/>
              </w:rPr>
            </w:r>
            <w:r w:rsidR="00347E70">
              <w:rPr>
                <w:noProof/>
                <w:webHidden/>
              </w:rPr>
              <w:fldChar w:fldCharType="separate"/>
            </w:r>
            <w:r w:rsidR="00347E70">
              <w:rPr>
                <w:noProof/>
                <w:webHidden/>
              </w:rPr>
              <w:t>9</w:t>
            </w:r>
            <w:r w:rsidR="00347E70">
              <w:rPr>
                <w:noProof/>
                <w:webHidden/>
              </w:rPr>
              <w:fldChar w:fldCharType="end"/>
            </w:r>
          </w:hyperlink>
        </w:p>
        <w:p w14:paraId="5F65D5BE" w14:textId="4CDA79C8" w:rsidR="00347E70" w:rsidRDefault="00F946ED">
          <w:pPr>
            <w:pStyle w:val="TOC3"/>
            <w:rPr>
              <w:rFonts w:asciiTheme="minorHAnsi" w:eastAsiaTheme="minorEastAsia" w:hAnsiTheme="minorHAnsi"/>
              <w:noProof/>
              <w:sz w:val="22"/>
              <w:lang w:val="en-US" w:eastAsia="zh-TW"/>
            </w:rPr>
          </w:pPr>
          <w:hyperlink w:anchor="_Toc118968927" w:history="1">
            <w:r w:rsidR="00347E70" w:rsidRPr="00174E38">
              <w:rPr>
                <w:rStyle w:val="Hyperlink"/>
                <w:noProof/>
              </w:rPr>
              <w:t>Produkte der Klasse A</w:t>
            </w:r>
            <w:r w:rsidR="00347E70">
              <w:rPr>
                <w:noProof/>
                <w:webHidden/>
              </w:rPr>
              <w:tab/>
            </w:r>
            <w:r w:rsidR="00347E70">
              <w:rPr>
                <w:noProof/>
                <w:webHidden/>
              </w:rPr>
              <w:fldChar w:fldCharType="begin"/>
            </w:r>
            <w:r w:rsidR="00347E70">
              <w:rPr>
                <w:noProof/>
                <w:webHidden/>
              </w:rPr>
              <w:instrText xml:space="preserve"> PAGEREF _Toc118968927 \h </w:instrText>
            </w:r>
            <w:r w:rsidR="00347E70">
              <w:rPr>
                <w:noProof/>
                <w:webHidden/>
              </w:rPr>
            </w:r>
            <w:r w:rsidR="00347E70">
              <w:rPr>
                <w:noProof/>
                <w:webHidden/>
              </w:rPr>
              <w:fldChar w:fldCharType="separate"/>
            </w:r>
            <w:r w:rsidR="00347E70">
              <w:rPr>
                <w:noProof/>
                <w:webHidden/>
              </w:rPr>
              <w:t>10</w:t>
            </w:r>
            <w:r w:rsidR="00347E70">
              <w:rPr>
                <w:noProof/>
                <w:webHidden/>
              </w:rPr>
              <w:fldChar w:fldCharType="end"/>
            </w:r>
          </w:hyperlink>
        </w:p>
        <w:p w14:paraId="60C5B522" w14:textId="22A68471"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28" w:history="1">
            <w:r w:rsidR="00347E70" w:rsidRPr="00174E38">
              <w:rPr>
                <w:rStyle w:val="Hyperlink"/>
                <w:noProof/>
              </w:rPr>
              <w:t>Erklärung zu FCC – Teil 68</w:t>
            </w:r>
            <w:r w:rsidR="00347E70">
              <w:rPr>
                <w:noProof/>
                <w:webHidden/>
              </w:rPr>
              <w:tab/>
            </w:r>
            <w:r w:rsidR="00347E70">
              <w:rPr>
                <w:noProof/>
                <w:webHidden/>
              </w:rPr>
              <w:fldChar w:fldCharType="begin"/>
            </w:r>
            <w:r w:rsidR="00347E70">
              <w:rPr>
                <w:noProof/>
                <w:webHidden/>
              </w:rPr>
              <w:instrText xml:space="preserve"> PAGEREF _Toc118968928 \h </w:instrText>
            </w:r>
            <w:r w:rsidR="00347E70">
              <w:rPr>
                <w:noProof/>
                <w:webHidden/>
              </w:rPr>
            </w:r>
            <w:r w:rsidR="00347E70">
              <w:rPr>
                <w:noProof/>
                <w:webHidden/>
              </w:rPr>
              <w:fldChar w:fldCharType="separate"/>
            </w:r>
            <w:r w:rsidR="00347E70">
              <w:rPr>
                <w:noProof/>
                <w:webHidden/>
              </w:rPr>
              <w:t>10</w:t>
            </w:r>
            <w:r w:rsidR="00347E70">
              <w:rPr>
                <w:noProof/>
                <w:webHidden/>
              </w:rPr>
              <w:fldChar w:fldCharType="end"/>
            </w:r>
          </w:hyperlink>
        </w:p>
        <w:p w14:paraId="1BC2D4C3" w14:textId="4F53237E" w:rsidR="00347E70" w:rsidRDefault="00F946ED">
          <w:pPr>
            <w:pStyle w:val="TOC1"/>
            <w:rPr>
              <w:rFonts w:asciiTheme="minorHAnsi" w:eastAsiaTheme="minorEastAsia" w:hAnsiTheme="minorHAnsi"/>
              <w:noProof/>
              <w:sz w:val="22"/>
              <w:lang w:val="en-US" w:eastAsia="zh-TW"/>
            </w:rPr>
          </w:pPr>
          <w:hyperlink w:anchor="_Toc118968929" w:history="1">
            <w:r w:rsidR="00347E70" w:rsidRPr="00174E38">
              <w:rPr>
                <w:rStyle w:val="Hyperlink"/>
                <w:noProof/>
              </w:rPr>
              <w:t>Innovation, Science and Economic Development Canada (ISED)-Verordnungen</w:t>
            </w:r>
            <w:r w:rsidR="00347E70">
              <w:rPr>
                <w:noProof/>
                <w:webHidden/>
              </w:rPr>
              <w:tab/>
            </w:r>
            <w:r w:rsidR="00347E70">
              <w:rPr>
                <w:noProof/>
                <w:webHidden/>
              </w:rPr>
              <w:fldChar w:fldCharType="begin"/>
            </w:r>
            <w:r w:rsidR="00347E70">
              <w:rPr>
                <w:noProof/>
                <w:webHidden/>
              </w:rPr>
              <w:instrText xml:space="preserve"> PAGEREF _Toc118968929 \h </w:instrText>
            </w:r>
            <w:r w:rsidR="00347E70">
              <w:rPr>
                <w:noProof/>
                <w:webHidden/>
              </w:rPr>
            </w:r>
            <w:r w:rsidR="00347E70">
              <w:rPr>
                <w:noProof/>
                <w:webHidden/>
              </w:rPr>
              <w:fldChar w:fldCharType="separate"/>
            </w:r>
            <w:r w:rsidR="00347E70">
              <w:rPr>
                <w:noProof/>
                <w:webHidden/>
              </w:rPr>
              <w:t>10</w:t>
            </w:r>
            <w:r w:rsidR="00347E70">
              <w:rPr>
                <w:noProof/>
                <w:webHidden/>
              </w:rPr>
              <w:fldChar w:fldCharType="end"/>
            </w:r>
          </w:hyperlink>
        </w:p>
        <w:p w14:paraId="1C68F68A" w14:textId="0752732A"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30" w:history="1">
            <w:r w:rsidR="00347E70" w:rsidRPr="00174E38">
              <w:rPr>
                <w:rStyle w:val="Hyperlink"/>
                <w:noProof/>
              </w:rPr>
              <w:t>Warnungen und Hinweise für Funkfrequenzen</w:t>
            </w:r>
            <w:r w:rsidR="00347E70">
              <w:rPr>
                <w:noProof/>
                <w:webHidden/>
              </w:rPr>
              <w:tab/>
            </w:r>
            <w:r w:rsidR="00347E70">
              <w:rPr>
                <w:noProof/>
                <w:webHidden/>
              </w:rPr>
              <w:fldChar w:fldCharType="begin"/>
            </w:r>
            <w:r w:rsidR="00347E70">
              <w:rPr>
                <w:noProof/>
                <w:webHidden/>
              </w:rPr>
              <w:instrText xml:space="preserve"> PAGEREF _Toc118968930 \h </w:instrText>
            </w:r>
            <w:r w:rsidR="00347E70">
              <w:rPr>
                <w:noProof/>
                <w:webHidden/>
              </w:rPr>
            </w:r>
            <w:r w:rsidR="00347E70">
              <w:rPr>
                <w:noProof/>
                <w:webHidden/>
              </w:rPr>
              <w:fldChar w:fldCharType="separate"/>
            </w:r>
            <w:r w:rsidR="00347E70">
              <w:rPr>
                <w:noProof/>
                <w:webHidden/>
              </w:rPr>
              <w:t>10</w:t>
            </w:r>
            <w:r w:rsidR="00347E70">
              <w:rPr>
                <w:noProof/>
                <w:webHidden/>
              </w:rPr>
              <w:fldChar w:fldCharType="end"/>
            </w:r>
          </w:hyperlink>
        </w:p>
        <w:p w14:paraId="01C6BA5E" w14:textId="0A0FC1C4"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31" w:history="1">
            <w:r w:rsidR="00347E70" w:rsidRPr="00174E38">
              <w:rPr>
                <w:rStyle w:val="Hyperlink"/>
                <w:noProof/>
              </w:rPr>
              <w:t>WICHTER HINWEIS: Erklärung zur Strahlenbelastung:</w:t>
            </w:r>
            <w:r w:rsidR="00347E70">
              <w:rPr>
                <w:noProof/>
                <w:webHidden/>
              </w:rPr>
              <w:tab/>
            </w:r>
            <w:r w:rsidR="00347E70">
              <w:rPr>
                <w:noProof/>
                <w:webHidden/>
              </w:rPr>
              <w:fldChar w:fldCharType="begin"/>
            </w:r>
            <w:r w:rsidR="00347E70">
              <w:rPr>
                <w:noProof/>
                <w:webHidden/>
              </w:rPr>
              <w:instrText xml:space="preserve"> PAGEREF _Toc118968931 \h </w:instrText>
            </w:r>
            <w:r w:rsidR="00347E70">
              <w:rPr>
                <w:noProof/>
                <w:webHidden/>
              </w:rPr>
            </w:r>
            <w:r w:rsidR="00347E70">
              <w:rPr>
                <w:noProof/>
                <w:webHidden/>
              </w:rPr>
              <w:fldChar w:fldCharType="separate"/>
            </w:r>
            <w:r w:rsidR="00347E70">
              <w:rPr>
                <w:noProof/>
                <w:webHidden/>
              </w:rPr>
              <w:t>11</w:t>
            </w:r>
            <w:r w:rsidR="00347E70">
              <w:rPr>
                <w:noProof/>
                <w:webHidden/>
              </w:rPr>
              <w:fldChar w:fldCharType="end"/>
            </w:r>
          </w:hyperlink>
        </w:p>
        <w:p w14:paraId="3FE85E66" w14:textId="457597FB" w:rsidR="00347E70" w:rsidRDefault="00F946ED">
          <w:pPr>
            <w:pStyle w:val="TOC3"/>
            <w:rPr>
              <w:rFonts w:asciiTheme="minorHAnsi" w:eastAsiaTheme="minorEastAsia" w:hAnsiTheme="minorHAnsi"/>
              <w:noProof/>
              <w:sz w:val="22"/>
              <w:lang w:val="en-US" w:eastAsia="zh-TW"/>
            </w:rPr>
          </w:pPr>
          <w:hyperlink w:anchor="_Toc118968932" w:history="1">
            <w:r w:rsidR="00347E70" w:rsidRPr="00174E38">
              <w:rPr>
                <w:rStyle w:val="Hyperlink"/>
                <w:noProof/>
              </w:rPr>
              <w:t>SAR-Warnhinweis:</w:t>
            </w:r>
            <w:r w:rsidR="00347E70">
              <w:rPr>
                <w:noProof/>
                <w:webHidden/>
              </w:rPr>
              <w:tab/>
            </w:r>
            <w:r w:rsidR="00347E70">
              <w:rPr>
                <w:noProof/>
                <w:webHidden/>
              </w:rPr>
              <w:fldChar w:fldCharType="begin"/>
            </w:r>
            <w:r w:rsidR="00347E70">
              <w:rPr>
                <w:noProof/>
                <w:webHidden/>
              </w:rPr>
              <w:instrText xml:space="preserve"> PAGEREF _Toc118968932 \h </w:instrText>
            </w:r>
            <w:r w:rsidR="00347E70">
              <w:rPr>
                <w:noProof/>
                <w:webHidden/>
              </w:rPr>
            </w:r>
            <w:r w:rsidR="00347E70">
              <w:rPr>
                <w:noProof/>
                <w:webHidden/>
              </w:rPr>
              <w:fldChar w:fldCharType="separate"/>
            </w:r>
            <w:r w:rsidR="00347E70">
              <w:rPr>
                <w:noProof/>
                <w:webHidden/>
              </w:rPr>
              <w:t>11</w:t>
            </w:r>
            <w:r w:rsidR="00347E70">
              <w:rPr>
                <w:noProof/>
                <w:webHidden/>
              </w:rPr>
              <w:fldChar w:fldCharType="end"/>
            </w:r>
          </w:hyperlink>
        </w:p>
        <w:p w14:paraId="507A3603" w14:textId="5969416C" w:rsidR="00347E70" w:rsidRDefault="00F946ED">
          <w:pPr>
            <w:pStyle w:val="TOC3"/>
            <w:rPr>
              <w:rFonts w:asciiTheme="minorHAnsi" w:eastAsiaTheme="minorEastAsia" w:hAnsiTheme="minorHAnsi"/>
              <w:noProof/>
              <w:sz w:val="22"/>
              <w:lang w:val="en-US" w:eastAsia="zh-TW"/>
            </w:rPr>
          </w:pPr>
          <w:hyperlink w:anchor="_Toc118968933" w:history="1">
            <w:r w:rsidR="00347E70" w:rsidRPr="00174E38">
              <w:rPr>
                <w:rStyle w:val="Hyperlink"/>
                <w:noProof/>
              </w:rPr>
              <w:t>Erklärung zur Maximal zulässige Exposition (MPE-Erklärung):</w:t>
            </w:r>
            <w:r w:rsidR="00347E70">
              <w:rPr>
                <w:noProof/>
                <w:webHidden/>
              </w:rPr>
              <w:tab/>
            </w:r>
            <w:r w:rsidR="00347E70">
              <w:rPr>
                <w:noProof/>
                <w:webHidden/>
              </w:rPr>
              <w:fldChar w:fldCharType="begin"/>
            </w:r>
            <w:r w:rsidR="00347E70">
              <w:rPr>
                <w:noProof/>
                <w:webHidden/>
              </w:rPr>
              <w:instrText xml:space="preserve"> PAGEREF _Toc118968933 \h </w:instrText>
            </w:r>
            <w:r w:rsidR="00347E70">
              <w:rPr>
                <w:noProof/>
                <w:webHidden/>
              </w:rPr>
            </w:r>
            <w:r w:rsidR="00347E70">
              <w:rPr>
                <w:noProof/>
                <w:webHidden/>
              </w:rPr>
              <w:fldChar w:fldCharType="separate"/>
            </w:r>
            <w:r w:rsidR="00347E70">
              <w:rPr>
                <w:noProof/>
                <w:webHidden/>
              </w:rPr>
              <w:t>11</w:t>
            </w:r>
            <w:r w:rsidR="00347E70">
              <w:rPr>
                <w:noProof/>
                <w:webHidden/>
              </w:rPr>
              <w:fldChar w:fldCharType="end"/>
            </w:r>
          </w:hyperlink>
        </w:p>
        <w:p w14:paraId="7B770274" w14:textId="044B7DFD"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34" w:history="1">
            <w:r w:rsidR="00347E70" w:rsidRPr="00174E38">
              <w:rPr>
                <w:rStyle w:val="Hyperlink"/>
                <w:noProof/>
              </w:rPr>
              <w:t>Ontario Regulation 522/20</w:t>
            </w:r>
            <w:r w:rsidR="00347E70">
              <w:rPr>
                <w:noProof/>
                <w:webHidden/>
              </w:rPr>
              <w:tab/>
            </w:r>
            <w:r w:rsidR="00347E70">
              <w:rPr>
                <w:noProof/>
                <w:webHidden/>
              </w:rPr>
              <w:fldChar w:fldCharType="begin"/>
            </w:r>
            <w:r w:rsidR="00347E70">
              <w:rPr>
                <w:noProof/>
                <w:webHidden/>
              </w:rPr>
              <w:instrText xml:space="preserve"> PAGEREF _Toc118968934 \h </w:instrText>
            </w:r>
            <w:r w:rsidR="00347E70">
              <w:rPr>
                <w:noProof/>
                <w:webHidden/>
              </w:rPr>
            </w:r>
            <w:r w:rsidR="00347E70">
              <w:rPr>
                <w:noProof/>
                <w:webHidden/>
              </w:rPr>
              <w:fldChar w:fldCharType="separate"/>
            </w:r>
            <w:r w:rsidR="00347E70">
              <w:rPr>
                <w:noProof/>
                <w:webHidden/>
              </w:rPr>
              <w:t>11</w:t>
            </w:r>
            <w:r w:rsidR="00347E70">
              <w:rPr>
                <w:noProof/>
                <w:webHidden/>
              </w:rPr>
              <w:fldChar w:fldCharType="end"/>
            </w:r>
          </w:hyperlink>
        </w:p>
        <w:p w14:paraId="1FA61587" w14:textId="37D530E8" w:rsidR="00347E70" w:rsidRDefault="00F946ED">
          <w:pPr>
            <w:pStyle w:val="TOC1"/>
            <w:rPr>
              <w:rFonts w:asciiTheme="minorHAnsi" w:eastAsiaTheme="minorEastAsia" w:hAnsiTheme="minorHAnsi"/>
              <w:noProof/>
              <w:sz w:val="22"/>
              <w:lang w:val="en-US" w:eastAsia="zh-TW"/>
            </w:rPr>
          </w:pPr>
          <w:hyperlink w:anchor="_Toc118968935" w:history="1">
            <w:r w:rsidR="00347E70" w:rsidRPr="00174E38">
              <w:rPr>
                <w:rStyle w:val="Hyperlink"/>
                <w:noProof/>
              </w:rPr>
              <w:t>Réglementations du ministère Innovation, Sciences et Développement économique Canada (ISDE) – français</w:t>
            </w:r>
            <w:r w:rsidR="00347E70">
              <w:rPr>
                <w:noProof/>
                <w:webHidden/>
              </w:rPr>
              <w:tab/>
            </w:r>
            <w:r w:rsidR="00347E70">
              <w:rPr>
                <w:noProof/>
                <w:webHidden/>
              </w:rPr>
              <w:fldChar w:fldCharType="begin"/>
            </w:r>
            <w:r w:rsidR="00347E70">
              <w:rPr>
                <w:noProof/>
                <w:webHidden/>
              </w:rPr>
              <w:instrText xml:space="preserve"> PAGEREF _Toc118968935 \h </w:instrText>
            </w:r>
            <w:r w:rsidR="00347E70">
              <w:rPr>
                <w:noProof/>
                <w:webHidden/>
              </w:rPr>
            </w:r>
            <w:r w:rsidR="00347E70">
              <w:rPr>
                <w:noProof/>
                <w:webHidden/>
              </w:rPr>
              <w:fldChar w:fldCharType="separate"/>
            </w:r>
            <w:r w:rsidR="00347E70">
              <w:rPr>
                <w:noProof/>
                <w:webHidden/>
              </w:rPr>
              <w:t>12</w:t>
            </w:r>
            <w:r w:rsidR="00347E70">
              <w:rPr>
                <w:noProof/>
                <w:webHidden/>
              </w:rPr>
              <w:fldChar w:fldCharType="end"/>
            </w:r>
          </w:hyperlink>
        </w:p>
        <w:p w14:paraId="41949969" w14:textId="55E4BFB0"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36" w:history="1">
            <w:r w:rsidR="00347E70" w:rsidRPr="00174E38">
              <w:rPr>
                <w:rStyle w:val="Hyperlink"/>
                <w:noProof/>
              </w:rPr>
              <w:t>Avertissements et instructions relatifs aux fréquences radio</w:t>
            </w:r>
            <w:r w:rsidR="00347E70">
              <w:rPr>
                <w:noProof/>
                <w:webHidden/>
              </w:rPr>
              <w:tab/>
            </w:r>
            <w:r w:rsidR="00347E70">
              <w:rPr>
                <w:noProof/>
                <w:webHidden/>
              </w:rPr>
              <w:fldChar w:fldCharType="begin"/>
            </w:r>
            <w:r w:rsidR="00347E70">
              <w:rPr>
                <w:noProof/>
                <w:webHidden/>
              </w:rPr>
              <w:instrText xml:space="preserve"> PAGEREF _Toc118968936 \h </w:instrText>
            </w:r>
            <w:r w:rsidR="00347E70">
              <w:rPr>
                <w:noProof/>
                <w:webHidden/>
              </w:rPr>
            </w:r>
            <w:r w:rsidR="00347E70">
              <w:rPr>
                <w:noProof/>
                <w:webHidden/>
              </w:rPr>
              <w:fldChar w:fldCharType="separate"/>
            </w:r>
            <w:r w:rsidR="00347E70">
              <w:rPr>
                <w:noProof/>
                <w:webHidden/>
              </w:rPr>
              <w:t>12</w:t>
            </w:r>
            <w:r w:rsidR="00347E70">
              <w:rPr>
                <w:noProof/>
                <w:webHidden/>
              </w:rPr>
              <w:fldChar w:fldCharType="end"/>
            </w:r>
          </w:hyperlink>
        </w:p>
        <w:p w14:paraId="7CCE21EA" w14:textId="015142FC"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37" w:history="1">
            <w:r w:rsidR="00347E70" w:rsidRPr="00174E38">
              <w:rPr>
                <w:rStyle w:val="Hyperlink"/>
                <w:noProof/>
              </w:rPr>
              <w:t>REMARQUE IMPORTANTE : Déclaration concernant l'exposition aux rayonnements</w:t>
            </w:r>
            <w:r w:rsidR="00347E70">
              <w:rPr>
                <w:noProof/>
                <w:webHidden/>
              </w:rPr>
              <w:tab/>
            </w:r>
            <w:r w:rsidR="00347E70">
              <w:rPr>
                <w:noProof/>
                <w:webHidden/>
              </w:rPr>
              <w:fldChar w:fldCharType="begin"/>
            </w:r>
            <w:r w:rsidR="00347E70">
              <w:rPr>
                <w:noProof/>
                <w:webHidden/>
              </w:rPr>
              <w:instrText xml:space="preserve"> PAGEREF _Toc118968937 \h </w:instrText>
            </w:r>
            <w:r w:rsidR="00347E70">
              <w:rPr>
                <w:noProof/>
                <w:webHidden/>
              </w:rPr>
            </w:r>
            <w:r w:rsidR="00347E70">
              <w:rPr>
                <w:noProof/>
                <w:webHidden/>
              </w:rPr>
              <w:fldChar w:fldCharType="separate"/>
            </w:r>
            <w:r w:rsidR="00347E70">
              <w:rPr>
                <w:noProof/>
                <w:webHidden/>
              </w:rPr>
              <w:t>13</w:t>
            </w:r>
            <w:r w:rsidR="00347E70">
              <w:rPr>
                <w:noProof/>
                <w:webHidden/>
              </w:rPr>
              <w:fldChar w:fldCharType="end"/>
            </w:r>
          </w:hyperlink>
        </w:p>
        <w:p w14:paraId="0AF806DF" w14:textId="582E4935" w:rsidR="00347E70" w:rsidRDefault="00F946ED">
          <w:pPr>
            <w:pStyle w:val="TOC3"/>
            <w:rPr>
              <w:rFonts w:asciiTheme="minorHAnsi" w:eastAsiaTheme="minorEastAsia" w:hAnsiTheme="minorHAnsi"/>
              <w:noProof/>
              <w:sz w:val="22"/>
              <w:lang w:val="en-US" w:eastAsia="zh-TW"/>
            </w:rPr>
          </w:pPr>
          <w:hyperlink w:anchor="_Toc118968938" w:history="1">
            <w:r w:rsidR="00347E70" w:rsidRPr="00174E38">
              <w:rPr>
                <w:rStyle w:val="Hyperlink"/>
                <w:noProof/>
              </w:rPr>
              <w:t>Avertissement relatif au DAS :</w:t>
            </w:r>
            <w:r w:rsidR="00347E70">
              <w:rPr>
                <w:noProof/>
                <w:webHidden/>
              </w:rPr>
              <w:tab/>
            </w:r>
            <w:r w:rsidR="00347E70">
              <w:rPr>
                <w:noProof/>
                <w:webHidden/>
              </w:rPr>
              <w:fldChar w:fldCharType="begin"/>
            </w:r>
            <w:r w:rsidR="00347E70">
              <w:rPr>
                <w:noProof/>
                <w:webHidden/>
              </w:rPr>
              <w:instrText xml:space="preserve"> PAGEREF _Toc118968938 \h </w:instrText>
            </w:r>
            <w:r w:rsidR="00347E70">
              <w:rPr>
                <w:noProof/>
                <w:webHidden/>
              </w:rPr>
            </w:r>
            <w:r w:rsidR="00347E70">
              <w:rPr>
                <w:noProof/>
                <w:webHidden/>
              </w:rPr>
              <w:fldChar w:fldCharType="separate"/>
            </w:r>
            <w:r w:rsidR="00347E70">
              <w:rPr>
                <w:noProof/>
                <w:webHidden/>
              </w:rPr>
              <w:t>13</w:t>
            </w:r>
            <w:r w:rsidR="00347E70">
              <w:rPr>
                <w:noProof/>
                <w:webHidden/>
              </w:rPr>
              <w:fldChar w:fldCharType="end"/>
            </w:r>
          </w:hyperlink>
        </w:p>
        <w:p w14:paraId="682C4C09" w14:textId="42745CEE" w:rsidR="00347E70" w:rsidRDefault="00F946ED">
          <w:pPr>
            <w:pStyle w:val="TOC3"/>
            <w:rPr>
              <w:rFonts w:asciiTheme="minorHAnsi" w:eastAsiaTheme="minorEastAsia" w:hAnsiTheme="minorHAnsi"/>
              <w:noProof/>
              <w:sz w:val="22"/>
              <w:lang w:val="en-US" w:eastAsia="zh-TW"/>
            </w:rPr>
          </w:pPr>
          <w:hyperlink w:anchor="_Toc118968939" w:history="1">
            <w:r w:rsidR="00347E70" w:rsidRPr="00174E38">
              <w:rPr>
                <w:rStyle w:val="Hyperlink"/>
                <w:noProof/>
              </w:rPr>
              <w:t>Déclaration de limite d'exposition maximale admissible</w:t>
            </w:r>
            <w:r w:rsidR="00347E70">
              <w:rPr>
                <w:noProof/>
                <w:webHidden/>
              </w:rPr>
              <w:tab/>
            </w:r>
            <w:r w:rsidR="00347E70">
              <w:rPr>
                <w:noProof/>
                <w:webHidden/>
              </w:rPr>
              <w:fldChar w:fldCharType="begin"/>
            </w:r>
            <w:r w:rsidR="00347E70">
              <w:rPr>
                <w:noProof/>
                <w:webHidden/>
              </w:rPr>
              <w:instrText xml:space="preserve"> PAGEREF _Toc118968939 \h </w:instrText>
            </w:r>
            <w:r w:rsidR="00347E70">
              <w:rPr>
                <w:noProof/>
                <w:webHidden/>
              </w:rPr>
            </w:r>
            <w:r w:rsidR="00347E70">
              <w:rPr>
                <w:noProof/>
                <w:webHidden/>
              </w:rPr>
              <w:fldChar w:fldCharType="separate"/>
            </w:r>
            <w:r w:rsidR="00347E70">
              <w:rPr>
                <w:noProof/>
                <w:webHidden/>
              </w:rPr>
              <w:t>13</w:t>
            </w:r>
            <w:r w:rsidR="00347E70">
              <w:rPr>
                <w:noProof/>
                <w:webHidden/>
              </w:rPr>
              <w:fldChar w:fldCharType="end"/>
            </w:r>
          </w:hyperlink>
        </w:p>
        <w:p w14:paraId="066DE9DD" w14:textId="4C0B6179"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40" w:history="1">
            <w:r w:rsidR="00347E70" w:rsidRPr="00174E38">
              <w:rPr>
                <w:rStyle w:val="Hyperlink"/>
                <w:noProof/>
              </w:rPr>
              <w:t>Règlement 522/20 de l'Ontario</w:t>
            </w:r>
            <w:r w:rsidR="00347E70">
              <w:rPr>
                <w:noProof/>
                <w:webHidden/>
              </w:rPr>
              <w:tab/>
            </w:r>
            <w:r w:rsidR="00347E70">
              <w:rPr>
                <w:noProof/>
                <w:webHidden/>
              </w:rPr>
              <w:fldChar w:fldCharType="begin"/>
            </w:r>
            <w:r w:rsidR="00347E70">
              <w:rPr>
                <w:noProof/>
                <w:webHidden/>
              </w:rPr>
              <w:instrText xml:space="preserve"> PAGEREF _Toc118968940 \h </w:instrText>
            </w:r>
            <w:r w:rsidR="00347E70">
              <w:rPr>
                <w:noProof/>
                <w:webHidden/>
              </w:rPr>
            </w:r>
            <w:r w:rsidR="00347E70">
              <w:rPr>
                <w:noProof/>
                <w:webHidden/>
              </w:rPr>
              <w:fldChar w:fldCharType="separate"/>
            </w:r>
            <w:r w:rsidR="00347E70">
              <w:rPr>
                <w:noProof/>
                <w:webHidden/>
              </w:rPr>
              <w:t>13</w:t>
            </w:r>
            <w:r w:rsidR="00347E70">
              <w:rPr>
                <w:noProof/>
                <w:webHidden/>
              </w:rPr>
              <w:fldChar w:fldCharType="end"/>
            </w:r>
          </w:hyperlink>
        </w:p>
        <w:p w14:paraId="41B168AD" w14:textId="51F7BCF6"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41" w:history="1">
            <w:r w:rsidR="00347E70" w:rsidRPr="00174E38">
              <w:rPr>
                <w:rStyle w:val="Hyperlink"/>
                <w:noProof/>
              </w:rPr>
              <w:t>Tabelle für die Reduzierung von Funkstörungen</w:t>
            </w:r>
            <w:r w:rsidR="00347E70">
              <w:rPr>
                <w:noProof/>
                <w:webHidden/>
              </w:rPr>
              <w:tab/>
            </w:r>
            <w:r w:rsidR="00347E70">
              <w:rPr>
                <w:noProof/>
                <w:webHidden/>
              </w:rPr>
              <w:fldChar w:fldCharType="begin"/>
            </w:r>
            <w:r w:rsidR="00347E70">
              <w:rPr>
                <w:noProof/>
                <w:webHidden/>
              </w:rPr>
              <w:instrText xml:space="preserve"> PAGEREF _Toc118968941 \h </w:instrText>
            </w:r>
            <w:r w:rsidR="00347E70">
              <w:rPr>
                <w:noProof/>
                <w:webHidden/>
              </w:rPr>
            </w:r>
            <w:r w:rsidR="00347E70">
              <w:rPr>
                <w:noProof/>
                <w:webHidden/>
              </w:rPr>
              <w:fldChar w:fldCharType="separate"/>
            </w:r>
            <w:r w:rsidR="00347E70">
              <w:rPr>
                <w:noProof/>
                <w:webHidden/>
              </w:rPr>
              <w:t>13</w:t>
            </w:r>
            <w:r w:rsidR="00347E70">
              <w:rPr>
                <w:noProof/>
                <w:webHidden/>
              </w:rPr>
              <w:fldChar w:fldCharType="end"/>
            </w:r>
          </w:hyperlink>
        </w:p>
        <w:p w14:paraId="4E0980D3" w14:textId="6C7E40F4" w:rsidR="00347E70" w:rsidRDefault="00F946ED">
          <w:pPr>
            <w:pStyle w:val="TOC1"/>
            <w:rPr>
              <w:rFonts w:asciiTheme="minorHAnsi" w:eastAsiaTheme="minorEastAsia" w:hAnsiTheme="minorHAnsi"/>
              <w:noProof/>
              <w:sz w:val="22"/>
              <w:lang w:val="en-US" w:eastAsia="zh-TW"/>
            </w:rPr>
          </w:pPr>
          <w:hyperlink w:anchor="_Toc118968942" w:history="1">
            <w:r w:rsidR="00347E70" w:rsidRPr="00174E38">
              <w:rPr>
                <w:rStyle w:val="Hyperlink"/>
                <w:noProof/>
              </w:rPr>
              <w:t>ANFORDERUNGEN AN DIE VERPACKUNG VON LITHIUM-IONEN-AKKUS UND LITHIUM-METALL-BATTERIEN</w:t>
            </w:r>
            <w:r w:rsidR="00347E70">
              <w:rPr>
                <w:noProof/>
                <w:webHidden/>
              </w:rPr>
              <w:tab/>
            </w:r>
            <w:r w:rsidR="00347E70">
              <w:rPr>
                <w:noProof/>
                <w:webHidden/>
              </w:rPr>
              <w:fldChar w:fldCharType="begin"/>
            </w:r>
            <w:r w:rsidR="00347E70">
              <w:rPr>
                <w:noProof/>
                <w:webHidden/>
              </w:rPr>
              <w:instrText xml:space="preserve"> PAGEREF _Toc118968942 \h </w:instrText>
            </w:r>
            <w:r w:rsidR="00347E70">
              <w:rPr>
                <w:noProof/>
                <w:webHidden/>
              </w:rPr>
            </w:r>
            <w:r w:rsidR="00347E70">
              <w:rPr>
                <w:noProof/>
                <w:webHidden/>
              </w:rPr>
              <w:fldChar w:fldCharType="separate"/>
            </w:r>
            <w:r w:rsidR="00347E70">
              <w:rPr>
                <w:noProof/>
                <w:webHidden/>
              </w:rPr>
              <w:t>14</w:t>
            </w:r>
            <w:r w:rsidR="00347E70">
              <w:rPr>
                <w:noProof/>
                <w:webHidden/>
              </w:rPr>
              <w:fldChar w:fldCharType="end"/>
            </w:r>
          </w:hyperlink>
        </w:p>
        <w:p w14:paraId="5D9FFF88" w14:textId="473F0581" w:rsidR="00347E70" w:rsidRDefault="00F946ED">
          <w:pPr>
            <w:pStyle w:val="TOC3"/>
            <w:rPr>
              <w:rFonts w:asciiTheme="minorHAnsi" w:eastAsiaTheme="minorEastAsia" w:hAnsiTheme="minorHAnsi"/>
              <w:noProof/>
              <w:sz w:val="22"/>
              <w:lang w:val="en-US" w:eastAsia="zh-TW"/>
            </w:rPr>
          </w:pPr>
          <w:hyperlink w:anchor="_Toc118968943" w:history="1">
            <w:r w:rsidR="00347E70" w:rsidRPr="00174E38">
              <w:rPr>
                <w:rStyle w:val="Hyperlink"/>
                <w:noProof/>
              </w:rPr>
              <w:t>Li-Ionen-Akkus und Li-Metall-Batterien</w:t>
            </w:r>
            <w:r w:rsidR="00347E70">
              <w:rPr>
                <w:noProof/>
                <w:webHidden/>
              </w:rPr>
              <w:tab/>
            </w:r>
            <w:r w:rsidR="00347E70">
              <w:rPr>
                <w:noProof/>
                <w:webHidden/>
              </w:rPr>
              <w:fldChar w:fldCharType="begin"/>
            </w:r>
            <w:r w:rsidR="00347E70">
              <w:rPr>
                <w:noProof/>
                <w:webHidden/>
              </w:rPr>
              <w:instrText xml:space="preserve"> PAGEREF _Toc118968943 \h </w:instrText>
            </w:r>
            <w:r w:rsidR="00347E70">
              <w:rPr>
                <w:noProof/>
                <w:webHidden/>
              </w:rPr>
            </w:r>
            <w:r w:rsidR="00347E70">
              <w:rPr>
                <w:noProof/>
                <w:webHidden/>
              </w:rPr>
              <w:fldChar w:fldCharType="separate"/>
            </w:r>
            <w:r w:rsidR="00347E70">
              <w:rPr>
                <w:noProof/>
                <w:webHidden/>
              </w:rPr>
              <w:t>14</w:t>
            </w:r>
            <w:r w:rsidR="00347E70">
              <w:rPr>
                <w:noProof/>
                <w:webHidden/>
              </w:rPr>
              <w:fldChar w:fldCharType="end"/>
            </w:r>
          </w:hyperlink>
        </w:p>
        <w:p w14:paraId="5E1AFF4A" w14:textId="33A63065" w:rsidR="00347E70" w:rsidRDefault="00F946ED">
          <w:pPr>
            <w:pStyle w:val="TOC3"/>
            <w:rPr>
              <w:rFonts w:asciiTheme="minorHAnsi" w:eastAsiaTheme="minorEastAsia" w:hAnsiTheme="minorHAnsi"/>
              <w:noProof/>
              <w:sz w:val="22"/>
              <w:lang w:val="en-US" w:eastAsia="zh-TW"/>
            </w:rPr>
          </w:pPr>
          <w:hyperlink w:anchor="_Toc118968944" w:history="1">
            <w:r w:rsidR="00347E70" w:rsidRPr="00174E38">
              <w:rPr>
                <w:rStyle w:val="Hyperlink"/>
                <w:noProof/>
              </w:rPr>
              <w:t>Kennzeichnungsanforderungen für Li-Ionen-Akkus und Li-Metall-Batterien</w:t>
            </w:r>
            <w:r w:rsidR="00347E70">
              <w:rPr>
                <w:noProof/>
                <w:webHidden/>
              </w:rPr>
              <w:tab/>
            </w:r>
            <w:r w:rsidR="00347E70">
              <w:rPr>
                <w:noProof/>
                <w:webHidden/>
              </w:rPr>
              <w:fldChar w:fldCharType="begin"/>
            </w:r>
            <w:r w:rsidR="00347E70">
              <w:rPr>
                <w:noProof/>
                <w:webHidden/>
              </w:rPr>
              <w:instrText xml:space="preserve"> PAGEREF _Toc118968944 \h </w:instrText>
            </w:r>
            <w:r w:rsidR="00347E70">
              <w:rPr>
                <w:noProof/>
                <w:webHidden/>
              </w:rPr>
            </w:r>
            <w:r w:rsidR="00347E70">
              <w:rPr>
                <w:noProof/>
                <w:webHidden/>
              </w:rPr>
              <w:fldChar w:fldCharType="separate"/>
            </w:r>
            <w:r w:rsidR="00347E70">
              <w:rPr>
                <w:noProof/>
                <w:webHidden/>
              </w:rPr>
              <w:t>14</w:t>
            </w:r>
            <w:r w:rsidR="00347E70">
              <w:rPr>
                <w:noProof/>
                <w:webHidden/>
              </w:rPr>
              <w:fldChar w:fldCharType="end"/>
            </w:r>
          </w:hyperlink>
        </w:p>
        <w:p w14:paraId="4CC08F87" w14:textId="23951BDF" w:rsidR="00347E70" w:rsidRDefault="00F946ED">
          <w:pPr>
            <w:pStyle w:val="TOC3"/>
            <w:rPr>
              <w:rFonts w:asciiTheme="minorHAnsi" w:eastAsiaTheme="minorEastAsia" w:hAnsiTheme="minorHAnsi"/>
              <w:noProof/>
              <w:sz w:val="22"/>
              <w:lang w:val="en-US" w:eastAsia="zh-TW"/>
            </w:rPr>
          </w:pPr>
          <w:hyperlink w:anchor="_Toc118968945" w:history="1">
            <w:r w:rsidR="00347E70" w:rsidRPr="00174E38">
              <w:rPr>
                <w:rStyle w:val="Hyperlink"/>
                <w:noProof/>
              </w:rPr>
              <w:t>Ausnahmen von der Kennzeichnungspflicht</w:t>
            </w:r>
            <w:r w:rsidR="00347E70">
              <w:rPr>
                <w:noProof/>
                <w:webHidden/>
              </w:rPr>
              <w:tab/>
            </w:r>
            <w:r w:rsidR="00347E70">
              <w:rPr>
                <w:noProof/>
                <w:webHidden/>
              </w:rPr>
              <w:fldChar w:fldCharType="begin"/>
            </w:r>
            <w:r w:rsidR="00347E70">
              <w:rPr>
                <w:noProof/>
                <w:webHidden/>
              </w:rPr>
              <w:instrText xml:space="preserve"> PAGEREF _Toc118968945 \h </w:instrText>
            </w:r>
            <w:r w:rsidR="00347E70">
              <w:rPr>
                <w:noProof/>
                <w:webHidden/>
              </w:rPr>
            </w:r>
            <w:r w:rsidR="00347E70">
              <w:rPr>
                <w:noProof/>
                <w:webHidden/>
              </w:rPr>
              <w:fldChar w:fldCharType="separate"/>
            </w:r>
            <w:r w:rsidR="00347E70">
              <w:rPr>
                <w:noProof/>
                <w:webHidden/>
              </w:rPr>
              <w:t>16</w:t>
            </w:r>
            <w:r w:rsidR="00347E70">
              <w:rPr>
                <w:noProof/>
                <w:webHidden/>
              </w:rPr>
              <w:fldChar w:fldCharType="end"/>
            </w:r>
          </w:hyperlink>
        </w:p>
        <w:p w14:paraId="124EF920" w14:textId="66CEFF9B" w:rsidR="00347E70" w:rsidRDefault="00F946ED">
          <w:pPr>
            <w:pStyle w:val="TOC3"/>
            <w:rPr>
              <w:rFonts w:asciiTheme="minorHAnsi" w:eastAsiaTheme="minorEastAsia" w:hAnsiTheme="minorHAnsi"/>
              <w:noProof/>
              <w:sz w:val="22"/>
              <w:lang w:val="en-US" w:eastAsia="zh-TW"/>
            </w:rPr>
          </w:pPr>
          <w:hyperlink w:anchor="_Toc118968946" w:history="1">
            <w:r w:rsidR="00347E70" w:rsidRPr="00174E38">
              <w:rPr>
                <w:rStyle w:val="Hyperlink"/>
                <w:noProof/>
              </w:rPr>
              <w:t>Hinweis zur Produktentsorgung</w:t>
            </w:r>
            <w:r w:rsidR="00347E70">
              <w:rPr>
                <w:noProof/>
                <w:webHidden/>
              </w:rPr>
              <w:tab/>
            </w:r>
            <w:r w:rsidR="00347E70">
              <w:rPr>
                <w:noProof/>
                <w:webHidden/>
              </w:rPr>
              <w:fldChar w:fldCharType="begin"/>
            </w:r>
            <w:r w:rsidR="00347E70">
              <w:rPr>
                <w:noProof/>
                <w:webHidden/>
              </w:rPr>
              <w:instrText xml:space="preserve"> PAGEREF _Toc118968946 \h </w:instrText>
            </w:r>
            <w:r w:rsidR="00347E70">
              <w:rPr>
                <w:noProof/>
                <w:webHidden/>
              </w:rPr>
            </w:r>
            <w:r w:rsidR="00347E70">
              <w:rPr>
                <w:noProof/>
                <w:webHidden/>
              </w:rPr>
              <w:fldChar w:fldCharType="separate"/>
            </w:r>
            <w:r w:rsidR="00347E70">
              <w:rPr>
                <w:noProof/>
                <w:webHidden/>
              </w:rPr>
              <w:t>16</w:t>
            </w:r>
            <w:r w:rsidR="00347E70">
              <w:rPr>
                <w:noProof/>
                <w:webHidden/>
              </w:rPr>
              <w:fldChar w:fldCharType="end"/>
            </w:r>
          </w:hyperlink>
        </w:p>
        <w:p w14:paraId="7AB7F43F" w14:textId="0ECF0B07" w:rsidR="00347E70" w:rsidRDefault="00F946ED">
          <w:pPr>
            <w:pStyle w:val="TOC1"/>
            <w:rPr>
              <w:rFonts w:asciiTheme="minorHAnsi" w:eastAsiaTheme="minorEastAsia" w:hAnsiTheme="minorHAnsi"/>
              <w:noProof/>
              <w:sz w:val="22"/>
              <w:lang w:val="en-US" w:eastAsia="zh-TW"/>
            </w:rPr>
          </w:pPr>
          <w:hyperlink w:anchor="_Toc118968947" w:history="1">
            <w:r w:rsidR="00347E70" w:rsidRPr="00174E38">
              <w:rPr>
                <w:rStyle w:val="Hyperlink"/>
                <w:noProof/>
              </w:rPr>
              <w:t>Informationen zur Sicherheit und EMV-Hinweis für Powerline Geräte und Pass-Through-Steckdose</w:t>
            </w:r>
            <w:r w:rsidR="00347E70">
              <w:rPr>
                <w:noProof/>
                <w:webHidden/>
              </w:rPr>
              <w:tab/>
            </w:r>
            <w:r w:rsidR="00347E70">
              <w:rPr>
                <w:noProof/>
                <w:webHidden/>
              </w:rPr>
              <w:fldChar w:fldCharType="begin"/>
            </w:r>
            <w:r w:rsidR="00347E70">
              <w:rPr>
                <w:noProof/>
                <w:webHidden/>
              </w:rPr>
              <w:instrText xml:space="preserve"> PAGEREF _Toc118968947 \h </w:instrText>
            </w:r>
            <w:r w:rsidR="00347E70">
              <w:rPr>
                <w:noProof/>
                <w:webHidden/>
              </w:rPr>
            </w:r>
            <w:r w:rsidR="00347E70">
              <w:rPr>
                <w:noProof/>
                <w:webHidden/>
              </w:rPr>
              <w:fldChar w:fldCharType="separate"/>
            </w:r>
            <w:r w:rsidR="00347E70">
              <w:rPr>
                <w:noProof/>
                <w:webHidden/>
              </w:rPr>
              <w:t>16</w:t>
            </w:r>
            <w:r w:rsidR="00347E70">
              <w:rPr>
                <w:noProof/>
                <w:webHidden/>
              </w:rPr>
              <w:fldChar w:fldCharType="end"/>
            </w:r>
          </w:hyperlink>
        </w:p>
        <w:p w14:paraId="7E221ADB" w14:textId="7B708558" w:rsidR="00347E70" w:rsidRDefault="00F946ED">
          <w:pPr>
            <w:pStyle w:val="TOC2"/>
            <w:tabs>
              <w:tab w:val="right" w:leader="dot" w:pos="9350"/>
            </w:tabs>
            <w:rPr>
              <w:rFonts w:asciiTheme="minorHAnsi" w:eastAsiaTheme="minorEastAsia" w:hAnsiTheme="minorHAnsi"/>
              <w:noProof/>
              <w:sz w:val="22"/>
              <w:lang w:val="en-US" w:eastAsia="zh-TW"/>
            </w:rPr>
          </w:pPr>
          <w:hyperlink w:anchor="_Toc118968948" w:history="1">
            <w:r w:rsidR="00347E70" w:rsidRPr="00174E38">
              <w:rPr>
                <w:rStyle w:val="Hyperlink"/>
                <w:noProof/>
              </w:rPr>
              <w:t>Allgemeine Hinweise</w:t>
            </w:r>
            <w:r w:rsidR="00347E70">
              <w:rPr>
                <w:noProof/>
                <w:webHidden/>
              </w:rPr>
              <w:tab/>
            </w:r>
            <w:r w:rsidR="00347E70">
              <w:rPr>
                <w:noProof/>
                <w:webHidden/>
              </w:rPr>
              <w:fldChar w:fldCharType="begin"/>
            </w:r>
            <w:r w:rsidR="00347E70">
              <w:rPr>
                <w:noProof/>
                <w:webHidden/>
              </w:rPr>
              <w:instrText xml:space="preserve"> PAGEREF _Toc118968948 \h </w:instrText>
            </w:r>
            <w:r w:rsidR="00347E70">
              <w:rPr>
                <w:noProof/>
                <w:webHidden/>
              </w:rPr>
            </w:r>
            <w:r w:rsidR="00347E70">
              <w:rPr>
                <w:noProof/>
                <w:webHidden/>
              </w:rPr>
              <w:fldChar w:fldCharType="separate"/>
            </w:r>
            <w:r w:rsidR="00347E70">
              <w:rPr>
                <w:noProof/>
                <w:webHidden/>
              </w:rPr>
              <w:t>17</w:t>
            </w:r>
            <w:r w:rsidR="00347E70">
              <w:rPr>
                <w:noProof/>
                <w:webHidden/>
              </w:rPr>
              <w:fldChar w:fldCharType="end"/>
            </w:r>
          </w:hyperlink>
        </w:p>
        <w:p w14:paraId="7D6D3B11" w14:textId="78BB07A5" w:rsidR="00347E70" w:rsidRDefault="00F946ED">
          <w:pPr>
            <w:pStyle w:val="TOC1"/>
            <w:rPr>
              <w:rFonts w:asciiTheme="minorHAnsi" w:eastAsiaTheme="minorEastAsia" w:hAnsiTheme="minorHAnsi"/>
              <w:noProof/>
              <w:sz w:val="22"/>
              <w:lang w:val="en-US" w:eastAsia="zh-TW"/>
            </w:rPr>
          </w:pPr>
          <w:hyperlink w:anchor="_Toc118968949" w:history="1">
            <w:r w:rsidR="00347E70" w:rsidRPr="00174E38">
              <w:rPr>
                <w:rStyle w:val="Hyperlink"/>
                <w:noProof/>
              </w:rPr>
              <w:t>Konformität mit der California Proposition 65 (Prop 65)</w:t>
            </w:r>
            <w:r w:rsidR="00347E70">
              <w:rPr>
                <w:noProof/>
                <w:webHidden/>
              </w:rPr>
              <w:tab/>
            </w:r>
            <w:r w:rsidR="00347E70">
              <w:rPr>
                <w:noProof/>
                <w:webHidden/>
              </w:rPr>
              <w:fldChar w:fldCharType="begin"/>
            </w:r>
            <w:r w:rsidR="00347E70">
              <w:rPr>
                <w:noProof/>
                <w:webHidden/>
              </w:rPr>
              <w:instrText xml:space="preserve"> PAGEREF _Toc118968949 \h </w:instrText>
            </w:r>
            <w:r w:rsidR="00347E70">
              <w:rPr>
                <w:noProof/>
                <w:webHidden/>
              </w:rPr>
            </w:r>
            <w:r w:rsidR="00347E70">
              <w:rPr>
                <w:noProof/>
                <w:webHidden/>
              </w:rPr>
              <w:fldChar w:fldCharType="separate"/>
            </w:r>
            <w:r w:rsidR="00347E70">
              <w:rPr>
                <w:noProof/>
                <w:webHidden/>
              </w:rPr>
              <w:t>17</w:t>
            </w:r>
            <w:r w:rsidR="00347E70">
              <w:rPr>
                <w:noProof/>
                <w:webHidden/>
              </w:rPr>
              <w:fldChar w:fldCharType="end"/>
            </w:r>
          </w:hyperlink>
        </w:p>
        <w:p w14:paraId="627FF096" w14:textId="6371ECB6" w:rsidR="00347E70" w:rsidRDefault="00F946ED">
          <w:pPr>
            <w:pStyle w:val="TOC1"/>
            <w:rPr>
              <w:rFonts w:asciiTheme="minorHAnsi" w:eastAsiaTheme="minorEastAsia" w:hAnsiTheme="minorHAnsi"/>
              <w:noProof/>
              <w:sz w:val="22"/>
              <w:lang w:val="en-US" w:eastAsia="zh-TW"/>
            </w:rPr>
          </w:pPr>
          <w:hyperlink w:anchor="_Toc118968950" w:history="1">
            <w:r w:rsidR="00347E70" w:rsidRPr="00174E38">
              <w:rPr>
                <w:rStyle w:val="Hyperlink"/>
                <w:noProof/>
              </w:rPr>
              <w:t>Sicherheitshinweise für die Befestigung im Rack</w:t>
            </w:r>
            <w:r w:rsidR="00347E70">
              <w:rPr>
                <w:noProof/>
                <w:webHidden/>
              </w:rPr>
              <w:tab/>
            </w:r>
            <w:r w:rsidR="00347E70">
              <w:rPr>
                <w:noProof/>
                <w:webHidden/>
              </w:rPr>
              <w:fldChar w:fldCharType="begin"/>
            </w:r>
            <w:r w:rsidR="00347E70">
              <w:rPr>
                <w:noProof/>
                <w:webHidden/>
              </w:rPr>
              <w:instrText xml:space="preserve"> PAGEREF _Toc118968950 \h </w:instrText>
            </w:r>
            <w:r w:rsidR="00347E70">
              <w:rPr>
                <w:noProof/>
                <w:webHidden/>
              </w:rPr>
            </w:r>
            <w:r w:rsidR="00347E70">
              <w:rPr>
                <w:noProof/>
                <w:webHidden/>
              </w:rPr>
              <w:fldChar w:fldCharType="separate"/>
            </w:r>
            <w:r w:rsidR="00347E70">
              <w:rPr>
                <w:noProof/>
                <w:webHidden/>
              </w:rPr>
              <w:t>17</w:t>
            </w:r>
            <w:r w:rsidR="00347E70">
              <w:rPr>
                <w:noProof/>
                <w:webHidden/>
              </w:rPr>
              <w:fldChar w:fldCharType="end"/>
            </w:r>
          </w:hyperlink>
        </w:p>
        <w:p w14:paraId="7020F41B" w14:textId="613D9C9B" w:rsidR="002C7415" w:rsidRPr="006F2801" w:rsidRDefault="00B45971">
          <w:pPr>
            <w:rPr>
              <w:b/>
            </w:rPr>
          </w:pPr>
          <w:r>
            <w:rPr>
              <w:b/>
            </w:rPr>
            <w:fldChar w:fldCharType="end"/>
          </w:r>
        </w:p>
      </w:sdtContent>
    </w:sdt>
    <w:p w14:paraId="64B77610" w14:textId="413F0795" w:rsidR="002C7415" w:rsidRDefault="002C7415" w:rsidP="002C7415">
      <w:pPr>
        <w:pStyle w:val="Heading1"/>
      </w:pPr>
      <w:bookmarkStart w:id="0" w:name="_Toc118968903"/>
      <w:r>
        <w:t>Sicherheitsinformationen und -hinweise</w:t>
      </w:r>
      <w:bookmarkEnd w:id="0"/>
    </w:p>
    <w:p w14:paraId="2A12AAA9" w14:textId="0A919169" w:rsidR="00434FDD" w:rsidRDefault="00434FDD" w:rsidP="007000CC">
      <w:pPr>
        <w:spacing w:after="0"/>
      </w:pPr>
      <w:r>
        <w:t xml:space="preserve">Beachten Sie die Warnungen, Vorsichtsmaßnahmen und Hinweise in den entsprechenden Dokumenten zur Gerätesicherheit und zu den gesetzlichen Bestimmungen im Abschnitt zur Einhaltung der Sicherheitsvorschriften unter </w:t>
      </w:r>
      <w:hyperlink r:id="rId12" w:history="1">
        <w:r>
          <w:rPr>
            <w:rStyle w:val="Hyperlink"/>
          </w:rPr>
          <w:t>www.netgear.com/about/regulatory/</w:t>
        </w:r>
      </w:hyperlink>
    </w:p>
    <w:p w14:paraId="51FE6BC8" w14:textId="77777777" w:rsidR="00BF4BEC" w:rsidRPr="00434FDD" w:rsidRDefault="00BF4BEC" w:rsidP="007000CC">
      <w:pPr>
        <w:spacing w:after="0" w:line="240" w:lineRule="auto"/>
      </w:pPr>
    </w:p>
    <w:p w14:paraId="6D39395F" w14:textId="77777777" w:rsidR="002C7415" w:rsidRPr="003C0805" w:rsidRDefault="002C7415" w:rsidP="000C20D9">
      <w:pPr>
        <w:pStyle w:val="Heading3"/>
      </w:pPr>
      <w:bookmarkStart w:id="1" w:name="_Toc118968904"/>
      <w:r>
        <w:t>Sicherer Umgang mit und sichere Verwendung von Akkus und Batterien</w:t>
      </w:r>
      <w:bookmarkEnd w:id="1"/>
    </w:p>
    <w:p w14:paraId="589F7F44" w14:textId="2125479B" w:rsidR="00BF4BEC" w:rsidRDefault="00BF4BEC" w:rsidP="00BF4BEC">
      <w:r>
        <w:t xml:space="preserve">Beachten Sie die Warnungen, Vorsichtsmaßnahmen und Hinweise im Dokument Batteriewarnhinweise und -sicherheit im Abschnitt Sicherheitsbestimmungen unter </w:t>
      </w:r>
      <w:hyperlink r:id="rId13" w:history="1">
        <w:r>
          <w:rPr>
            <w:rStyle w:val="Hyperlink"/>
          </w:rPr>
          <w:t>www.netgear.com/about/regulatory/</w:t>
        </w:r>
      </w:hyperlink>
    </w:p>
    <w:p w14:paraId="551258F7" w14:textId="77777777" w:rsidR="002C7415" w:rsidRPr="00E109AA" w:rsidRDefault="002C7415" w:rsidP="002C7415">
      <w:pPr>
        <w:numPr>
          <w:ilvl w:val="0"/>
          <w:numId w:val="42"/>
        </w:numPr>
        <w:autoSpaceDE w:val="0"/>
        <w:autoSpaceDN w:val="0"/>
        <w:adjustRightInd w:val="0"/>
        <w:spacing w:after="0" w:line="240" w:lineRule="auto"/>
      </w:pPr>
      <w:r>
        <w:t>Wenn Ihr Netzteil Wasser, anderen Flüssigkeiten oder übermäßiger Feuchtigkeit ausgesetzt war, bringen Sie es zur Durchsicht zu einem autorisierten Dienstleister.</w:t>
      </w:r>
    </w:p>
    <w:p w14:paraId="3BEBD7BE" w14:textId="77777777" w:rsidR="002C7415" w:rsidRPr="00E109AA" w:rsidRDefault="002C7415" w:rsidP="002C7415">
      <w:pPr>
        <w:numPr>
          <w:ilvl w:val="0"/>
          <w:numId w:val="42"/>
        </w:numPr>
        <w:autoSpaceDE w:val="0"/>
        <w:autoSpaceDN w:val="0"/>
        <w:adjustRightInd w:val="0"/>
        <w:spacing w:after="0" w:line="240" w:lineRule="auto"/>
      </w:pPr>
    </w:p>
    <w:p w14:paraId="619547FB" w14:textId="77777777" w:rsidR="002C7415" w:rsidRPr="00E109AA" w:rsidRDefault="002C7415" w:rsidP="002C7415">
      <w:pPr>
        <w:numPr>
          <w:ilvl w:val="0"/>
          <w:numId w:val="44"/>
        </w:numPr>
        <w:autoSpaceDE w:val="0"/>
        <w:autoSpaceDN w:val="0"/>
        <w:adjustRightInd w:val="0"/>
        <w:spacing w:after="22" w:line="240" w:lineRule="auto"/>
      </w:pPr>
      <w:r>
        <w:t>Das Gerät sollte nur an eine Steckdose angeschlossen werden, die sich in seiner Nähe befindet und leicht zugänglich ist.</w:t>
      </w:r>
    </w:p>
    <w:p w14:paraId="404D4A89" w14:textId="77777777" w:rsidR="002C7415" w:rsidRDefault="002C7415" w:rsidP="002C7415">
      <w:pPr>
        <w:autoSpaceDE w:val="0"/>
        <w:autoSpaceDN w:val="0"/>
        <w:adjustRightInd w:val="0"/>
        <w:spacing w:after="0" w:line="240" w:lineRule="auto"/>
        <w:rPr>
          <w:rFonts w:ascii="Foundry Sterling Book" w:hAnsi="Foundry Sterling Book" w:cs="Foundry Sterling Book"/>
          <w:color w:val="000000"/>
          <w:sz w:val="14"/>
          <w:szCs w:val="14"/>
        </w:rPr>
      </w:pPr>
    </w:p>
    <w:p w14:paraId="5DB786B3" w14:textId="744FA7BC" w:rsidR="002C7415" w:rsidRDefault="002C7415" w:rsidP="000C20D9">
      <w:pPr>
        <w:pStyle w:val="Heading2"/>
      </w:pPr>
      <w:bookmarkStart w:id="2" w:name="_Toc118968905"/>
      <w:r>
        <w:t>Kennzeichnung finden</w:t>
      </w:r>
      <w:bookmarkEnd w:id="2"/>
    </w:p>
    <w:p w14:paraId="6B274B8B" w14:textId="44E4FD46" w:rsidR="002C7415" w:rsidRPr="00455E2C" w:rsidRDefault="002C7415" w:rsidP="00BB37EA">
      <w:bookmarkStart w:id="3" w:name="_Hlk41642397"/>
      <w:r>
        <w:t>Die Kennzeichnung von Netgear Produkten, einschließlich aller Netgear Switches und Rackmount ReadyNAS-Produkte sowie praktisch aller WLAN-Router und Satellitensysteme, befindet sich auf der Unterseite des Geräts</w:t>
      </w:r>
      <w:bookmarkEnd w:id="3"/>
      <w:r>
        <w:t xml:space="preserve">. </w:t>
      </w:r>
    </w:p>
    <w:p w14:paraId="6874B7CE" w14:textId="77777777" w:rsidR="002C7415" w:rsidRPr="000C20D9" w:rsidRDefault="002C7415" w:rsidP="000C20D9">
      <w:pPr>
        <w:pStyle w:val="Heading2"/>
      </w:pPr>
      <w:bookmarkStart w:id="4" w:name="_Toc118968906"/>
      <w:r>
        <w:t>Verwendung an Orten, an denen sich Kinder aufhalten können</w:t>
      </w:r>
      <w:bookmarkEnd w:id="4"/>
    </w:p>
    <w:p w14:paraId="60BC4DF9" w14:textId="38E4DE0D" w:rsidR="002C7415" w:rsidRDefault="002C7415" w:rsidP="002C7415">
      <w:r>
        <w:t>Aufgrund von Änderungen in den Sicherheitsnormen wurden die folgenden Produkte für die Verwendung an Orten, an denen sich Kinder aufhalten können, nicht mit dem in EN 62368-1 vorgesehenen Prüffinger getestet.</w:t>
      </w:r>
    </w:p>
    <w:tbl>
      <w:tblPr>
        <w:tblStyle w:val="TableGrid"/>
        <w:tblW w:w="0" w:type="auto"/>
        <w:tblLook w:val="04A0" w:firstRow="1" w:lastRow="0" w:firstColumn="1" w:lastColumn="0" w:noHBand="0" w:noVBand="1"/>
      </w:tblPr>
      <w:tblGrid>
        <w:gridCol w:w="1807"/>
        <w:gridCol w:w="1751"/>
        <w:gridCol w:w="2087"/>
        <w:gridCol w:w="1977"/>
        <w:gridCol w:w="1728"/>
      </w:tblGrid>
      <w:tr w:rsidR="007A37BA" w14:paraId="7E8ADA2B" w14:textId="77777777" w:rsidTr="007A37BA">
        <w:tc>
          <w:tcPr>
            <w:tcW w:w="1807" w:type="dxa"/>
          </w:tcPr>
          <w:p w14:paraId="33083821" w14:textId="64F24229" w:rsidR="007E040C" w:rsidRDefault="007E040C" w:rsidP="007E040C">
            <w:r>
              <w:lastRenderedPageBreak/>
              <w:t>GC510PP</w:t>
            </w:r>
          </w:p>
        </w:tc>
        <w:tc>
          <w:tcPr>
            <w:tcW w:w="1751" w:type="dxa"/>
          </w:tcPr>
          <w:p w14:paraId="5D5E0854" w14:textId="2517F6E4" w:rsidR="007E040C" w:rsidRDefault="007E040C" w:rsidP="007E040C">
            <w:r>
              <w:t>GS348(T)</w:t>
            </w:r>
          </w:p>
        </w:tc>
        <w:tc>
          <w:tcPr>
            <w:tcW w:w="2087" w:type="dxa"/>
          </w:tcPr>
          <w:p w14:paraId="7B725D26" w14:textId="117D8E71" w:rsidR="007E040C" w:rsidRDefault="00F52ECD" w:rsidP="007E040C">
            <w:r>
              <w:t>GS710TUP</w:t>
            </w:r>
          </w:p>
        </w:tc>
        <w:tc>
          <w:tcPr>
            <w:tcW w:w="1977" w:type="dxa"/>
          </w:tcPr>
          <w:p w14:paraId="6D6C6473" w14:textId="1D77DFF1" w:rsidR="007E040C" w:rsidRDefault="0006445B" w:rsidP="007E040C">
            <w:r>
              <w:t>GS748T</w:t>
            </w:r>
          </w:p>
        </w:tc>
        <w:tc>
          <w:tcPr>
            <w:tcW w:w="1728" w:type="dxa"/>
          </w:tcPr>
          <w:p w14:paraId="72569479" w14:textId="6D45F0F9" w:rsidR="007E040C" w:rsidRDefault="0006445B" w:rsidP="007E040C">
            <w:r>
              <w:t>GSM4328PB/S</w:t>
            </w:r>
          </w:p>
        </w:tc>
      </w:tr>
      <w:tr w:rsidR="007A37BA" w14:paraId="03C0D3D1" w14:textId="77777777" w:rsidTr="007A37BA">
        <w:tc>
          <w:tcPr>
            <w:tcW w:w="1807" w:type="dxa"/>
          </w:tcPr>
          <w:p w14:paraId="2FE09956" w14:textId="3CE10FF6" w:rsidR="007E040C" w:rsidRDefault="007E040C" w:rsidP="007E040C">
            <w:r>
              <w:t>GC728X/XP</w:t>
            </w:r>
          </w:p>
        </w:tc>
        <w:tc>
          <w:tcPr>
            <w:tcW w:w="1751" w:type="dxa"/>
          </w:tcPr>
          <w:p w14:paraId="56673981" w14:textId="74C2F37B" w:rsidR="007E040C" w:rsidRDefault="007E040C" w:rsidP="007E040C">
            <w:r>
              <w:t>GS408EPP</w:t>
            </w:r>
          </w:p>
        </w:tc>
        <w:tc>
          <w:tcPr>
            <w:tcW w:w="2087" w:type="dxa"/>
          </w:tcPr>
          <w:p w14:paraId="5115EBB8" w14:textId="5C806CF3" w:rsidR="007E040C" w:rsidRDefault="0006445B" w:rsidP="007E040C">
            <w:r>
              <w:t>GS716T/TP/TPP</w:t>
            </w:r>
          </w:p>
        </w:tc>
        <w:tc>
          <w:tcPr>
            <w:tcW w:w="1977" w:type="dxa"/>
          </w:tcPr>
          <w:p w14:paraId="5100D439" w14:textId="6D99A8C5" w:rsidR="007E040C" w:rsidRDefault="0006445B" w:rsidP="007E040C">
            <w:r>
              <w:t>GS750E</w:t>
            </w:r>
          </w:p>
        </w:tc>
        <w:tc>
          <w:tcPr>
            <w:tcW w:w="1728" w:type="dxa"/>
          </w:tcPr>
          <w:p w14:paraId="27DA7B81" w14:textId="216FE42B" w:rsidR="007E040C" w:rsidRDefault="0006445B" w:rsidP="007E040C">
            <w:r>
              <w:t>GSM4352PB/S</w:t>
            </w:r>
          </w:p>
        </w:tc>
      </w:tr>
      <w:tr w:rsidR="007A37BA" w14:paraId="659BDA6F" w14:textId="77777777" w:rsidTr="007A37BA">
        <w:tc>
          <w:tcPr>
            <w:tcW w:w="1807" w:type="dxa"/>
          </w:tcPr>
          <w:p w14:paraId="178AA523" w14:textId="212E2DE1" w:rsidR="007E040C" w:rsidRDefault="007E040C" w:rsidP="007E040C">
            <w:r>
              <w:t>GC752X/XP</w:t>
            </w:r>
          </w:p>
        </w:tc>
        <w:tc>
          <w:tcPr>
            <w:tcW w:w="1751" w:type="dxa"/>
          </w:tcPr>
          <w:p w14:paraId="3CEDE9A3" w14:textId="079674C3" w:rsidR="007E040C" w:rsidRDefault="007576CC" w:rsidP="007E040C">
            <w:r>
              <w:t>XSM4396S</w:t>
            </w:r>
          </w:p>
        </w:tc>
        <w:tc>
          <w:tcPr>
            <w:tcW w:w="2087" w:type="dxa"/>
          </w:tcPr>
          <w:p w14:paraId="7BD2E4E7" w14:textId="77777777" w:rsidR="0006445B" w:rsidRDefault="0006445B" w:rsidP="007E040C">
            <w:r>
              <w:t>MS510TX/TXM/</w:t>
            </w:r>
          </w:p>
          <w:p w14:paraId="0E28D55B" w14:textId="792AD8FA" w:rsidR="007E040C" w:rsidRDefault="0006445B" w:rsidP="007E040C">
            <w:r>
              <w:t>TXPP/TXUP</w:t>
            </w:r>
          </w:p>
        </w:tc>
        <w:tc>
          <w:tcPr>
            <w:tcW w:w="1977" w:type="dxa"/>
          </w:tcPr>
          <w:p w14:paraId="641D905F" w14:textId="77777777" w:rsidR="0006445B" w:rsidRDefault="0006445B" w:rsidP="007E040C">
            <w:r>
              <w:t>GS752TP/TPP/TPSE/</w:t>
            </w:r>
          </w:p>
          <w:p w14:paraId="4F8DADF1" w14:textId="27B19E95" w:rsidR="007E040C" w:rsidRDefault="0006445B" w:rsidP="007E040C">
            <w:r>
              <w:t>TSB/TX/TXP/TXS</w:t>
            </w:r>
          </w:p>
        </w:tc>
        <w:tc>
          <w:tcPr>
            <w:tcW w:w="1728" w:type="dxa"/>
          </w:tcPr>
          <w:p w14:paraId="0956E500" w14:textId="54280342" w:rsidR="007E040C" w:rsidRDefault="0006445B" w:rsidP="007E040C">
            <w:r>
              <w:t>GSM7328FS</w:t>
            </w:r>
          </w:p>
        </w:tc>
      </w:tr>
      <w:tr w:rsidR="007A37BA" w14:paraId="4037C355" w14:textId="77777777" w:rsidTr="007A37BA">
        <w:tc>
          <w:tcPr>
            <w:tcW w:w="1807" w:type="dxa"/>
          </w:tcPr>
          <w:p w14:paraId="2717BF53" w14:textId="03A2DE98" w:rsidR="007E040C" w:rsidRDefault="007E040C" w:rsidP="007E040C">
            <w:r>
              <w:t>GS324/P/PP/T/TP</w:t>
            </w:r>
          </w:p>
        </w:tc>
        <w:tc>
          <w:tcPr>
            <w:tcW w:w="1751" w:type="dxa"/>
          </w:tcPr>
          <w:p w14:paraId="55139550" w14:textId="4567F4E2" w:rsidR="007E040C" w:rsidRDefault="007E040C" w:rsidP="007E040C">
            <w:r>
              <w:t>GS510TLP/TPP</w:t>
            </w:r>
          </w:p>
        </w:tc>
        <w:tc>
          <w:tcPr>
            <w:tcW w:w="2087" w:type="dxa"/>
          </w:tcPr>
          <w:p w14:paraId="6B5406CF" w14:textId="6DF97B64" w:rsidR="007E040C" w:rsidRDefault="0006445B" w:rsidP="007E040C">
            <w:r>
              <w:t>GS728TP/TPP/TX/TXP</w:t>
            </w:r>
          </w:p>
        </w:tc>
        <w:tc>
          <w:tcPr>
            <w:tcW w:w="1977" w:type="dxa"/>
          </w:tcPr>
          <w:p w14:paraId="119630DB" w14:textId="414AFD19" w:rsidR="007E040C" w:rsidRDefault="0006445B" w:rsidP="007E040C">
            <w:r>
              <w:t>GSM4210P</w:t>
            </w:r>
          </w:p>
        </w:tc>
        <w:tc>
          <w:tcPr>
            <w:tcW w:w="1728" w:type="dxa"/>
          </w:tcPr>
          <w:p w14:paraId="49DD0C90" w14:textId="455B37D5" w:rsidR="007E040C" w:rsidRDefault="0006445B" w:rsidP="007E040C">
            <w:r>
              <w:t>JGS516/PE</w:t>
            </w:r>
          </w:p>
        </w:tc>
      </w:tr>
      <w:tr w:rsidR="007A37BA" w14:paraId="03348542" w14:textId="77777777" w:rsidTr="007A37BA">
        <w:tc>
          <w:tcPr>
            <w:tcW w:w="1807" w:type="dxa"/>
          </w:tcPr>
          <w:p w14:paraId="2EB3B932" w14:textId="55018272" w:rsidR="0006445B" w:rsidRDefault="0006445B" w:rsidP="007E040C">
            <w:r>
              <w:t>JGS524/E/PE</w:t>
            </w:r>
          </w:p>
        </w:tc>
        <w:tc>
          <w:tcPr>
            <w:tcW w:w="1751" w:type="dxa"/>
          </w:tcPr>
          <w:p w14:paraId="3FD478D9" w14:textId="3C8DB8A5" w:rsidR="0006445B" w:rsidRDefault="0006445B" w:rsidP="007E040C">
            <w:r>
              <w:t>XS505M</w:t>
            </w:r>
          </w:p>
        </w:tc>
        <w:tc>
          <w:tcPr>
            <w:tcW w:w="2087" w:type="dxa"/>
          </w:tcPr>
          <w:p w14:paraId="552CF3D3" w14:textId="267BE9BC" w:rsidR="0006445B" w:rsidRDefault="0006445B" w:rsidP="007E040C">
            <w:r>
              <w:t>GS724T/TP/TPP</w:t>
            </w:r>
          </w:p>
        </w:tc>
        <w:tc>
          <w:tcPr>
            <w:tcW w:w="1977" w:type="dxa"/>
          </w:tcPr>
          <w:p w14:paraId="3892BB12" w14:textId="0B053EDD" w:rsidR="0006445B" w:rsidRDefault="0006445B" w:rsidP="007E040C">
            <w:r>
              <w:t>XS508M</w:t>
            </w:r>
          </w:p>
        </w:tc>
        <w:tc>
          <w:tcPr>
            <w:tcW w:w="1728" w:type="dxa"/>
          </w:tcPr>
          <w:p w14:paraId="701F7E13" w14:textId="31DED455" w:rsidR="0006445B" w:rsidRDefault="0006445B" w:rsidP="007E040C">
            <w:r>
              <w:t>XS512EM</w:t>
            </w:r>
          </w:p>
        </w:tc>
      </w:tr>
      <w:tr w:rsidR="0006445B" w14:paraId="4DC127B4" w14:textId="77777777" w:rsidTr="007A37BA">
        <w:tc>
          <w:tcPr>
            <w:tcW w:w="1807" w:type="dxa"/>
          </w:tcPr>
          <w:p w14:paraId="72826637" w14:textId="3420E4A2" w:rsidR="0006445B" w:rsidRDefault="0006445B" w:rsidP="007E040C">
            <w:r>
              <w:t>XS708E(T)</w:t>
            </w:r>
          </w:p>
        </w:tc>
        <w:tc>
          <w:tcPr>
            <w:tcW w:w="1751" w:type="dxa"/>
          </w:tcPr>
          <w:p w14:paraId="0F9846CB" w14:textId="0D78BC0A" w:rsidR="0006445B" w:rsidRDefault="0006445B" w:rsidP="007E040C">
            <w:r>
              <w:t>XS712T</w:t>
            </w:r>
          </w:p>
        </w:tc>
        <w:tc>
          <w:tcPr>
            <w:tcW w:w="2087" w:type="dxa"/>
          </w:tcPr>
          <w:p w14:paraId="5FE08221" w14:textId="290D3BCB" w:rsidR="0006445B" w:rsidRDefault="007A37BA" w:rsidP="007E040C">
            <w:r>
              <w:t>XS716E(T)</w:t>
            </w:r>
          </w:p>
        </w:tc>
        <w:tc>
          <w:tcPr>
            <w:tcW w:w="1977" w:type="dxa"/>
          </w:tcPr>
          <w:p w14:paraId="42ED2885" w14:textId="7843FEEF" w:rsidR="0006445B" w:rsidRDefault="007A37BA" w:rsidP="007E040C">
            <w:r>
              <w:t>XS724EM</w:t>
            </w:r>
          </w:p>
        </w:tc>
        <w:tc>
          <w:tcPr>
            <w:tcW w:w="1728" w:type="dxa"/>
          </w:tcPr>
          <w:p w14:paraId="1F384BD0" w14:textId="5E3B1016" w:rsidR="0006445B" w:rsidRDefault="007A37BA" w:rsidP="007E040C">
            <w:r>
              <w:t>XS728T</w:t>
            </w:r>
          </w:p>
        </w:tc>
      </w:tr>
      <w:tr w:rsidR="007A37BA" w14:paraId="55EB22D7" w14:textId="77777777" w:rsidTr="007A37BA">
        <w:tc>
          <w:tcPr>
            <w:tcW w:w="1807" w:type="dxa"/>
          </w:tcPr>
          <w:p w14:paraId="1649BF38" w14:textId="72264AA9" w:rsidR="007A37BA" w:rsidRDefault="007A37BA" w:rsidP="007A37BA">
            <w:r>
              <w:t>XS748T</w:t>
            </w:r>
          </w:p>
        </w:tc>
        <w:tc>
          <w:tcPr>
            <w:tcW w:w="1751" w:type="dxa"/>
          </w:tcPr>
          <w:p w14:paraId="2639834A" w14:textId="32EDEF0F" w:rsidR="007A37BA" w:rsidRDefault="007A37BA" w:rsidP="007A37BA">
            <w:r>
              <w:t>GS418TPP</w:t>
            </w:r>
          </w:p>
        </w:tc>
        <w:tc>
          <w:tcPr>
            <w:tcW w:w="2087" w:type="dxa"/>
          </w:tcPr>
          <w:p w14:paraId="076E6D5A" w14:textId="2EA62C64" w:rsidR="007A37BA" w:rsidRDefault="007A37BA" w:rsidP="007A37BA">
            <w:r>
              <w:t>XSM4316PA/PB/S</w:t>
            </w:r>
          </w:p>
        </w:tc>
        <w:tc>
          <w:tcPr>
            <w:tcW w:w="1977" w:type="dxa"/>
          </w:tcPr>
          <w:p w14:paraId="3265C367" w14:textId="48F43ECA" w:rsidR="007A37BA" w:rsidRDefault="007A37BA" w:rsidP="007A37BA">
            <w:r>
              <w:t>XSM4324CS/FS/S</w:t>
            </w:r>
          </w:p>
        </w:tc>
        <w:tc>
          <w:tcPr>
            <w:tcW w:w="1728" w:type="dxa"/>
          </w:tcPr>
          <w:p w14:paraId="0506189E" w14:textId="6FAD5490" w:rsidR="007A37BA" w:rsidRDefault="007A37BA" w:rsidP="007A37BA">
            <w:r>
              <w:t>XSM4348CS/FS/S</w:t>
            </w:r>
          </w:p>
        </w:tc>
      </w:tr>
      <w:tr w:rsidR="007576CC" w14:paraId="4AA32074" w14:textId="77777777" w:rsidTr="007A37BA">
        <w:tc>
          <w:tcPr>
            <w:tcW w:w="1807" w:type="dxa"/>
          </w:tcPr>
          <w:p w14:paraId="429FA849" w14:textId="0CA44568" w:rsidR="007576CC" w:rsidRDefault="007576CC" w:rsidP="007576CC">
            <w:r>
              <w:t>XSM4556</w:t>
            </w:r>
          </w:p>
        </w:tc>
        <w:tc>
          <w:tcPr>
            <w:tcW w:w="1751" w:type="dxa"/>
          </w:tcPr>
          <w:p w14:paraId="0207CBD8" w14:textId="0352C0A9" w:rsidR="007576CC" w:rsidRDefault="007576CC" w:rsidP="007576CC">
            <w:r>
              <w:t>RNR-12B</w:t>
            </w:r>
          </w:p>
        </w:tc>
        <w:tc>
          <w:tcPr>
            <w:tcW w:w="2087" w:type="dxa"/>
          </w:tcPr>
          <w:p w14:paraId="0023D059" w14:textId="2FBD9C5D" w:rsidR="007576CC" w:rsidRDefault="007576CC" w:rsidP="007576CC">
            <w:r>
              <w:t>R9000</w:t>
            </w:r>
          </w:p>
        </w:tc>
        <w:tc>
          <w:tcPr>
            <w:tcW w:w="1977" w:type="dxa"/>
          </w:tcPr>
          <w:p w14:paraId="78FCA69F" w14:textId="425F0931" w:rsidR="007576CC" w:rsidRDefault="007576CC" w:rsidP="007576CC">
            <w:r>
              <w:t>RAX120</w:t>
            </w:r>
          </w:p>
        </w:tc>
        <w:tc>
          <w:tcPr>
            <w:tcW w:w="1728" w:type="dxa"/>
          </w:tcPr>
          <w:p w14:paraId="0F910CC2" w14:textId="721CC223" w:rsidR="007576CC" w:rsidRDefault="007576CC" w:rsidP="007576CC">
            <w:r>
              <w:t>RAX200</w:t>
            </w:r>
          </w:p>
        </w:tc>
      </w:tr>
      <w:tr w:rsidR="007576CC" w14:paraId="4C113FD2" w14:textId="77777777" w:rsidTr="007A37BA">
        <w:tc>
          <w:tcPr>
            <w:tcW w:w="1807" w:type="dxa"/>
          </w:tcPr>
          <w:p w14:paraId="4974A46C" w14:textId="0D6CC7F4" w:rsidR="007576CC" w:rsidRDefault="007576CC" w:rsidP="007576CC">
            <w:r>
              <w:t>RND-2E</w:t>
            </w:r>
          </w:p>
        </w:tc>
        <w:tc>
          <w:tcPr>
            <w:tcW w:w="1751" w:type="dxa"/>
          </w:tcPr>
          <w:p w14:paraId="1AD48DF1" w14:textId="6B18E087" w:rsidR="007576CC" w:rsidRDefault="007576CC" w:rsidP="007576CC">
            <w:r>
              <w:t>RND-4E</w:t>
            </w:r>
          </w:p>
        </w:tc>
        <w:tc>
          <w:tcPr>
            <w:tcW w:w="2087" w:type="dxa"/>
          </w:tcPr>
          <w:p w14:paraId="67560DB2" w14:textId="2557B841" w:rsidR="007576CC" w:rsidRDefault="007576CC" w:rsidP="007576CC">
            <w:r>
              <w:t>RNR-4B</w:t>
            </w:r>
          </w:p>
        </w:tc>
        <w:tc>
          <w:tcPr>
            <w:tcW w:w="1977" w:type="dxa"/>
          </w:tcPr>
          <w:p w14:paraId="6B5859E0" w14:textId="2A1A53DD" w:rsidR="007576CC" w:rsidRDefault="007576CC" w:rsidP="007576CC">
            <w:r>
              <w:t>RND-2F</w:t>
            </w:r>
          </w:p>
        </w:tc>
        <w:tc>
          <w:tcPr>
            <w:tcW w:w="1728" w:type="dxa"/>
          </w:tcPr>
          <w:p w14:paraId="377CDC03" w14:textId="64E5E4BF" w:rsidR="007576CC" w:rsidRDefault="007576CC" w:rsidP="007576CC">
            <w:r>
              <w:t>RND-4G</w:t>
            </w:r>
          </w:p>
        </w:tc>
      </w:tr>
      <w:tr w:rsidR="007576CC" w14:paraId="15D0850B" w14:textId="77777777" w:rsidTr="007A37BA">
        <w:tc>
          <w:tcPr>
            <w:tcW w:w="1807" w:type="dxa"/>
          </w:tcPr>
          <w:p w14:paraId="7CCC1C74" w14:textId="75EF78A3" w:rsidR="007576CC" w:rsidRDefault="007576CC" w:rsidP="007576CC">
            <w:r>
              <w:t>RND-6E</w:t>
            </w:r>
          </w:p>
        </w:tc>
        <w:tc>
          <w:tcPr>
            <w:tcW w:w="1751" w:type="dxa"/>
          </w:tcPr>
          <w:p w14:paraId="3D6C7E29" w14:textId="681C4FB3" w:rsidR="007576CC" w:rsidRDefault="007576CC" w:rsidP="007576CC">
            <w:r>
              <w:t>RND-6F</w:t>
            </w:r>
          </w:p>
        </w:tc>
        <w:tc>
          <w:tcPr>
            <w:tcW w:w="2087" w:type="dxa"/>
          </w:tcPr>
          <w:p w14:paraId="0630B3A7" w14:textId="3BB38DC3" w:rsidR="007576CC" w:rsidRDefault="007576CC" w:rsidP="007576CC">
            <w:r>
              <w:t>RND-8A</w:t>
            </w:r>
          </w:p>
        </w:tc>
        <w:tc>
          <w:tcPr>
            <w:tcW w:w="1977" w:type="dxa"/>
          </w:tcPr>
          <w:p w14:paraId="1568CF75" w14:textId="06B231B3" w:rsidR="007576CC" w:rsidRDefault="007576CC" w:rsidP="007576CC">
            <w:r>
              <w:t>RND-8B</w:t>
            </w:r>
          </w:p>
        </w:tc>
        <w:tc>
          <w:tcPr>
            <w:tcW w:w="1728" w:type="dxa"/>
          </w:tcPr>
          <w:p w14:paraId="70EB8169" w14:textId="28B7B69F" w:rsidR="007576CC" w:rsidRDefault="007576CC" w:rsidP="007576CC">
            <w:r>
              <w:t>RNR-4C</w:t>
            </w:r>
          </w:p>
        </w:tc>
      </w:tr>
      <w:tr w:rsidR="007576CC" w14:paraId="1CA8887D" w14:textId="77777777" w:rsidTr="007A37BA">
        <w:tc>
          <w:tcPr>
            <w:tcW w:w="1807" w:type="dxa"/>
          </w:tcPr>
          <w:p w14:paraId="7B8CC00C" w14:textId="528710C6" w:rsidR="007576CC" w:rsidRDefault="006F2801" w:rsidP="007576CC">
            <w:r>
              <w:t>RNR-60A</w:t>
            </w:r>
          </w:p>
        </w:tc>
        <w:tc>
          <w:tcPr>
            <w:tcW w:w="1751" w:type="dxa"/>
          </w:tcPr>
          <w:p w14:paraId="61B09062" w14:textId="17C097AA" w:rsidR="007576CC" w:rsidRDefault="007576CC" w:rsidP="007576CC"/>
        </w:tc>
        <w:tc>
          <w:tcPr>
            <w:tcW w:w="2087" w:type="dxa"/>
          </w:tcPr>
          <w:p w14:paraId="4D9FDB8A" w14:textId="77777777" w:rsidR="007576CC" w:rsidRDefault="007576CC" w:rsidP="007576CC"/>
        </w:tc>
        <w:tc>
          <w:tcPr>
            <w:tcW w:w="1977" w:type="dxa"/>
          </w:tcPr>
          <w:p w14:paraId="08B6121B" w14:textId="77777777" w:rsidR="007576CC" w:rsidRDefault="007576CC" w:rsidP="007576CC"/>
        </w:tc>
        <w:tc>
          <w:tcPr>
            <w:tcW w:w="1728" w:type="dxa"/>
          </w:tcPr>
          <w:p w14:paraId="4BE14889" w14:textId="77777777" w:rsidR="007576CC" w:rsidRDefault="007576CC" w:rsidP="007576CC"/>
        </w:tc>
      </w:tr>
    </w:tbl>
    <w:p w14:paraId="6A296FDD" w14:textId="77777777" w:rsidR="002C7415" w:rsidRPr="000C20D9" w:rsidRDefault="002C7415" w:rsidP="000C20D9">
      <w:pPr>
        <w:pStyle w:val="Heading2"/>
      </w:pPr>
      <w:bookmarkStart w:id="5" w:name="_Toc118968907"/>
      <w:r>
        <w:t>Hinweise für beschränkten Zugang</w:t>
      </w:r>
      <w:bookmarkEnd w:id="5"/>
    </w:p>
    <w:p w14:paraId="6A84E702" w14:textId="6CC645CB" w:rsidR="00DC500E" w:rsidRDefault="00DC500E" w:rsidP="00DC500E">
      <w:r>
        <w:t>Die folgende Geräte sind nur für die Installation an einem Ort mit beschränktem Zugang vorgesehen und dürfen nur von qualifizierten Mitarbeitern bedient werden:</w:t>
      </w:r>
    </w:p>
    <w:p w14:paraId="11D327FF" w14:textId="77777777" w:rsidR="002C7415" w:rsidRDefault="002C7415" w:rsidP="002C7415">
      <w:pPr>
        <w:pStyle w:val="ListParagraph"/>
        <w:numPr>
          <w:ilvl w:val="0"/>
          <w:numId w:val="23"/>
        </w:numPr>
      </w:pPr>
      <w:r>
        <w:t>RR2312</w:t>
      </w:r>
    </w:p>
    <w:p w14:paraId="6CB219D5" w14:textId="77777777" w:rsidR="002C7415" w:rsidRDefault="002C7415" w:rsidP="002C7415">
      <w:pPr>
        <w:pStyle w:val="ListParagraph"/>
        <w:numPr>
          <w:ilvl w:val="0"/>
          <w:numId w:val="23"/>
        </w:numPr>
      </w:pPr>
      <w:r>
        <w:t>RR3312</w:t>
      </w:r>
    </w:p>
    <w:p w14:paraId="0795E310" w14:textId="77777777" w:rsidR="002C7415" w:rsidRDefault="002C7415" w:rsidP="002C7415">
      <w:pPr>
        <w:pStyle w:val="ListParagraph"/>
        <w:numPr>
          <w:ilvl w:val="0"/>
          <w:numId w:val="23"/>
        </w:numPr>
      </w:pPr>
      <w:r>
        <w:t>RR4312</w:t>
      </w:r>
    </w:p>
    <w:p w14:paraId="70265AEB" w14:textId="77777777" w:rsidR="002C7415" w:rsidRPr="000C20D9" w:rsidRDefault="002C7415" w:rsidP="000C20D9">
      <w:pPr>
        <w:pStyle w:val="Heading2"/>
      </w:pPr>
      <w:bookmarkStart w:id="6" w:name="_Toc118968908"/>
      <w:r>
        <w:t>Hinweis für Koaxialkabel-TV und Internetanschluss (bei ausgewählten Modellen)</w:t>
      </w:r>
      <w:bookmarkEnd w:id="6"/>
    </w:p>
    <w:p w14:paraId="0A7AD0C7" w14:textId="77777777" w:rsidR="002C7415" w:rsidRPr="002C233A" w:rsidRDefault="002C7415" w:rsidP="002C7415">
      <w:pPr>
        <w:shd w:val="clear" w:color="auto" w:fill="FFFFFF"/>
        <w:spacing w:after="0" w:line="240" w:lineRule="auto"/>
        <w:rPr>
          <w:rFonts w:eastAsia="Times New Roman" w:cs="Arial"/>
          <w:sz w:val="23"/>
          <w:szCs w:val="23"/>
        </w:rPr>
      </w:pPr>
      <w:r>
        <w:rPr>
          <w:sz w:val="23"/>
        </w:rPr>
        <w:t xml:space="preserve">Die Informationen in diesem Abschnitt beziehen sich auf NETGEAR Produkte, die über einen TV-Tuner verfügen. </w:t>
      </w:r>
    </w:p>
    <w:p w14:paraId="24A808E2" w14:textId="77777777" w:rsidR="002C7415" w:rsidRPr="002C233A" w:rsidRDefault="002C7415" w:rsidP="002C7415">
      <w:pPr>
        <w:shd w:val="clear" w:color="auto" w:fill="FFFFFF"/>
        <w:spacing w:after="0" w:line="240" w:lineRule="auto"/>
        <w:rPr>
          <w:rFonts w:eastAsia="Times New Roman" w:cs="Arial"/>
          <w:sz w:val="23"/>
          <w:szCs w:val="23"/>
        </w:rPr>
      </w:pPr>
      <w:r>
        <w:rPr>
          <w:sz w:val="23"/>
        </w:rPr>
        <w:t xml:space="preserve">Hinweis für den CATV-Systeminstallateur: Mit diesem Hinweis werden CATV-Installateure auf Abschnitt 820-93 des National Electrical Code hingewiesen, der </w:t>
      </w:r>
    </w:p>
    <w:p w14:paraId="39EDBADC" w14:textId="5D698E7B" w:rsidR="002C7415" w:rsidRDefault="002C7415" w:rsidP="007000CC">
      <w:pPr>
        <w:spacing w:after="0"/>
      </w:pPr>
      <w:r>
        <w:rPr>
          <w:sz w:val="23"/>
        </w:rPr>
        <w:t>Richtlinien für eine ordnungsgemäße Erdung enthält und insbesondere vorschreibt, dass die Abdeckung des Koaxialkabels so nahe wie möglich am Kabeleingang mit dem Erdungssystem des Gebäudes verbunden werden muss.</w:t>
      </w:r>
    </w:p>
    <w:p w14:paraId="23F05E7D" w14:textId="5357F363" w:rsidR="004E534D" w:rsidRPr="004E534D" w:rsidRDefault="004E534D" w:rsidP="00481C42">
      <w:pPr>
        <w:pStyle w:val="Heading1"/>
      </w:pPr>
      <w:bookmarkStart w:id="7" w:name="_Toc118968909"/>
      <w:r>
        <w:t>Informationen zur Einhaltung rechtlicher Vorschriften</w:t>
      </w:r>
      <w:bookmarkEnd w:id="7"/>
    </w:p>
    <w:p w14:paraId="5765B674" w14:textId="77777777" w:rsidR="004E534D" w:rsidRPr="004E534D" w:rsidRDefault="004E534D" w:rsidP="004E534D">
      <w:pPr>
        <w:rPr>
          <w:rFonts w:cs="Arial"/>
        </w:rPr>
      </w:pPr>
      <w:r>
        <w:t>Dieses Dokument enthält die an den Benutzer gestellten Anforderungen für den Betrieb dieses NETGEAR Produkts unter Beachtung nationaler Vorschriften einschließlich der Regelungen zur Nutzung von Funkfrequenzen und des Betriebs von Funkanlagen. Sollte der Endbenutzer die einschlägigen rechtlichen Vorgaben nicht einhalten, kann dies zu einem rechtswidrigen Betrieb führen, der wiederum dazu führen kann, dass die entsprechende nationale Behörde ein Verfahren gegen den Endbenutzer einleitet.</w:t>
      </w:r>
    </w:p>
    <w:p w14:paraId="74156BB3" w14:textId="77777777" w:rsidR="004E534D" w:rsidRDefault="008D3F8E" w:rsidP="004E534D">
      <w:pPr>
        <w:rPr>
          <w:rFonts w:cs="Arial"/>
        </w:rPr>
      </w:pPr>
      <w:r>
        <w:t>Die NETGEAR Firmware für WLAN-Produkte beschränkt den Betrieb auf die Kanäle, die in einer bestimmten Region oder einem bestimmten Land zulässig sind. Aus diesem Grund stehen möglicherweise nicht alle in diesem Dokument beschriebenen Optionen für Ihre Version des Produkts zur Verfügung.</w:t>
      </w:r>
    </w:p>
    <w:p w14:paraId="74D1953B" w14:textId="77777777" w:rsidR="00AC23E2" w:rsidRDefault="00AC23E2" w:rsidP="004E534D">
      <w:pPr>
        <w:rPr>
          <w:rFonts w:cs="Arial"/>
        </w:rPr>
      </w:pPr>
      <w:r>
        <w:t>Dieses Dokument gilt sowohl für Geräte der Klasse A als auch der Klasse B:</w:t>
      </w:r>
    </w:p>
    <w:p w14:paraId="2756E528" w14:textId="77777777" w:rsidR="00AC23E2" w:rsidRPr="00AC23E2" w:rsidRDefault="00375F22" w:rsidP="00AC23E2">
      <w:pPr>
        <w:pStyle w:val="ListParagraph"/>
        <w:numPr>
          <w:ilvl w:val="0"/>
          <w:numId w:val="14"/>
        </w:numPr>
        <w:rPr>
          <w:rFonts w:cs="Arial"/>
        </w:rPr>
      </w:pPr>
      <w:r>
        <w:t>Geräte der Klasse A sind für den Einsatz in einer gewerblichen oder industriellen Umgebung bestimmt.  Sie sind nicht dazu bestimmt, in einem Wohnhaus oder für die private Nutzung eingesetzt zu werden.</w:t>
      </w:r>
    </w:p>
    <w:p w14:paraId="4BA1F896" w14:textId="77777777" w:rsidR="001E4EB5" w:rsidRPr="00BE55C8" w:rsidRDefault="00375F22" w:rsidP="009B16CB">
      <w:pPr>
        <w:pStyle w:val="ListParagraph"/>
        <w:numPr>
          <w:ilvl w:val="0"/>
          <w:numId w:val="14"/>
        </w:numPr>
        <w:rPr>
          <w:rFonts w:cstheme="majorBidi"/>
        </w:rPr>
      </w:pPr>
      <w:r>
        <w:t>Geräte der Klasse B sind für den Einsatz im Wohnbereich bestimmt, können aber auch in gewerblichen und industriellen Umgebungen zum Einsatz kommen.  Beispiele für Geräte der Klasse B sind Telefone, Personalcomputer und private Daten-Gateways.</w:t>
      </w:r>
    </w:p>
    <w:p w14:paraId="1FCA7028" w14:textId="77777777" w:rsidR="00BE55C8" w:rsidRDefault="00BE55C8" w:rsidP="00BE55C8">
      <w:pPr>
        <w:pStyle w:val="ListParagraph"/>
        <w:numPr>
          <w:ilvl w:val="0"/>
          <w:numId w:val="14"/>
        </w:numPr>
        <w:spacing w:after="0" w:line="240" w:lineRule="auto"/>
        <w:contextualSpacing w:val="0"/>
      </w:pPr>
      <w:r>
        <w:t>Sicherungen dürfen nur von Servicepersonal installiert werden.</w:t>
      </w:r>
    </w:p>
    <w:p w14:paraId="343D63F5" w14:textId="77777777" w:rsidR="00BE55C8" w:rsidRDefault="00BE55C8" w:rsidP="00BE55C8">
      <w:pPr>
        <w:pStyle w:val="ListParagraph"/>
        <w:numPr>
          <w:ilvl w:val="0"/>
          <w:numId w:val="14"/>
        </w:numPr>
        <w:spacing w:after="0" w:line="240" w:lineRule="auto"/>
        <w:contextualSpacing w:val="0"/>
      </w:pPr>
      <w:r>
        <w:t>NETGEAR empfiehlt die Verwendung von Telefonleitungen mit 26 AWG oder höher.</w:t>
      </w:r>
    </w:p>
    <w:p w14:paraId="30D2F333" w14:textId="15030AD4" w:rsidR="000A4B34" w:rsidRDefault="000A4B34" w:rsidP="007000CC">
      <w:pPr>
        <w:spacing w:after="0"/>
        <w:ind w:left="360"/>
      </w:pPr>
    </w:p>
    <w:p w14:paraId="1CC588A6" w14:textId="3BA5F85A" w:rsidR="00A670DE" w:rsidRDefault="00A670DE" w:rsidP="00A670DE">
      <w:pPr>
        <w:pStyle w:val="Heading2"/>
      </w:pPr>
      <w:bookmarkStart w:id="8" w:name="_Toc118968910"/>
      <w:r>
        <w:t>Für die Verwendung im Außenbereich zertifizierte Geräte</w:t>
      </w:r>
      <w:bookmarkEnd w:id="8"/>
    </w:p>
    <w:p w14:paraId="1DBDC0E3" w14:textId="4B1C0261" w:rsidR="00995943" w:rsidRDefault="00995943" w:rsidP="00A670DE">
      <w:pPr>
        <w:rPr>
          <w:rFonts w:cs="Arial"/>
        </w:rPr>
      </w:pPr>
      <w:r>
        <w:t>Netgear Produkte sind für die Verwendung in Innenräumen vorgesehen, mit der folgenden Ausnahme:</w:t>
      </w:r>
    </w:p>
    <w:p w14:paraId="6A498825" w14:textId="31081296" w:rsidR="00A670DE" w:rsidRDefault="00A670DE" w:rsidP="00A670DE">
      <w:pPr>
        <w:rPr>
          <w:rFonts w:cs="Arial"/>
        </w:rPr>
      </w:pPr>
      <w:r>
        <w:t>Die folgenden Produkte sind für die Verwendung im Außenbereich zertifiziert:</w:t>
      </w:r>
    </w:p>
    <w:p w14:paraId="21F8D2AD" w14:textId="7DCB25AC" w:rsidR="00A670DE" w:rsidRDefault="00A670DE" w:rsidP="00A670DE">
      <w:pPr>
        <w:pStyle w:val="Heading4"/>
      </w:pPr>
      <w:r>
        <w:t>Tabelle 1: Für die Verwendung im Außenbereich zertifizierte Produkte</w:t>
      </w:r>
    </w:p>
    <w:tbl>
      <w:tblPr>
        <w:tblStyle w:val="TableGrid"/>
        <w:tblW w:w="0" w:type="auto"/>
        <w:tblLook w:val="04A0" w:firstRow="1" w:lastRow="0" w:firstColumn="1" w:lastColumn="0" w:noHBand="0" w:noVBand="1"/>
      </w:tblPr>
      <w:tblGrid>
        <w:gridCol w:w="1690"/>
        <w:gridCol w:w="1185"/>
        <w:gridCol w:w="1260"/>
        <w:gridCol w:w="1080"/>
        <w:gridCol w:w="1260"/>
        <w:gridCol w:w="1260"/>
      </w:tblGrid>
      <w:tr w:rsidR="00260503" w14:paraId="3325B1ED" w14:textId="396B803C" w:rsidTr="00260503">
        <w:tc>
          <w:tcPr>
            <w:tcW w:w="1690" w:type="dxa"/>
            <w:tcBorders>
              <w:bottom w:val="nil"/>
            </w:tcBorders>
          </w:tcPr>
          <w:p w14:paraId="0D932872" w14:textId="153A6124" w:rsidR="00260503" w:rsidRPr="00E63B27" w:rsidRDefault="00260503" w:rsidP="00260503">
            <w:pPr>
              <w:rPr>
                <w:rFonts w:cs="Arial"/>
                <w:u w:val="single"/>
              </w:rPr>
            </w:pPr>
            <w:r>
              <w:rPr>
                <w:u w:val="single"/>
              </w:rPr>
              <w:t>Ortsgebunden:</w:t>
            </w:r>
          </w:p>
        </w:tc>
        <w:tc>
          <w:tcPr>
            <w:tcW w:w="1185" w:type="dxa"/>
          </w:tcPr>
          <w:p w14:paraId="61B70B84" w14:textId="290DB2DA" w:rsidR="00260503" w:rsidRDefault="00260503" w:rsidP="00260503">
            <w:pPr>
              <w:rPr>
                <w:rFonts w:cs="Arial"/>
              </w:rPr>
            </w:pPr>
            <w:r>
              <w:t>WND930</w:t>
            </w:r>
          </w:p>
        </w:tc>
        <w:tc>
          <w:tcPr>
            <w:tcW w:w="1260" w:type="dxa"/>
          </w:tcPr>
          <w:p w14:paraId="4641AA88" w14:textId="77777777" w:rsidR="00260503" w:rsidRPr="0060535B" w:rsidRDefault="00260503" w:rsidP="00260503">
            <w:pPr>
              <w:rPr>
                <w:rFonts w:cs="Arial"/>
                <w:highlight w:val="yellow"/>
              </w:rPr>
            </w:pPr>
            <w:r>
              <w:t>WBC502</w:t>
            </w:r>
          </w:p>
        </w:tc>
        <w:tc>
          <w:tcPr>
            <w:tcW w:w="1080" w:type="dxa"/>
          </w:tcPr>
          <w:p w14:paraId="60380C9B" w14:textId="35F588A4" w:rsidR="00260503" w:rsidRPr="0060535B" w:rsidRDefault="00260503" w:rsidP="00260503">
            <w:pPr>
              <w:rPr>
                <w:rFonts w:cs="Arial"/>
                <w:highlight w:val="yellow"/>
              </w:rPr>
            </w:pPr>
            <w:r>
              <w:t>RBS50Y</w:t>
            </w:r>
          </w:p>
        </w:tc>
        <w:tc>
          <w:tcPr>
            <w:tcW w:w="1260" w:type="dxa"/>
          </w:tcPr>
          <w:p w14:paraId="6148710C" w14:textId="2787CE13" w:rsidR="00260503" w:rsidRDefault="00260503" w:rsidP="00260503">
            <w:pPr>
              <w:rPr>
                <w:rFonts w:cs="Arial"/>
              </w:rPr>
            </w:pPr>
            <w:r>
              <w:t>WAX610Y</w:t>
            </w:r>
          </w:p>
        </w:tc>
        <w:tc>
          <w:tcPr>
            <w:tcW w:w="1260" w:type="dxa"/>
          </w:tcPr>
          <w:p w14:paraId="6C23408E" w14:textId="77777777" w:rsidR="00260503" w:rsidRDefault="00260503" w:rsidP="00260503">
            <w:pPr>
              <w:rPr>
                <w:rFonts w:cs="Arial"/>
              </w:rPr>
            </w:pPr>
          </w:p>
        </w:tc>
      </w:tr>
      <w:tr w:rsidR="00260503" w14:paraId="57BBDDCF" w14:textId="1F7081B9" w:rsidTr="00260503">
        <w:tc>
          <w:tcPr>
            <w:tcW w:w="1690" w:type="dxa"/>
            <w:tcBorders>
              <w:top w:val="nil"/>
            </w:tcBorders>
          </w:tcPr>
          <w:p w14:paraId="04A0B991" w14:textId="77777777" w:rsidR="00260503" w:rsidRDefault="00260503" w:rsidP="00260503">
            <w:pPr>
              <w:rPr>
                <w:rFonts w:cs="Arial"/>
              </w:rPr>
            </w:pPr>
          </w:p>
        </w:tc>
        <w:tc>
          <w:tcPr>
            <w:tcW w:w="1185" w:type="dxa"/>
          </w:tcPr>
          <w:p w14:paraId="48279F66" w14:textId="77B63F89" w:rsidR="00260503" w:rsidRDefault="00260503" w:rsidP="00260503">
            <w:pPr>
              <w:rPr>
                <w:rFonts w:cs="Arial"/>
              </w:rPr>
            </w:pPr>
          </w:p>
        </w:tc>
        <w:tc>
          <w:tcPr>
            <w:tcW w:w="1260" w:type="dxa"/>
          </w:tcPr>
          <w:p w14:paraId="331ADEC7" w14:textId="23867153" w:rsidR="00260503" w:rsidRDefault="00260503" w:rsidP="00260503">
            <w:pPr>
              <w:rPr>
                <w:rFonts w:cs="Arial"/>
              </w:rPr>
            </w:pPr>
          </w:p>
        </w:tc>
        <w:tc>
          <w:tcPr>
            <w:tcW w:w="1080" w:type="dxa"/>
          </w:tcPr>
          <w:p w14:paraId="28E14027" w14:textId="77777777" w:rsidR="00260503" w:rsidRDefault="00260503" w:rsidP="00260503">
            <w:pPr>
              <w:rPr>
                <w:rFonts w:cs="Arial"/>
              </w:rPr>
            </w:pPr>
          </w:p>
        </w:tc>
        <w:tc>
          <w:tcPr>
            <w:tcW w:w="1260" w:type="dxa"/>
          </w:tcPr>
          <w:p w14:paraId="6466D30F" w14:textId="77777777" w:rsidR="00260503" w:rsidRDefault="00260503" w:rsidP="00260503">
            <w:pPr>
              <w:rPr>
                <w:rFonts w:cs="Arial"/>
              </w:rPr>
            </w:pPr>
          </w:p>
        </w:tc>
        <w:tc>
          <w:tcPr>
            <w:tcW w:w="1260" w:type="dxa"/>
          </w:tcPr>
          <w:p w14:paraId="3A2D4CAE" w14:textId="77777777" w:rsidR="00260503" w:rsidRDefault="00260503" w:rsidP="00260503">
            <w:pPr>
              <w:rPr>
                <w:rFonts w:cs="Arial"/>
              </w:rPr>
            </w:pPr>
          </w:p>
        </w:tc>
      </w:tr>
      <w:tr w:rsidR="00260503" w14:paraId="2BE46B21" w14:textId="76E38B12" w:rsidTr="00E63B27">
        <w:trPr>
          <w:trHeight w:val="89"/>
        </w:trPr>
        <w:tc>
          <w:tcPr>
            <w:tcW w:w="1690" w:type="dxa"/>
            <w:tcBorders>
              <w:bottom w:val="single" w:sz="4" w:space="0" w:color="auto"/>
            </w:tcBorders>
          </w:tcPr>
          <w:p w14:paraId="63C04B92" w14:textId="77777777" w:rsidR="00260503" w:rsidRDefault="00260503" w:rsidP="00260503">
            <w:pPr>
              <w:rPr>
                <w:rFonts w:cs="Arial"/>
              </w:rPr>
            </w:pPr>
          </w:p>
        </w:tc>
        <w:tc>
          <w:tcPr>
            <w:tcW w:w="1185" w:type="dxa"/>
          </w:tcPr>
          <w:p w14:paraId="70C61DD3" w14:textId="24FB9CEF" w:rsidR="00260503" w:rsidRDefault="00260503" w:rsidP="00260503">
            <w:pPr>
              <w:rPr>
                <w:rFonts w:cs="Arial"/>
              </w:rPr>
            </w:pPr>
          </w:p>
        </w:tc>
        <w:tc>
          <w:tcPr>
            <w:tcW w:w="1260" w:type="dxa"/>
          </w:tcPr>
          <w:p w14:paraId="7B732A40" w14:textId="77777777" w:rsidR="00260503" w:rsidRDefault="00260503" w:rsidP="00260503">
            <w:pPr>
              <w:rPr>
                <w:rFonts w:cs="Arial"/>
              </w:rPr>
            </w:pPr>
          </w:p>
        </w:tc>
        <w:tc>
          <w:tcPr>
            <w:tcW w:w="1080" w:type="dxa"/>
          </w:tcPr>
          <w:p w14:paraId="0C28CA2C" w14:textId="77777777" w:rsidR="00260503" w:rsidRDefault="00260503" w:rsidP="00260503">
            <w:pPr>
              <w:rPr>
                <w:rFonts w:cs="Arial"/>
              </w:rPr>
            </w:pPr>
          </w:p>
        </w:tc>
        <w:tc>
          <w:tcPr>
            <w:tcW w:w="1260" w:type="dxa"/>
          </w:tcPr>
          <w:p w14:paraId="13E0A346" w14:textId="77777777" w:rsidR="00260503" w:rsidRDefault="00260503" w:rsidP="00260503">
            <w:pPr>
              <w:rPr>
                <w:rFonts w:cs="Arial"/>
              </w:rPr>
            </w:pPr>
          </w:p>
        </w:tc>
        <w:tc>
          <w:tcPr>
            <w:tcW w:w="1260" w:type="dxa"/>
          </w:tcPr>
          <w:p w14:paraId="125B25E8" w14:textId="77777777" w:rsidR="00260503" w:rsidRDefault="00260503" w:rsidP="00260503">
            <w:pPr>
              <w:rPr>
                <w:rFonts w:cs="Arial"/>
              </w:rPr>
            </w:pPr>
          </w:p>
        </w:tc>
      </w:tr>
      <w:tr w:rsidR="00260503" w14:paraId="48ED5DD5" w14:textId="4DC9EC34" w:rsidTr="00260503">
        <w:tc>
          <w:tcPr>
            <w:tcW w:w="1690" w:type="dxa"/>
            <w:tcBorders>
              <w:bottom w:val="nil"/>
            </w:tcBorders>
          </w:tcPr>
          <w:p w14:paraId="61F4E288" w14:textId="7BAD6A88" w:rsidR="00260503" w:rsidRPr="00E63B27" w:rsidRDefault="00260503" w:rsidP="00260503">
            <w:pPr>
              <w:rPr>
                <w:rFonts w:cs="Arial"/>
                <w:u w:val="single"/>
              </w:rPr>
            </w:pPr>
            <w:r>
              <w:rPr>
                <w:u w:val="single"/>
              </w:rPr>
              <w:t>Mobil:</w:t>
            </w:r>
          </w:p>
        </w:tc>
        <w:tc>
          <w:tcPr>
            <w:tcW w:w="1185" w:type="dxa"/>
          </w:tcPr>
          <w:p w14:paraId="66A8D0C7" w14:textId="63201C91" w:rsidR="00260503" w:rsidRDefault="00260503" w:rsidP="00260503">
            <w:pPr>
              <w:rPr>
                <w:rFonts w:cs="Arial"/>
              </w:rPr>
            </w:pPr>
            <w:r>
              <w:t>MR1100</w:t>
            </w:r>
          </w:p>
        </w:tc>
        <w:tc>
          <w:tcPr>
            <w:tcW w:w="1260" w:type="dxa"/>
          </w:tcPr>
          <w:p w14:paraId="755E4425" w14:textId="0282426E" w:rsidR="00260503" w:rsidRDefault="00260503" w:rsidP="00260503">
            <w:pPr>
              <w:rPr>
                <w:rFonts w:cs="Arial"/>
              </w:rPr>
            </w:pPr>
            <w:r>
              <w:t>MR2100</w:t>
            </w:r>
          </w:p>
        </w:tc>
        <w:tc>
          <w:tcPr>
            <w:tcW w:w="1080" w:type="dxa"/>
          </w:tcPr>
          <w:p w14:paraId="3C694830" w14:textId="3BA67D45" w:rsidR="00260503" w:rsidRDefault="00260503" w:rsidP="00260503">
            <w:pPr>
              <w:rPr>
                <w:rFonts w:cs="Arial"/>
              </w:rPr>
            </w:pPr>
            <w:r>
              <w:t>MR5100</w:t>
            </w:r>
          </w:p>
        </w:tc>
        <w:tc>
          <w:tcPr>
            <w:tcW w:w="1260" w:type="dxa"/>
          </w:tcPr>
          <w:p w14:paraId="2E031FF2" w14:textId="698B71A8" w:rsidR="00260503" w:rsidRDefault="00260503" w:rsidP="00260503">
            <w:pPr>
              <w:rPr>
                <w:rFonts w:cs="Arial"/>
              </w:rPr>
            </w:pPr>
            <w:r>
              <w:t>MR5200</w:t>
            </w:r>
          </w:p>
        </w:tc>
        <w:tc>
          <w:tcPr>
            <w:tcW w:w="1260" w:type="dxa"/>
          </w:tcPr>
          <w:p w14:paraId="56776633" w14:textId="77777777" w:rsidR="00260503" w:rsidRDefault="00260503" w:rsidP="00260503">
            <w:pPr>
              <w:rPr>
                <w:rFonts w:cs="Arial"/>
              </w:rPr>
            </w:pPr>
          </w:p>
        </w:tc>
      </w:tr>
      <w:tr w:rsidR="00260503" w14:paraId="71D84E0B" w14:textId="3D988E2A" w:rsidTr="00260503">
        <w:tc>
          <w:tcPr>
            <w:tcW w:w="1690" w:type="dxa"/>
            <w:tcBorders>
              <w:top w:val="nil"/>
              <w:bottom w:val="nil"/>
            </w:tcBorders>
          </w:tcPr>
          <w:p w14:paraId="387CF2E0" w14:textId="77777777" w:rsidR="00260503" w:rsidRPr="008172B1" w:rsidRDefault="00260503" w:rsidP="00260503">
            <w:pPr>
              <w:rPr>
                <w:rFonts w:cs="Arial"/>
              </w:rPr>
            </w:pPr>
          </w:p>
        </w:tc>
        <w:tc>
          <w:tcPr>
            <w:tcW w:w="1185" w:type="dxa"/>
          </w:tcPr>
          <w:p w14:paraId="0CFED318" w14:textId="0AA35EEA" w:rsidR="00260503" w:rsidRDefault="00260503" w:rsidP="00260503">
            <w:pPr>
              <w:rPr>
                <w:rFonts w:cs="Arial"/>
              </w:rPr>
            </w:pPr>
            <w:r>
              <w:t>MR61XX</w:t>
            </w:r>
          </w:p>
        </w:tc>
        <w:tc>
          <w:tcPr>
            <w:tcW w:w="1260" w:type="dxa"/>
          </w:tcPr>
          <w:p w14:paraId="26F4FFEF" w14:textId="7BD338F4" w:rsidR="00260503" w:rsidRDefault="00260503" w:rsidP="00260503">
            <w:pPr>
              <w:rPr>
                <w:rFonts w:cs="Arial"/>
              </w:rPr>
            </w:pPr>
            <w:r>
              <w:t>MR64XX</w:t>
            </w:r>
          </w:p>
        </w:tc>
        <w:tc>
          <w:tcPr>
            <w:tcW w:w="1080" w:type="dxa"/>
          </w:tcPr>
          <w:p w14:paraId="200B40DA" w14:textId="40D19BCB" w:rsidR="00260503" w:rsidRDefault="00260503" w:rsidP="00260503">
            <w:pPr>
              <w:rPr>
                <w:rFonts w:cs="Arial"/>
              </w:rPr>
            </w:pPr>
            <w:r>
              <w:t>MR65XX</w:t>
            </w:r>
          </w:p>
        </w:tc>
        <w:tc>
          <w:tcPr>
            <w:tcW w:w="1260" w:type="dxa"/>
          </w:tcPr>
          <w:p w14:paraId="6AC3BA8B" w14:textId="370748EA" w:rsidR="00260503" w:rsidRDefault="00260503" w:rsidP="00260503">
            <w:pPr>
              <w:rPr>
                <w:rFonts w:cs="Arial"/>
              </w:rPr>
            </w:pPr>
          </w:p>
        </w:tc>
        <w:tc>
          <w:tcPr>
            <w:tcW w:w="1260" w:type="dxa"/>
          </w:tcPr>
          <w:p w14:paraId="2092C0B8" w14:textId="77777777" w:rsidR="00260503" w:rsidRDefault="00260503" w:rsidP="00260503">
            <w:pPr>
              <w:rPr>
                <w:rFonts w:cs="Arial"/>
              </w:rPr>
            </w:pPr>
          </w:p>
        </w:tc>
      </w:tr>
      <w:tr w:rsidR="00260503" w14:paraId="5B0347CF" w14:textId="38F8160E" w:rsidTr="00260503">
        <w:tc>
          <w:tcPr>
            <w:tcW w:w="1690" w:type="dxa"/>
            <w:tcBorders>
              <w:top w:val="nil"/>
            </w:tcBorders>
          </w:tcPr>
          <w:p w14:paraId="065887FE" w14:textId="77777777" w:rsidR="00260503" w:rsidRDefault="00260503" w:rsidP="00260503">
            <w:pPr>
              <w:rPr>
                <w:rFonts w:cs="Arial"/>
              </w:rPr>
            </w:pPr>
          </w:p>
        </w:tc>
        <w:tc>
          <w:tcPr>
            <w:tcW w:w="1185" w:type="dxa"/>
          </w:tcPr>
          <w:p w14:paraId="24CB52F8" w14:textId="2C7E5A3C" w:rsidR="00260503" w:rsidRDefault="00260503" w:rsidP="00260503">
            <w:pPr>
              <w:rPr>
                <w:rFonts w:cs="Arial"/>
              </w:rPr>
            </w:pPr>
            <w:r>
              <w:t>A6100</w:t>
            </w:r>
          </w:p>
        </w:tc>
        <w:tc>
          <w:tcPr>
            <w:tcW w:w="1260" w:type="dxa"/>
          </w:tcPr>
          <w:p w14:paraId="273AC192" w14:textId="0395CF09" w:rsidR="00260503" w:rsidRDefault="00260503" w:rsidP="00260503">
            <w:pPr>
              <w:rPr>
                <w:rFonts w:cs="Arial"/>
              </w:rPr>
            </w:pPr>
            <w:r>
              <w:t>A6150</w:t>
            </w:r>
          </w:p>
        </w:tc>
        <w:tc>
          <w:tcPr>
            <w:tcW w:w="1080" w:type="dxa"/>
          </w:tcPr>
          <w:p w14:paraId="1420D0D6" w14:textId="25344AE9" w:rsidR="00260503" w:rsidRDefault="00260503" w:rsidP="00260503">
            <w:pPr>
              <w:rPr>
                <w:rFonts w:cs="Arial"/>
              </w:rPr>
            </w:pPr>
            <w:r>
              <w:t>A6210</w:t>
            </w:r>
          </w:p>
        </w:tc>
        <w:tc>
          <w:tcPr>
            <w:tcW w:w="1260" w:type="dxa"/>
          </w:tcPr>
          <w:p w14:paraId="49F87091" w14:textId="622AA0CA" w:rsidR="00260503" w:rsidRDefault="00260503" w:rsidP="00260503">
            <w:pPr>
              <w:rPr>
                <w:rFonts w:cs="Arial"/>
              </w:rPr>
            </w:pPr>
            <w:r>
              <w:t>A7000</w:t>
            </w:r>
          </w:p>
        </w:tc>
        <w:tc>
          <w:tcPr>
            <w:tcW w:w="1260" w:type="dxa"/>
          </w:tcPr>
          <w:p w14:paraId="2072EE4E" w14:textId="7740B07D" w:rsidR="00260503" w:rsidRDefault="00DF5D73" w:rsidP="00260503">
            <w:pPr>
              <w:rPr>
                <w:rFonts w:cs="Arial"/>
              </w:rPr>
            </w:pPr>
            <w:r>
              <w:t>A8000</w:t>
            </w:r>
          </w:p>
        </w:tc>
      </w:tr>
    </w:tbl>
    <w:p w14:paraId="5D393599" w14:textId="77777777" w:rsidR="00A670DE" w:rsidRDefault="00A670DE" w:rsidP="00A670DE">
      <w:pPr>
        <w:rPr>
          <w:rFonts w:cs="Arial"/>
        </w:rPr>
      </w:pPr>
    </w:p>
    <w:p w14:paraId="30C31AB8" w14:textId="25942375" w:rsidR="00A670DE" w:rsidRDefault="00A670DE" w:rsidP="006F2801">
      <w:r>
        <w:t xml:space="preserve">Vorsicht bei der </w:t>
      </w:r>
      <w:r>
        <w:rPr>
          <w:b/>
        </w:rPr>
        <w:t>Installation</w:t>
      </w:r>
      <w:r>
        <w:t xml:space="preserve"> dieses Geräts im Außenbereich: Beachten Sie, dass Installationen im Außenbereich besondere Aufmerksamkeit erfordern und nur von entsprechend geschulten und qualifizierten Fachkräften durchgeführt werden dürfen.  Privatpersonen ist es nicht gestattet, NETGEAR WLAN-Produkte im Außenbereich zu installieren, wenn für die Verwendung externe Antennen, Stromzufuhr und Erdung installiert werden müssen.  Insbesondere müssen die zulässigen Betriebsfrequenzen beachtet werden.  Falls dieses Produkt besondere Anforderungen im Hinblick auf die Installation im Außenbereich erfüllen muss, wenden Sie sich bitte an NETGEAR, um zu erfahren, wie Sie einen entsprechenden Installationspartner finden können.  Ausführliche Informationen zu Installationen in Frankreich erhalten Sie bei der nationalen Frequenzbehörde in Frankreich (http://www.arcep.fr/ )</w:t>
      </w:r>
    </w:p>
    <w:p w14:paraId="0D8A05E1" w14:textId="38604C89" w:rsidR="00430601" w:rsidRPr="000E6B64" w:rsidRDefault="00430601" w:rsidP="00D14AE9">
      <w:pPr>
        <w:spacing w:after="80" w:line="240" w:lineRule="auto"/>
      </w:pPr>
      <w:bookmarkStart w:id="9" w:name="_Hlk90038977"/>
      <w:r>
        <w:t>Wird das Gerät in den folgenden Frequenzbereichen betrieben, darf es in einigen Ländern nur in Innenräumen eingesetzt werden:</w:t>
      </w:r>
    </w:p>
    <w:p w14:paraId="0310517F" w14:textId="77777777" w:rsidR="00430601" w:rsidRPr="000E6B64" w:rsidRDefault="00430601" w:rsidP="00430601">
      <w:pPr>
        <w:pStyle w:val="ListParagraph"/>
        <w:spacing w:after="0" w:line="240" w:lineRule="auto"/>
        <w:contextualSpacing w:val="0"/>
      </w:pPr>
      <w:r>
        <w:t>5150 bis 5350 MHz</w:t>
      </w:r>
    </w:p>
    <w:p w14:paraId="241336ED" w14:textId="2466F7EC" w:rsidR="00430601" w:rsidRDefault="00430601" w:rsidP="00430601">
      <w:pPr>
        <w:pStyle w:val="ListParagraph"/>
        <w:spacing w:after="80" w:line="240" w:lineRule="auto"/>
        <w:contextualSpacing w:val="0"/>
      </w:pPr>
      <w:r>
        <w:t>5925 bis 7125 MHz</w:t>
      </w:r>
    </w:p>
    <w:p w14:paraId="4C64A96E" w14:textId="3CEB85A4" w:rsidR="00430601" w:rsidRDefault="00430601" w:rsidP="006F2801">
      <w:r>
        <w:t>Die FCC- und ISED-Bestimmungen beschränken den Betrieb dieses Geräts auf den Betrieb in Innenräumen im Access Point-Modus für die Frequenzen 5850 bis 7125 MHz.</w:t>
      </w:r>
      <w:bookmarkEnd w:id="9"/>
    </w:p>
    <w:p w14:paraId="27C8BB2E" w14:textId="77777777" w:rsidR="000A4B34" w:rsidRDefault="000A4B34" w:rsidP="007000CC">
      <w:pPr>
        <w:pStyle w:val="Heading2"/>
      </w:pPr>
      <w:bookmarkStart w:id="10" w:name="_Toc118968911"/>
      <w:r>
        <w:t>Geräte mit externen Antennen</w:t>
      </w:r>
      <w:bookmarkEnd w:id="10"/>
    </w:p>
    <w:p w14:paraId="5AC18A68" w14:textId="5D6BC179" w:rsidR="000A4B34" w:rsidRDefault="000A4B34" w:rsidP="000A4B34">
      <w:r>
        <w:t>Bei Geräten mit externen Antennen müssen die angegebenen Antennen und Kabel oder solche verwendet werden, bei denen die Nettoverstärkung (Antenne + Kabel) geringer ist als unten angegeben oder die empfohlenen Antennen:</w:t>
      </w:r>
    </w:p>
    <w:p w14:paraId="4DE7A88C" w14:textId="77777777" w:rsidR="000A4B34" w:rsidRDefault="000A4B34" w:rsidP="0060535B">
      <w:pPr>
        <w:pStyle w:val="Heading4"/>
      </w:pPr>
      <w:r>
        <w:t>Tabelle 2: Externe Antennenverstärkung</w:t>
      </w:r>
    </w:p>
    <w:tbl>
      <w:tblPr>
        <w:tblStyle w:val="TableGrid"/>
        <w:tblW w:w="9895" w:type="dxa"/>
        <w:tblLook w:val="04A0" w:firstRow="1" w:lastRow="0" w:firstColumn="1" w:lastColumn="0" w:noHBand="0" w:noVBand="1"/>
      </w:tblPr>
      <w:tblGrid>
        <w:gridCol w:w="1995"/>
        <w:gridCol w:w="3377"/>
        <w:gridCol w:w="1707"/>
        <w:gridCol w:w="2816"/>
      </w:tblGrid>
      <w:tr w:rsidR="00CF0E11" w:rsidRPr="00DB1424" w14:paraId="37059F38" w14:textId="77777777" w:rsidTr="00260503">
        <w:tc>
          <w:tcPr>
            <w:tcW w:w="2065" w:type="dxa"/>
          </w:tcPr>
          <w:p w14:paraId="127F10B4" w14:textId="77777777" w:rsidR="00CF0E11" w:rsidRPr="00DB1424" w:rsidRDefault="00CF0E11" w:rsidP="00CF0E11">
            <w:pPr>
              <w:rPr>
                <w:b/>
              </w:rPr>
            </w:pPr>
            <w:bookmarkStart w:id="11" w:name="_Hlk106972936"/>
            <w:r>
              <w:rPr>
                <w:b/>
              </w:rPr>
              <w:t>Produkt</w:t>
            </w:r>
          </w:p>
        </w:tc>
        <w:tc>
          <w:tcPr>
            <w:tcW w:w="3690" w:type="dxa"/>
          </w:tcPr>
          <w:p w14:paraId="2FB089E8" w14:textId="77777777" w:rsidR="00CF0E11" w:rsidRPr="00DB1424" w:rsidRDefault="00CF0E11" w:rsidP="00CF0E11">
            <w:pPr>
              <w:rPr>
                <w:b/>
              </w:rPr>
            </w:pPr>
            <w:r>
              <w:rPr>
                <w:b/>
              </w:rPr>
              <w:t>Frequenz</w:t>
            </w:r>
          </w:p>
        </w:tc>
        <w:tc>
          <w:tcPr>
            <w:tcW w:w="1077" w:type="dxa"/>
          </w:tcPr>
          <w:p w14:paraId="22A74BD2" w14:textId="380011D9" w:rsidR="00CF0E11" w:rsidRPr="00DB1424" w:rsidRDefault="006D1744" w:rsidP="00CF0E11">
            <w:pPr>
              <w:rPr>
                <w:b/>
              </w:rPr>
            </w:pPr>
            <w:r>
              <w:rPr>
                <w:b/>
              </w:rPr>
              <w:t>Maximale Nettoverstärkung der externen Antenne (dBi)</w:t>
            </w:r>
          </w:p>
        </w:tc>
        <w:tc>
          <w:tcPr>
            <w:tcW w:w="3063" w:type="dxa"/>
          </w:tcPr>
          <w:p w14:paraId="07147628" w14:textId="3B9A763D" w:rsidR="00CF0E11" w:rsidRPr="00DB1424" w:rsidRDefault="00CF0E11" w:rsidP="00CF0E11">
            <w:pPr>
              <w:rPr>
                <w:b/>
              </w:rPr>
            </w:pPr>
            <w:r>
              <w:rPr>
                <w:b/>
              </w:rPr>
              <w:t>Empfohlene oder Standard-Antenne(n)</w:t>
            </w:r>
          </w:p>
        </w:tc>
      </w:tr>
      <w:bookmarkEnd w:id="11"/>
      <w:tr w:rsidR="00CF0E11" w14:paraId="1DECA623" w14:textId="77777777" w:rsidTr="00260503">
        <w:tc>
          <w:tcPr>
            <w:tcW w:w="2065" w:type="dxa"/>
          </w:tcPr>
          <w:p w14:paraId="682A2009" w14:textId="3A0AD87F" w:rsidR="000A4B34" w:rsidRDefault="000A4B34" w:rsidP="008D4B1D">
            <w:r>
              <w:t>EX6200</w:t>
            </w:r>
          </w:p>
        </w:tc>
        <w:tc>
          <w:tcPr>
            <w:tcW w:w="3690" w:type="dxa"/>
          </w:tcPr>
          <w:p w14:paraId="5C51595D" w14:textId="4FB09232" w:rsidR="000A4B34" w:rsidRDefault="008A3B83" w:rsidP="008D4B1D">
            <w:r>
              <w:t>2400–2500 MHz</w:t>
            </w:r>
          </w:p>
          <w:p w14:paraId="331BE2FF" w14:textId="1EB5EE5C" w:rsidR="008A3B83" w:rsidRDefault="008A3B83" w:rsidP="008D4B1D">
            <w:r>
              <w:t>5100–5850 MHz</w:t>
            </w:r>
          </w:p>
        </w:tc>
        <w:tc>
          <w:tcPr>
            <w:tcW w:w="1077" w:type="dxa"/>
          </w:tcPr>
          <w:p w14:paraId="4FE00F6D" w14:textId="0C015180" w:rsidR="008A3B83" w:rsidRDefault="008A3B83" w:rsidP="008D4B1D"/>
        </w:tc>
        <w:tc>
          <w:tcPr>
            <w:tcW w:w="3063" w:type="dxa"/>
          </w:tcPr>
          <w:p w14:paraId="61BCAAAD" w14:textId="55D2D21D" w:rsidR="000A4B34" w:rsidRDefault="008A3B83" w:rsidP="008D4B1D">
            <w:r>
              <w:t xml:space="preserve">Masterwave </w:t>
            </w:r>
            <w:hyperlink r:id="rId14" w:history="1">
              <w:r>
                <w:rPr>
                  <w:rStyle w:val="Hyperlink"/>
                  <w:color w:val="auto"/>
                  <w:sz w:val="17"/>
                  <w:u w:val="none"/>
                </w:rPr>
                <w:t>98619PRSX005</w:t>
              </w:r>
            </w:hyperlink>
          </w:p>
        </w:tc>
      </w:tr>
      <w:tr w:rsidR="00CF0E11" w14:paraId="0254762D" w14:textId="77777777" w:rsidTr="00260503">
        <w:tc>
          <w:tcPr>
            <w:tcW w:w="2065" w:type="dxa"/>
          </w:tcPr>
          <w:p w14:paraId="1AAE46C9" w14:textId="7A9FB905" w:rsidR="00AA7FAE" w:rsidRDefault="00AA7FAE" w:rsidP="00AA7FAE">
            <w:r>
              <w:t>RS400</w:t>
            </w:r>
          </w:p>
        </w:tc>
        <w:tc>
          <w:tcPr>
            <w:tcW w:w="3690" w:type="dxa"/>
          </w:tcPr>
          <w:p w14:paraId="53F892B6" w14:textId="77777777" w:rsidR="00AA7FAE" w:rsidRDefault="00AA7FAE" w:rsidP="00AA7FAE">
            <w:r>
              <w:t>2400–2500 MHz</w:t>
            </w:r>
          </w:p>
          <w:p w14:paraId="2ADE5E18" w14:textId="02212D42" w:rsidR="00AA7FAE" w:rsidRDefault="00AA7FAE" w:rsidP="00AA7FAE">
            <w:r>
              <w:t>5100–5850 MHz</w:t>
            </w:r>
          </w:p>
        </w:tc>
        <w:tc>
          <w:tcPr>
            <w:tcW w:w="1077" w:type="dxa"/>
          </w:tcPr>
          <w:p w14:paraId="2FCC86BA" w14:textId="29A063F5" w:rsidR="00AA7FAE" w:rsidRDefault="00AA7FAE" w:rsidP="00AA7FAE"/>
        </w:tc>
        <w:tc>
          <w:tcPr>
            <w:tcW w:w="3063" w:type="dxa"/>
          </w:tcPr>
          <w:p w14:paraId="54595666" w14:textId="19567375" w:rsidR="00AA7FAE" w:rsidRDefault="00AA7FAE" w:rsidP="00AA7FAE">
            <w:r>
              <w:t>Masterwave 98364PRSX004</w:t>
            </w:r>
          </w:p>
        </w:tc>
      </w:tr>
      <w:tr w:rsidR="00CF0E11" w14:paraId="0D2B0AE0" w14:textId="77777777" w:rsidTr="00260503">
        <w:tc>
          <w:tcPr>
            <w:tcW w:w="2065" w:type="dxa"/>
          </w:tcPr>
          <w:p w14:paraId="7D465E22" w14:textId="33E86E39" w:rsidR="009A054E" w:rsidRDefault="009A054E" w:rsidP="009A054E">
            <w:r>
              <w:t>R6800</w:t>
            </w:r>
          </w:p>
        </w:tc>
        <w:tc>
          <w:tcPr>
            <w:tcW w:w="3690" w:type="dxa"/>
          </w:tcPr>
          <w:p w14:paraId="2F806D67" w14:textId="77777777" w:rsidR="009A054E" w:rsidRDefault="009A054E" w:rsidP="009A054E">
            <w:r>
              <w:t>2400–2500 MHz</w:t>
            </w:r>
          </w:p>
          <w:p w14:paraId="0F962AA1" w14:textId="6CF1DB10" w:rsidR="009A054E" w:rsidRDefault="009A054E" w:rsidP="009A054E">
            <w:r>
              <w:t>5100–5850 MHz</w:t>
            </w:r>
          </w:p>
        </w:tc>
        <w:tc>
          <w:tcPr>
            <w:tcW w:w="1077" w:type="dxa"/>
          </w:tcPr>
          <w:p w14:paraId="0EEE18AA" w14:textId="09277A49" w:rsidR="009A054E" w:rsidRDefault="009A054E" w:rsidP="009A054E"/>
        </w:tc>
        <w:tc>
          <w:tcPr>
            <w:tcW w:w="3063" w:type="dxa"/>
          </w:tcPr>
          <w:p w14:paraId="5F34F1BF" w14:textId="03F92659" w:rsidR="009A054E" w:rsidRDefault="009A054E" w:rsidP="009A054E">
            <w:r>
              <w:t>Masterwave 98364PRSX004</w:t>
            </w:r>
          </w:p>
        </w:tc>
      </w:tr>
      <w:tr w:rsidR="00CF0E11" w14:paraId="61DCF2B1" w14:textId="77777777" w:rsidTr="00260503">
        <w:tc>
          <w:tcPr>
            <w:tcW w:w="2065" w:type="dxa"/>
          </w:tcPr>
          <w:p w14:paraId="495DE587" w14:textId="3AC5C1AC" w:rsidR="00BB66B4" w:rsidRDefault="00BB66B4" w:rsidP="00BB66B4">
            <w:r>
              <w:t>R6900P, R7000P</w:t>
            </w:r>
          </w:p>
        </w:tc>
        <w:tc>
          <w:tcPr>
            <w:tcW w:w="3690" w:type="dxa"/>
          </w:tcPr>
          <w:p w14:paraId="3BEE52BA" w14:textId="77777777" w:rsidR="00BB66B4" w:rsidRDefault="00BB66B4" w:rsidP="00BB66B4">
            <w:r>
              <w:t>2400–2500 MHz</w:t>
            </w:r>
          </w:p>
          <w:p w14:paraId="323B37B9" w14:textId="40E86CEE" w:rsidR="00BB66B4" w:rsidRDefault="00BB66B4" w:rsidP="00BB66B4">
            <w:r>
              <w:t>5100–5850 MHz</w:t>
            </w:r>
          </w:p>
        </w:tc>
        <w:tc>
          <w:tcPr>
            <w:tcW w:w="1077" w:type="dxa"/>
          </w:tcPr>
          <w:p w14:paraId="24D57938" w14:textId="4A8AF28C" w:rsidR="00BB66B4" w:rsidRDefault="00BB66B4" w:rsidP="00BB66B4"/>
        </w:tc>
        <w:tc>
          <w:tcPr>
            <w:tcW w:w="3063" w:type="dxa"/>
          </w:tcPr>
          <w:p w14:paraId="2C9817FC" w14:textId="2426BCDA" w:rsidR="00BB66B4" w:rsidRDefault="00BB66B4" w:rsidP="00BB66B4">
            <w:r>
              <w:t>Masterwave 98364PRSX004</w:t>
            </w:r>
          </w:p>
        </w:tc>
      </w:tr>
      <w:tr w:rsidR="00CF0E11" w14:paraId="210F4A4D" w14:textId="77777777" w:rsidTr="00260503">
        <w:tc>
          <w:tcPr>
            <w:tcW w:w="2065" w:type="dxa"/>
          </w:tcPr>
          <w:p w14:paraId="4F645E14" w14:textId="624D758F" w:rsidR="00BB66B4" w:rsidRDefault="00BB66B4" w:rsidP="00BB66B4">
            <w:r>
              <w:t>R6900, R7450</w:t>
            </w:r>
          </w:p>
        </w:tc>
        <w:tc>
          <w:tcPr>
            <w:tcW w:w="3690" w:type="dxa"/>
          </w:tcPr>
          <w:p w14:paraId="04429390" w14:textId="77777777" w:rsidR="00BB66B4" w:rsidRDefault="00BB66B4" w:rsidP="00BB66B4">
            <w:r>
              <w:t>2400–2500 MHz</w:t>
            </w:r>
          </w:p>
          <w:p w14:paraId="587A0925" w14:textId="0923A3B4" w:rsidR="00BB66B4" w:rsidRDefault="00BB66B4" w:rsidP="00BB66B4">
            <w:r>
              <w:t>5100–5850 MHz</w:t>
            </w:r>
          </w:p>
        </w:tc>
        <w:tc>
          <w:tcPr>
            <w:tcW w:w="1077" w:type="dxa"/>
          </w:tcPr>
          <w:p w14:paraId="5CBDAF26" w14:textId="4F87CF42" w:rsidR="00BB66B4" w:rsidRDefault="00BB66B4" w:rsidP="00BB66B4"/>
        </w:tc>
        <w:tc>
          <w:tcPr>
            <w:tcW w:w="3063" w:type="dxa"/>
          </w:tcPr>
          <w:p w14:paraId="73F5356B" w14:textId="0B82950A" w:rsidR="00BB66B4" w:rsidRDefault="00BB66B4" w:rsidP="00BB66B4">
            <w:r>
              <w:t>Masterwave 98364PRSX009</w:t>
            </w:r>
          </w:p>
        </w:tc>
      </w:tr>
      <w:tr w:rsidR="00CF0E11" w14:paraId="7E39978B" w14:textId="77777777" w:rsidTr="00260503">
        <w:tc>
          <w:tcPr>
            <w:tcW w:w="2065" w:type="dxa"/>
          </w:tcPr>
          <w:p w14:paraId="718CB771" w14:textId="3137C2ED" w:rsidR="00D76DE3" w:rsidRDefault="00D76DE3" w:rsidP="00D76DE3">
            <w:r>
              <w:t xml:space="preserve">AC2600, </w:t>
            </w:r>
          </w:p>
        </w:tc>
        <w:tc>
          <w:tcPr>
            <w:tcW w:w="3690" w:type="dxa"/>
          </w:tcPr>
          <w:p w14:paraId="0290509A" w14:textId="77777777" w:rsidR="00D76DE3" w:rsidRDefault="00D76DE3" w:rsidP="00D76DE3">
            <w:r>
              <w:t>2400–2500 MHz</w:t>
            </w:r>
          </w:p>
          <w:p w14:paraId="3E665AF8" w14:textId="7570E38E" w:rsidR="00D76DE3" w:rsidRDefault="00D76DE3" w:rsidP="00D76DE3">
            <w:r>
              <w:t>5100–5850 MHz</w:t>
            </w:r>
          </w:p>
        </w:tc>
        <w:tc>
          <w:tcPr>
            <w:tcW w:w="1077" w:type="dxa"/>
          </w:tcPr>
          <w:p w14:paraId="77BCABBD" w14:textId="2826EE1F" w:rsidR="00D76DE3" w:rsidRDefault="00D76DE3" w:rsidP="00D76DE3"/>
        </w:tc>
        <w:tc>
          <w:tcPr>
            <w:tcW w:w="3063" w:type="dxa"/>
          </w:tcPr>
          <w:p w14:paraId="1C157516" w14:textId="6AB21B9A" w:rsidR="00D76DE3" w:rsidRDefault="00D76DE3" w:rsidP="00D76DE3">
            <w:r>
              <w:t>Masterwave 98364PRSX009</w:t>
            </w:r>
          </w:p>
        </w:tc>
      </w:tr>
      <w:tr w:rsidR="00CF0E11" w14:paraId="61939BFC" w14:textId="77777777" w:rsidTr="00260503">
        <w:tc>
          <w:tcPr>
            <w:tcW w:w="2065" w:type="dxa"/>
          </w:tcPr>
          <w:p w14:paraId="0277A570" w14:textId="15D3694F" w:rsidR="00D76DE3" w:rsidRDefault="00D76DE3" w:rsidP="00D76DE3">
            <w:r>
              <w:t>R7200, R7350, R7400</w:t>
            </w:r>
          </w:p>
        </w:tc>
        <w:tc>
          <w:tcPr>
            <w:tcW w:w="3690" w:type="dxa"/>
          </w:tcPr>
          <w:p w14:paraId="7E5C7F3E" w14:textId="77777777" w:rsidR="00D76DE3" w:rsidRDefault="00D76DE3" w:rsidP="00D76DE3">
            <w:r>
              <w:t>2400–2500 MHz</w:t>
            </w:r>
          </w:p>
          <w:p w14:paraId="43126991" w14:textId="3D8A71A0" w:rsidR="00D76DE3" w:rsidRDefault="00D76DE3" w:rsidP="00D76DE3">
            <w:r>
              <w:t>5100–5850 MHz</w:t>
            </w:r>
          </w:p>
        </w:tc>
        <w:tc>
          <w:tcPr>
            <w:tcW w:w="1077" w:type="dxa"/>
          </w:tcPr>
          <w:p w14:paraId="3468BC24" w14:textId="7889D840" w:rsidR="00D76DE3" w:rsidRDefault="00D76DE3" w:rsidP="00D76DE3"/>
        </w:tc>
        <w:tc>
          <w:tcPr>
            <w:tcW w:w="3063" w:type="dxa"/>
          </w:tcPr>
          <w:p w14:paraId="3106811A" w14:textId="78D1A42B" w:rsidR="00D76DE3" w:rsidRDefault="00D76DE3" w:rsidP="00D76DE3">
            <w:r>
              <w:t>Masterwave 98364PRSX009</w:t>
            </w:r>
          </w:p>
        </w:tc>
      </w:tr>
      <w:tr w:rsidR="00CF0E11" w14:paraId="238B29A9" w14:textId="77777777" w:rsidTr="00260503">
        <w:tc>
          <w:tcPr>
            <w:tcW w:w="2065" w:type="dxa"/>
          </w:tcPr>
          <w:p w14:paraId="74574976" w14:textId="4B8BAFE5" w:rsidR="00D76DE3" w:rsidRDefault="00D76DE3" w:rsidP="00D76DE3">
            <w:r>
              <w:t>D7000</w:t>
            </w:r>
          </w:p>
        </w:tc>
        <w:tc>
          <w:tcPr>
            <w:tcW w:w="3690" w:type="dxa"/>
          </w:tcPr>
          <w:p w14:paraId="791B15B2" w14:textId="77777777" w:rsidR="00D76DE3" w:rsidRDefault="00D76DE3" w:rsidP="00D76DE3">
            <w:r>
              <w:t>2400–2500 MHz</w:t>
            </w:r>
          </w:p>
          <w:p w14:paraId="53AA39EA" w14:textId="1F1C51EA" w:rsidR="00D76DE3" w:rsidRDefault="00D76DE3" w:rsidP="00D76DE3">
            <w:r>
              <w:lastRenderedPageBreak/>
              <w:t>5100–5850 MHz</w:t>
            </w:r>
          </w:p>
        </w:tc>
        <w:tc>
          <w:tcPr>
            <w:tcW w:w="1077" w:type="dxa"/>
          </w:tcPr>
          <w:p w14:paraId="447C9E33" w14:textId="5B3A09E8" w:rsidR="00D76DE3" w:rsidRDefault="00D76DE3" w:rsidP="00D76DE3"/>
        </w:tc>
        <w:tc>
          <w:tcPr>
            <w:tcW w:w="3063" w:type="dxa"/>
          </w:tcPr>
          <w:p w14:paraId="7BCDDC59" w14:textId="532EA4F8" w:rsidR="00D76DE3" w:rsidRDefault="00D76DE3" w:rsidP="00D76DE3">
            <w:r>
              <w:t xml:space="preserve">Masterwave </w:t>
            </w:r>
            <w:r>
              <w:rPr>
                <w:color w:val="333333"/>
                <w:sz w:val="17"/>
              </w:rPr>
              <w:t>98365PRSX000</w:t>
            </w:r>
          </w:p>
        </w:tc>
      </w:tr>
      <w:tr w:rsidR="00CF0E11" w14:paraId="2E453C45" w14:textId="77777777" w:rsidTr="00260503">
        <w:tc>
          <w:tcPr>
            <w:tcW w:w="2065" w:type="dxa"/>
          </w:tcPr>
          <w:p w14:paraId="2CC9FE74" w14:textId="3D11C28A" w:rsidR="00620E05" w:rsidRDefault="00620E05" w:rsidP="00620E05">
            <w:r>
              <w:t>EX7000, DC112A</w:t>
            </w:r>
          </w:p>
        </w:tc>
        <w:tc>
          <w:tcPr>
            <w:tcW w:w="3690" w:type="dxa"/>
          </w:tcPr>
          <w:p w14:paraId="34F58689" w14:textId="77777777" w:rsidR="00620E05" w:rsidRDefault="00620E05" w:rsidP="00620E05">
            <w:r>
              <w:t>2400–2500 MHz</w:t>
            </w:r>
          </w:p>
          <w:p w14:paraId="5C337B9C" w14:textId="4A36FFA6" w:rsidR="00620E05" w:rsidRDefault="00620E05" w:rsidP="00620E05">
            <w:r>
              <w:t>5100–5850 MHz</w:t>
            </w:r>
          </w:p>
        </w:tc>
        <w:tc>
          <w:tcPr>
            <w:tcW w:w="1077" w:type="dxa"/>
          </w:tcPr>
          <w:p w14:paraId="3E19F6D9" w14:textId="7C94EF01" w:rsidR="00620E05" w:rsidRDefault="006F2801" w:rsidP="00620E05">
            <w:r>
              <w:t>2dB</w:t>
            </w:r>
          </w:p>
        </w:tc>
        <w:tc>
          <w:tcPr>
            <w:tcW w:w="3063" w:type="dxa"/>
          </w:tcPr>
          <w:p w14:paraId="051FC13F" w14:textId="0E2D9653" w:rsidR="00620E05" w:rsidRDefault="00620E05" w:rsidP="00620E05">
            <w:r>
              <w:rPr>
                <w:color w:val="333333"/>
                <w:sz w:val="17"/>
              </w:rPr>
              <w:t>Masterwave 98619PRSX006</w:t>
            </w:r>
          </w:p>
        </w:tc>
      </w:tr>
      <w:tr w:rsidR="00CF0E11" w14:paraId="681B26C2" w14:textId="77777777" w:rsidTr="00260503">
        <w:tc>
          <w:tcPr>
            <w:tcW w:w="2065" w:type="dxa"/>
          </w:tcPr>
          <w:p w14:paraId="5E85FE76" w14:textId="348D4703" w:rsidR="00AD5F1E" w:rsidRDefault="00AD5F1E" w:rsidP="00AD5F1E">
            <w:r>
              <w:t>D7800, R7800</w:t>
            </w:r>
          </w:p>
        </w:tc>
        <w:tc>
          <w:tcPr>
            <w:tcW w:w="3690" w:type="dxa"/>
          </w:tcPr>
          <w:p w14:paraId="435A5BC3" w14:textId="77777777" w:rsidR="00AD5F1E" w:rsidRDefault="00AD5F1E" w:rsidP="00AD5F1E">
            <w:r>
              <w:t>2400–2500 MHz</w:t>
            </w:r>
          </w:p>
          <w:p w14:paraId="557FEFD3" w14:textId="7C7F13BD" w:rsidR="00AD5F1E" w:rsidRDefault="00AD5F1E" w:rsidP="00AD5F1E">
            <w:r>
              <w:t>5100–5850 MHz</w:t>
            </w:r>
          </w:p>
        </w:tc>
        <w:tc>
          <w:tcPr>
            <w:tcW w:w="1077" w:type="dxa"/>
          </w:tcPr>
          <w:p w14:paraId="28204E44" w14:textId="3F0796EA" w:rsidR="00AD5F1E" w:rsidRDefault="00AD5F1E" w:rsidP="00AD5F1E"/>
        </w:tc>
        <w:tc>
          <w:tcPr>
            <w:tcW w:w="3063" w:type="dxa"/>
          </w:tcPr>
          <w:p w14:paraId="2591B78F" w14:textId="77777777" w:rsidR="00AD5F1E" w:rsidRDefault="001D77A4" w:rsidP="00AD5F1E">
            <w:pPr>
              <w:rPr>
                <w:rFonts w:cs="Arial"/>
                <w:color w:val="333333"/>
                <w:sz w:val="17"/>
                <w:szCs w:val="17"/>
              </w:rPr>
            </w:pPr>
            <w:r>
              <w:t xml:space="preserve">Masterwave </w:t>
            </w:r>
            <w:r>
              <w:rPr>
                <w:color w:val="333333"/>
                <w:sz w:val="17"/>
              </w:rPr>
              <w:t>98365PRSX003</w:t>
            </w:r>
          </w:p>
          <w:p w14:paraId="7A674DA8" w14:textId="768170C3" w:rsidR="001D77A4" w:rsidRDefault="001D77A4" w:rsidP="00AD5F1E">
            <w:r>
              <w:rPr>
                <w:color w:val="333333"/>
                <w:sz w:val="17"/>
              </w:rPr>
              <w:t>98365PRSX004</w:t>
            </w:r>
          </w:p>
        </w:tc>
      </w:tr>
      <w:tr w:rsidR="00CF0E11" w14:paraId="4BF4C16A" w14:textId="77777777" w:rsidTr="00260503">
        <w:tc>
          <w:tcPr>
            <w:tcW w:w="2065" w:type="dxa"/>
          </w:tcPr>
          <w:p w14:paraId="74AABCB6" w14:textId="34A99AD9" w:rsidR="007F284C" w:rsidRDefault="007F284C" w:rsidP="007F284C">
            <w:r>
              <w:t>C6220</w:t>
            </w:r>
          </w:p>
        </w:tc>
        <w:tc>
          <w:tcPr>
            <w:tcW w:w="3690" w:type="dxa"/>
          </w:tcPr>
          <w:p w14:paraId="1282C75A" w14:textId="77777777" w:rsidR="007F284C" w:rsidRDefault="007F284C" w:rsidP="007F284C">
            <w:r>
              <w:t>2400–2500 MHz</w:t>
            </w:r>
          </w:p>
          <w:p w14:paraId="551682F5" w14:textId="3E2689EF" w:rsidR="007F284C" w:rsidRDefault="007F284C" w:rsidP="007F284C">
            <w:r>
              <w:t>5100–5850 MHz</w:t>
            </w:r>
          </w:p>
        </w:tc>
        <w:tc>
          <w:tcPr>
            <w:tcW w:w="1077" w:type="dxa"/>
          </w:tcPr>
          <w:p w14:paraId="5BAAE01F" w14:textId="213563C1" w:rsidR="007F284C" w:rsidRDefault="007F284C" w:rsidP="007F284C"/>
        </w:tc>
        <w:tc>
          <w:tcPr>
            <w:tcW w:w="3063" w:type="dxa"/>
          </w:tcPr>
          <w:p w14:paraId="0E934D51" w14:textId="77777777" w:rsidR="007F284C" w:rsidRDefault="007F284C" w:rsidP="007F284C">
            <w:pPr>
              <w:rPr>
                <w:rFonts w:cs="Arial"/>
                <w:color w:val="333333"/>
                <w:sz w:val="17"/>
                <w:szCs w:val="17"/>
              </w:rPr>
            </w:pPr>
            <w:r>
              <w:t xml:space="preserve">Masterwave </w:t>
            </w:r>
            <w:r>
              <w:rPr>
                <w:color w:val="333333"/>
                <w:sz w:val="17"/>
              </w:rPr>
              <w:t>98365PRSX003</w:t>
            </w:r>
          </w:p>
          <w:p w14:paraId="4564ED69" w14:textId="4409C94F" w:rsidR="007F284C" w:rsidRDefault="007F284C" w:rsidP="007F284C">
            <w:r>
              <w:rPr>
                <w:color w:val="333333"/>
                <w:sz w:val="17"/>
              </w:rPr>
              <w:t>98365PRSX004</w:t>
            </w:r>
          </w:p>
        </w:tc>
      </w:tr>
      <w:tr w:rsidR="00CF0E11" w14:paraId="5CEF4F49" w14:textId="77777777" w:rsidTr="00260503">
        <w:tc>
          <w:tcPr>
            <w:tcW w:w="2065" w:type="dxa"/>
          </w:tcPr>
          <w:p w14:paraId="07ACEB69" w14:textId="33EC11AE" w:rsidR="00D76DE3" w:rsidRDefault="00D76DE3" w:rsidP="00D76DE3">
            <w:r>
              <w:t>XR450, XR500</w:t>
            </w:r>
          </w:p>
        </w:tc>
        <w:tc>
          <w:tcPr>
            <w:tcW w:w="3690" w:type="dxa"/>
          </w:tcPr>
          <w:p w14:paraId="24DE65DD" w14:textId="77777777" w:rsidR="00180FB9" w:rsidRDefault="00180FB9" w:rsidP="00180FB9">
            <w:r>
              <w:t>2400–2500 MHz</w:t>
            </w:r>
          </w:p>
          <w:p w14:paraId="0FCFBDD7" w14:textId="02F68277" w:rsidR="00D76DE3" w:rsidRDefault="00180FB9" w:rsidP="00180FB9">
            <w:r>
              <w:t>5100–5850 MHz</w:t>
            </w:r>
          </w:p>
        </w:tc>
        <w:tc>
          <w:tcPr>
            <w:tcW w:w="1077" w:type="dxa"/>
          </w:tcPr>
          <w:p w14:paraId="2FB29867" w14:textId="1840A74D" w:rsidR="00F409B7" w:rsidRDefault="00F409B7" w:rsidP="00F409B7"/>
        </w:tc>
        <w:tc>
          <w:tcPr>
            <w:tcW w:w="3063" w:type="dxa"/>
          </w:tcPr>
          <w:p w14:paraId="4DBDCED2" w14:textId="77777777" w:rsidR="00D76DE3" w:rsidRDefault="00F409B7" w:rsidP="00D76DE3">
            <w:pPr>
              <w:rPr>
                <w:rFonts w:cs="Arial"/>
                <w:color w:val="333333"/>
                <w:sz w:val="17"/>
                <w:szCs w:val="17"/>
              </w:rPr>
            </w:pPr>
            <w:r>
              <w:t xml:space="preserve">Masterwave </w:t>
            </w:r>
            <w:r>
              <w:rPr>
                <w:color w:val="333333"/>
                <w:sz w:val="17"/>
              </w:rPr>
              <w:t>98366PRSX000</w:t>
            </w:r>
          </w:p>
          <w:p w14:paraId="21313658" w14:textId="77777777" w:rsidR="00F409B7" w:rsidRDefault="00F409B7" w:rsidP="00D76DE3">
            <w:pPr>
              <w:rPr>
                <w:rFonts w:cs="Arial"/>
                <w:color w:val="333333"/>
                <w:sz w:val="17"/>
                <w:szCs w:val="17"/>
              </w:rPr>
            </w:pPr>
            <w:r>
              <w:rPr>
                <w:color w:val="333333"/>
                <w:sz w:val="17"/>
              </w:rPr>
              <w:t>98366PRSX001</w:t>
            </w:r>
          </w:p>
          <w:p w14:paraId="718D8334" w14:textId="3F2F34FC" w:rsidR="00F409B7" w:rsidRDefault="00F409B7" w:rsidP="00D76DE3">
            <w:r>
              <w:rPr>
                <w:color w:val="333333"/>
                <w:sz w:val="17"/>
              </w:rPr>
              <w:t>98366PRSX002</w:t>
            </w:r>
          </w:p>
        </w:tc>
      </w:tr>
      <w:tr w:rsidR="00CF0E11" w14:paraId="7B0FCBB4" w14:textId="77777777" w:rsidTr="00260503">
        <w:tc>
          <w:tcPr>
            <w:tcW w:w="2065" w:type="dxa"/>
          </w:tcPr>
          <w:p w14:paraId="63C184D9" w14:textId="69B00642" w:rsidR="00180FB9" w:rsidRPr="008350C8" w:rsidRDefault="00C77FC0" w:rsidP="00180FB9">
            <w:bookmarkStart w:id="12" w:name="_Hlk37158303"/>
            <w:r>
              <w:t>RAX42, RAX43, RAX45, RAX48</w:t>
            </w:r>
          </w:p>
        </w:tc>
        <w:tc>
          <w:tcPr>
            <w:tcW w:w="3690" w:type="dxa"/>
          </w:tcPr>
          <w:p w14:paraId="55BD8E1D" w14:textId="77777777" w:rsidR="00180FB9" w:rsidRPr="008350C8" w:rsidRDefault="00180FB9" w:rsidP="00180FB9">
            <w:r>
              <w:t>2400–2500 MHz</w:t>
            </w:r>
          </w:p>
          <w:p w14:paraId="1212772A" w14:textId="6401CB98" w:rsidR="00180FB9" w:rsidRPr="008350C8" w:rsidRDefault="00180FB9" w:rsidP="00180FB9">
            <w:r>
              <w:t>5100–5850 MHz</w:t>
            </w:r>
          </w:p>
        </w:tc>
        <w:tc>
          <w:tcPr>
            <w:tcW w:w="1077" w:type="dxa"/>
          </w:tcPr>
          <w:p w14:paraId="6972432C" w14:textId="035EF3B1" w:rsidR="00180FB9" w:rsidRPr="008350C8" w:rsidRDefault="00180FB9" w:rsidP="00180FB9"/>
        </w:tc>
        <w:tc>
          <w:tcPr>
            <w:tcW w:w="3063" w:type="dxa"/>
          </w:tcPr>
          <w:p w14:paraId="0E750BF9" w14:textId="098038E4" w:rsidR="00180FB9" w:rsidRPr="008350C8" w:rsidRDefault="00180FB9" w:rsidP="00180FB9">
            <w:pPr>
              <w:rPr>
                <w:rFonts w:cs="Arial"/>
                <w:color w:val="333333"/>
                <w:sz w:val="17"/>
                <w:szCs w:val="17"/>
              </w:rPr>
            </w:pPr>
            <w:r>
              <w:t xml:space="preserve">Masterwave </w:t>
            </w:r>
            <w:r>
              <w:rPr>
                <w:color w:val="333333"/>
                <w:sz w:val="17"/>
              </w:rPr>
              <w:t>98369PRSX000,</w:t>
            </w:r>
          </w:p>
          <w:p w14:paraId="5F87E2AC" w14:textId="035FDF9B" w:rsidR="00180FB9" w:rsidRPr="008350C8" w:rsidRDefault="00180FB9" w:rsidP="00180FB9">
            <w:r>
              <w:rPr>
                <w:color w:val="333333"/>
                <w:sz w:val="17"/>
              </w:rPr>
              <w:t>98369URSX000, 98369PRSX001</w:t>
            </w:r>
          </w:p>
        </w:tc>
      </w:tr>
      <w:tr w:rsidR="00A03195" w14:paraId="71777BC4" w14:textId="77777777" w:rsidTr="00260503">
        <w:tc>
          <w:tcPr>
            <w:tcW w:w="2065" w:type="dxa"/>
          </w:tcPr>
          <w:p w14:paraId="71BCF967" w14:textId="1ADC6B8A" w:rsidR="00A03195" w:rsidRDefault="00A03195" w:rsidP="00A03195">
            <w:bookmarkStart w:id="13" w:name="_Hlk37144583"/>
            <w:bookmarkEnd w:id="12"/>
            <w:r>
              <w:t>RAX50, RAX50S</w:t>
            </w:r>
          </w:p>
        </w:tc>
        <w:tc>
          <w:tcPr>
            <w:tcW w:w="3690" w:type="dxa"/>
          </w:tcPr>
          <w:p w14:paraId="681CF493" w14:textId="77777777" w:rsidR="00A03195" w:rsidRPr="008350C8" w:rsidRDefault="00A03195" w:rsidP="00A03195">
            <w:r>
              <w:t>2400–2500 MHz</w:t>
            </w:r>
          </w:p>
          <w:p w14:paraId="79B8E751" w14:textId="39DF992C" w:rsidR="00A03195" w:rsidRDefault="00A03195" w:rsidP="00A03195">
            <w:r>
              <w:t>5100–5850 MHz</w:t>
            </w:r>
          </w:p>
        </w:tc>
        <w:tc>
          <w:tcPr>
            <w:tcW w:w="1077" w:type="dxa"/>
          </w:tcPr>
          <w:p w14:paraId="458EF4DA" w14:textId="77777777" w:rsidR="00A03195" w:rsidRDefault="00A03195" w:rsidP="00A03195"/>
        </w:tc>
        <w:tc>
          <w:tcPr>
            <w:tcW w:w="3063" w:type="dxa"/>
          </w:tcPr>
          <w:p w14:paraId="52040ACB" w14:textId="77777777" w:rsidR="00A03195" w:rsidRPr="008350C8" w:rsidRDefault="00A03195" w:rsidP="00A03195">
            <w:pPr>
              <w:rPr>
                <w:rFonts w:cs="Arial"/>
                <w:color w:val="333333"/>
                <w:sz w:val="17"/>
                <w:szCs w:val="17"/>
              </w:rPr>
            </w:pPr>
            <w:r>
              <w:t xml:space="preserve">Masterwave </w:t>
            </w:r>
            <w:r>
              <w:rPr>
                <w:color w:val="333333"/>
                <w:sz w:val="17"/>
              </w:rPr>
              <w:t>98369PRSX000,</w:t>
            </w:r>
          </w:p>
          <w:p w14:paraId="185434BA" w14:textId="001EF779" w:rsidR="00A03195" w:rsidRDefault="00A03195" w:rsidP="00A03195">
            <w:r>
              <w:rPr>
                <w:color w:val="333333"/>
                <w:sz w:val="17"/>
              </w:rPr>
              <w:t>98369URSX000, 98369PRSX001</w:t>
            </w:r>
          </w:p>
        </w:tc>
      </w:tr>
      <w:tr w:rsidR="00A03195" w14:paraId="6F00C26C" w14:textId="77777777" w:rsidTr="00260503">
        <w:tc>
          <w:tcPr>
            <w:tcW w:w="2065" w:type="dxa"/>
          </w:tcPr>
          <w:p w14:paraId="0FD3F0E3" w14:textId="77777777" w:rsidR="00A03195" w:rsidRDefault="00A03195" w:rsidP="00A03195"/>
        </w:tc>
        <w:tc>
          <w:tcPr>
            <w:tcW w:w="3690" w:type="dxa"/>
            <w:tcBorders>
              <w:bottom w:val="single" w:sz="4" w:space="0" w:color="auto"/>
            </w:tcBorders>
          </w:tcPr>
          <w:p w14:paraId="50CCF07B" w14:textId="77777777" w:rsidR="00A03195" w:rsidRDefault="00A03195" w:rsidP="00A03195"/>
        </w:tc>
        <w:tc>
          <w:tcPr>
            <w:tcW w:w="1077" w:type="dxa"/>
            <w:tcBorders>
              <w:bottom w:val="single" w:sz="4" w:space="0" w:color="auto"/>
            </w:tcBorders>
          </w:tcPr>
          <w:p w14:paraId="61328B7A" w14:textId="77777777" w:rsidR="00A03195" w:rsidRDefault="00A03195" w:rsidP="00A03195"/>
        </w:tc>
        <w:tc>
          <w:tcPr>
            <w:tcW w:w="3063" w:type="dxa"/>
          </w:tcPr>
          <w:p w14:paraId="6B1DBDA1" w14:textId="77777777" w:rsidR="00A03195" w:rsidRDefault="00A03195" w:rsidP="00A03195"/>
        </w:tc>
      </w:tr>
      <w:bookmarkEnd w:id="13"/>
      <w:tr w:rsidR="00F550FF" w14:paraId="61D0DDBA" w14:textId="77777777" w:rsidTr="00260503">
        <w:tc>
          <w:tcPr>
            <w:tcW w:w="2065" w:type="dxa"/>
          </w:tcPr>
          <w:p w14:paraId="4C92035B" w14:textId="34B2B18C" w:rsidR="00F550FF" w:rsidRDefault="00F550FF" w:rsidP="00F550FF">
            <w:r>
              <w:t>MR1100, MR2100</w:t>
            </w:r>
          </w:p>
        </w:tc>
        <w:tc>
          <w:tcPr>
            <w:tcW w:w="3690" w:type="dxa"/>
            <w:tcBorders>
              <w:bottom w:val="nil"/>
            </w:tcBorders>
          </w:tcPr>
          <w:p w14:paraId="7E45B5C0" w14:textId="4DABE2AF" w:rsidR="00F550FF" w:rsidRDefault="00F550FF" w:rsidP="00F550FF">
            <w:r>
              <w:t>2.4 und 5 GHz</w:t>
            </w:r>
          </w:p>
          <w:p w14:paraId="1897A522" w14:textId="535A848E" w:rsidR="00F550FF" w:rsidRDefault="00F550FF" w:rsidP="00F550FF">
            <w:r>
              <w:t>WCDMA- und LTE-Frequenzbereiche</w:t>
            </w:r>
          </w:p>
        </w:tc>
        <w:tc>
          <w:tcPr>
            <w:tcW w:w="1077" w:type="dxa"/>
            <w:tcBorders>
              <w:bottom w:val="nil"/>
            </w:tcBorders>
          </w:tcPr>
          <w:p w14:paraId="0CA6D27C" w14:textId="1A50671E" w:rsidR="00F550FF" w:rsidRDefault="00F550FF" w:rsidP="00F550FF">
            <w:r>
              <w:t>Intern</w:t>
            </w:r>
          </w:p>
        </w:tc>
        <w:tc>
          <w:tcPr>
            <w:tcW w:w="3063" w:type="dxa"/>
          </w:tcPr>
          <w:p w14:paraId="7487F82D" w14:textId="199625D1" w:rsidR="00F550FF" w:rsidRDefault="00F550FF" w:rsidP="00F550FF">
            <w:r>
              <w:t>Intern</w:t>
            </w:r>
          </w:p>
          <w:p w14:paraId="76E59D4F" w14:textId="5BC43F9D" w:rsidR="00F550FF" w:rsidRDefault="00F550FF" w:rsidP="00F550FF">
            <w:r>
              <w:t>Intern oder Netgear 6000451</w:t>
            </w:r>
          </w:p>
        </w:tc>
      </w:tr>
      <w:tr w:rsidR="00F550FF" w14:paraId="1B8387CE" w14:textId="77777777" w:rsidTr="00260503">
        <w:tc>
          <w:tcPr>
            <w:tcW w:w="2065" w:type="dxa"/>
          </w:tcPr>
          <w:p w14:paraId="6FFB371A" w14:textId="3377DC85" w:rsidR="00F550FF" w:rsidRDefault="00F550FF" w:rsidP="00F550FF">
            <w:r>
              <w:t>XR1000</w:t>
            </w:r>
          </w:p>
        </w:tc>
        <w:tc>
          <w:tcPr>
            <w:tcW w:w="3690" w:type="dxa"/>
          </w:tcPr>
          <w:p w14:paraId="247BFE48" w14:textId="77777777" w:rsidR="00F550FF" w:rsidRPr="008350C8" w:rsidRDefault="00F550FF" w:rsidP="00F550FF">
            <w:r>
              <w:t>2400–2500 MHz</w:t>
            </w:r>
          </w:p>
          <w:p w14:paraId="137DC501" w14:textId="43D6DCCF" w:rsidR="00F550FF" w:rsidRDefault="00F550FF" w:rsidP="00F550FF">
            <w:r>
              <w:t>5100–5850 MHz</w:t>
            </w:r>
          </w:p>
        </w:tc>
        <w:tc>
          <w:tcPr>
            <w:tcW w:w="1077" w:type="dxa"/>
          </w:tcPr>
          <w:p w14:paraId="5AFB61D9" w14:textId="77777777" w:rsidR="00F550FF" w:rsidRDefault="00F550FF" w:rsidP="00F550FF"/>
        </w:tc>
        <w:tc>
          <w:tcPr>
            <w:tcW w:w="3063" w:type="dxa"/>
          </w:tcPr>
          <w:p w14:paraId="78E59B4B" w14:textId="3367D605" w:rsidR="00F550FF" w:rsidRDefault="00F550FF" w:rsidP="00F550FF">
            <w:r>
              <w:t>Netgear 400-10088-01, 400-10090-01, 400-10094-01</w:t>
            </w:r>
          </w:p>
        </w:tc>
      </w:tr>
      <w:tr w:rsidR="00F550FF" w14:paraId="185012CB" w14:textId="77777777" w:rsidTr="00260503">
        <w:tc>
          <w:tcPr>
            <w:tcW w:w="2065" w:type="dxa"/>
          </w:tcPr>
          <w:p w14:paraId="1FFDB18B" w14:textId="65869F44" w:rsidR="00F550FF" w:rsidRDefault="00F550FF" w:rsidP="00F550FF">
            <w:r>
              <w:t>MR5100/MR5200</w:t>
            </w:r>
          </w:p>
        </w:tc>
        <w:tc>
          <w:tcPr>
            <w:tcW w:w="3690" w:type="dxa"/>
          </w:tcPr>
          <w:p w14:paraId="20886D8B" w14:textId="7EDC5B0B" w:rsidR="00F550FF" w:rsidRDefault="00F550FF" w:rsidP="00F550FF">
            <w:r>
              <w:t>2.4 und 5 GHz</w:t>
            </w:r>
          </w:p>
          <w:p w14:paraId="46AB1800" w14:textId="57586108" w:rsidR="00F550FF" w:rsidRDefault="00F550FF" w:rsidP="00F550FF">
            <w:r>
              <w:t>WCDMA-, LTE- und 5G-Frequenzbereiche:</w:t>
            </w:r>
          </w:p>
          <w:p w14:paraId="7F3E1DA8" w14:textId="3B8D14A1" w:rsidR="00F550FF" w:rsidRDefault="00F550FF" w:rsidP="00F550FF">
            <w:r>
              <w:t>B2, B4, B25, B66</w:t>
            </w:r>
          </w:p>
          <w:p w14:paraId="616E4C01" w14:textId="3FB00F82" w:rsidR="00F550FF" w:rsidRDefault="00F550FF" w:rsidP="00F550FF">
            <w:r>
              <w:t>B5, B12, B13, B17, B71</w:t>
            </w:r>
          </w:p>
          <w:p w14:paraId="6290F4D1" w14:textId="5A799F20" w:rsidR="00F550FF" w:rsidRDefault="00F550FF" w:rsidP="00F550FF">
            <w:r>
              <w:t>B7, B30, B38, B41</w:t>
            </w:r>
          </w:p>
        </w:tc>
        <w:tc>
          <w:tcPr>
            <w:tcW w:w="1077" w:type="dxa"/>
          </w:tcPr>
          <w:p w14:paraId="2FD16934" w14:textId="5500417B" w:rsidR="00F550FF" w:rsidRDefault="00F550FF" w:rsidP="00F550FF">
            <w:r>
              <w:t>Intern.</w:t>
            </w:r>
          </w:p>
          <w:p w14:paraId="503B82E0" w14:textId="77777777" w:rsidR="00F550FF" w:rsidRDefault="00F550FF" w:rsidP="00F550FF"/>
          <w:p w14:paraId="2C1E238F" w14:textId="77777777" w:rsidR="00F550FF" w:rsidRDefault="00F550FF" w:rsidP="00F550FF">
            <w:r>
              <w:t>-,48, 0,25</w:t>
            </w:r>
          </w:p>
          <w:p w14:paraId="57C35AA2" w14:textId="77777777" w:rsidR="00F550FF" w:rsidRDefault="00F550FF" w:rsidP="00F550FF">
            <w:r>
              <w:t>0,54, 0,48</w:t>
            </w:r>
          </w:p>
          <w:p w14:paraId="6E0CCF2A" w14:textId="06DA8444" w:rsidR="00F550FF" w:rsidRDefault="00F550FF" w:rsidP="00F550FF">
            <w:r>
              <w:t>0,24, 0,28</w:t>
            </w:r>
          </w:p>
        </w:tc>
        <w:tc>
          <w:tcPr>
            <w:tcW w:w="3063" w:type="dxa"/>
          </w:tcPr>
          <w:p w14:paraId="524D8B7D" w14:textId="77777777" w:rsidR="00F550FF" w:rsidRDefault="00F550FF" w:rsidP="00F550FF"/>
          <w:p w14:paraId="7C7464E8" w14:textId="03B46FB1" w:rsidR="00F550FF" w:rsidRDefault="00F550FF" w:rsidP="00F550FF">
            <w:r>
              <w:t>Intern</w:t>
            </w:r>
          </w:p>
        </w:tc>
      </w:tr>
      <w:tr w:rsidR="00F550FF" w14:paraId="5A0AC148" w14:textId="77777777" w:rsidTr="00260503">
        <w:tc>
          <w:tcPr>
            <w:tcW w:w="2065" w:type="dxa"/>
          </w:tcPr>
          <w:p w14:paraId="52EDA89F" w14:textId="456C39C4" w:rsidR="00F550FF" w:rsidRDefault="00F550FF" w:rsidP="00F550FF">
            <w:r>
              <w:t>LAX20</w:t>
            </w:r>
          </w:p>
        </w:tc>
        <w:tc>
          <w:tcPr>
            <w:tcW w:w="3690" w:type="dxa"/>
          </w:tcPr>
          <w:p w14:paraId="058B696D" w14:textId="77777777" w:rsidR="00F550FF" w:rsidRDefault="00F550FF" w:rsidP="00F550FF">
            <w:r>
              <w:t>2400–2500 MHz</w:t>
            </w:r>
          </w:p>
          <w:p w14:paraId="484DC322" w14:textId="77777777" w:rsidR="00F550FF" w:rsidRDefault="00F550FF" w:rsidP="00F550FF">
            <w:r>
              <w:t>5100–5850 MHz</w:t>
            </w:r>
          </w:p>
          <w:p w14:paraId="026AC26B" w14:textId="3D936805" w:rsidR="00F550FF" w:rsidRDefault="00F550FF" w:rsidP="00F550FF">
            <w:r>
              <w:t>WCDMA- und LTE-Frequenzbereiche</w:t>
            </w:r>
          </w:p>
        </w:tc>
        <w:tc>
          <w:tcPr>
            <w:tcW w:w="1077" w:type="dxa"/>
          </w:tcPr>
          <w:p w14:paraId="54B13080" w14:textId="77777777" w:rsidR="00F550FF" w:rsidRDefault="00F550FF" w:rsidP="00F550FF"/>
        </w:tc>
        <w:tc>
          <w:tcPr>
            <w:tcW w:w="3063" w:type="dxa"/>
          </w:tcPr>
          <w:p w14:paraId="6CF25812" w14:textId="77777777" w:rsidR="00F550FF" w:rsidRDefault="00F550FF" w:rsidP="00F550FF">
            <w:r>
              <w:t>Netgear 400-10092-01</w:t>
            </w:r>
          </w:p>
          <w:p w14:paraId="31DC4D9B" w14:textId="77777777" w:rsidR="00F550FF" w:rsidRDefault="00F550FF" w:rsidP="00F550FF">
            <w:r>
              <w:t>Netgear 400-10092-01</w:t>
            </w:r>
          </w:p>
          <w:p w14:paraId="2C9E9018" w14:textId="295DFB24" w:rsidR="00F550FF" w:rsidRDefault="00F550FF" w:rsidP="00F550FF">
            <w:r>
              <w:t>Intern</w:t>
            </w:r>
          </w:p>
        </w:tc>
      </w:tr>
      <w:tr w:rsidR="00F550FF" w14:paraId="5D9AA5FB" w14:textId="77777777" w:rsidTr="00260503">
        <w:tc>
          <w:tcPr>
            <w:tcW w:w="2065" w:type="dxa"/>
          </w:tcPr>
          <w:p w14:paraId="69A5DBD1" w14:textId="2370EC96" w:rsidR="00F550FF" w:rsidRDefault="00F550FF" w:rsidP="00F550FF">
            <w:r>
              <w:t>LM1200</w:t>
            </w:r>
          </w:p>
        </w:tc>
        <w:tc>
          <w:tcPr>
            <w:tcW w:w="3690" w:type="dxa"/>
          </w:tcPr>
          <w:p w14:paraId="1CAE7747" w14:textId="77777777" w:rsidR="00F550FF" w:rsidRDefault="00F550FF" w:rsidP="00F550FF">
            <w:r>
              <w:t>600 MHz</w:t>
            </w:r>
          </w:p>
          <w:p w14:paraId="288BAC77" w14:textId="77777777" w:rsidR="00F550FF" w:rsidRDefault="00F550FF" w:rsidP="00F550FF">
            <w:r>
              <w:t>700 MHz</w:t>
            </w:r>
          </w:p>
          <w:p w14:paraId="08751F5D" w14:textId="77777777" w:rsidR="00F550FF" w:rsidRDefault="00F550FF" w:rsidP="00F550FF">
            <w:r>
              <w:t>800 MHz</w:t>
            </w:r>
          </w:p>
          <w:p w14:paraId="07ED480D" w14:textId="77777777" w:rsidR="00F550FF" w:rsidRDefault="00F550FF" w:rsidP="00F550FF">
            <w:r>
              <w:t>1700 MHz</w:t>
            </w:r>
          </w:p>
          <w:p w14:paraId="1AEEDA03" w14:textId="625FD847" w:rsidR="00F550FF" w:rsidRDefault="00F550FF" w:rsidP="00F550FF">
            <w:r>
              <w:t>1800 MHz</w:t>
            </w:r>
          </w:p>
        </w:tc>
        <w:tc>
          <w:tcPr>
            <w:tcW w:w="1077" w:type="dxa"/>
          </w:tcPr>
          <w:p w14:paraId="6B29F60A" w14:textId="77777777" w:rsidR="00F550FF" w:rsidRDefault="00F550FF" w:rsidP="00F550FF">
            <w:r>
              <w:t>8,55</w:t>
            </w:r>
          </w:p>
          <w:p w14:paraId="065E3C7A" w14:textId="77777777" w:rsidR="00F550FF" w:rsidRDefault="00F550FF" w:rsidP="00F550FF">
            <w:r>
              <w:t>8,73</w:t>
            </w:r>
          </w:p>
          <w:p w14:paraId="162D4B54" w14:textId="77777777" w:rsidR="00F550FF" w:rsidRDefault="00F550FF" w:rsidP="00F550FF">
            <w:r>
              <w:t>9,42</w:t>
            </w:r>
          </w:p>
          <w:p w14:paraId="5BDD6AB7" w14:textId="77777777" w:rsidR="00F550FF" w:rsidRDefault="00F550FF" w:rsidP="00F550FF">
            <w:r>
              <w:t>5</w:t>
            </w:r>
          </w:p>
          <w:p w14:paraId="582E6CF2" w14:textId="5853CFF6" w:rsidR="00F550FF" w:rsidRDefault="00F550FF" w:rsidP="00F550FF">
            <w:r>
              <w:t>8</w:t>
            </w:r>
          </w:p>
        </w:tc>
        <w:tc>
          <w:tcPr>
            <w:tcW w:w="3063" w:type="dxa"/>
          </w:tcPr>
          <w:p w14:paraId="0816612D" w14:textId="77777777" w:rsidR="00F550FF" w:rsidRDefault="00F550FF" w:rsidP="00F550FF"/>
        </w:tc>
      </w:tr>
      <w:tr w:rsidR="00F550FF" w14:paraId="68230531" w14:textId="77777777" w:rsidTr="00260503">
        <w:tc>
          <w:tcPr>
            <w:tcW w:w="2065" w:type="dxa"/>
          </w:tcPr>
          <w:p w14:paraId="6907F81F" w14:textId="6DCE3C61" w:rsidR="00F550FF" w:rsidRDefault="00F550FF" w:rsidP="00F550FF">
            <w:r>
              <w:t>NBR750</w:t>
            </w:r>
          </w:p>
        </w:tc>
        <w:tc>
          <w:tcPr>
            <w:tcW w:w="3690" w:type="dxa"/>
          </w:tcPr>
          <w:p w14:paraId="6FE32294" w14:textId="77777777" w:rsidR="00F550FF" w:rsidRDefault="00F550FF" w:rsidP="00F550FF">
            <w:r>
              <w:t>2.4 und 5 GHz</w:t>
            </w:r>
          </w:p>
          <w:p w14:paraId="6CED2B56" w14:textId="4D4CA644" w:rsidR="00F550FF" w:rsidRDefault="00F550FF" w:rsidP="00F550FF">
            <w:r>
              <w:t>WCDMA-, LTE- und 5G-Frequenzbereiche:</w:t>
            </w:r>
          </w:p>
          <w:p w14:paraId="1673B4CF" w14:textId="43888582" w:rsidR="00F550FF" w:rsidRDefault="00F550FF" w:rsidP="00F550FF">
            <w:r>
              <w:t>663–849</w:t>
            </w:r>
          </w:p>
          <w:p w14:paraId="298F741A" w14:textId="55653280" w:rsidR="00F550FF" w:rsidRDefault="00F550FF" w:rsidP="00F550FF">
            <w:r>
              <w:t>1710–1915</w:t>
            </w:r>
          </w:p>
          <w:p w14:paraId="71C6AB1B" w14:textId="7BC541AB" w:rsidR="00F550FF" w:rsidRDefault="00F550FF" w:rsidP="00F550FF">
            <w:r>
              <w:t>2305–3700</w:t>
            </w:r>
          </w:p>
        </w:tc>
        <w:tc>
          <w:tcPr>
            <w:tcW w:w="1077" w:type="dxa"/>
          </w:tcPr>
          <w:p w14:paraId="01118EA7" w14:textId="34A754E7" w:rsidR="00F550FF" w:rsidRDefault="00F550FF" w:rsidP="00F550FF">
            <w:r>
              <w:t>Intern</w:t>
            </w:r>
          </w:p>
          <w:p w14:paraId="509126A6" w14:textId="77777777" w:rsidR="00F550FF" w:rsidRDefault="00F550FF" w:rsidP="00F550FF"/>
          <w:p w14:paraId="63E48ED5" w14:textId="77777777" w:rsidR="00F550FF" w:rsidRDefault="00F550FF" w:rsidP="00F550FF">
            <w:r>
              <w:t>-2,8</w:t>
            </w:r>
          </w:p>
          <w:p w14:paraId="2E1E1BD4" w14:textId="70E387FB" w:rsidR="00F550FF" w:rsidRDefault="00F550FF" w:rsidP="00F550FF">
            <w:r>
              <w:t>-4,0</w:t>
            </w:r>
          </w:p>
          <w:p w14:paraId="6D9F0F96" w14:textId="38B00166" w:rsidR="00F550FF" w:rsidRDefault="00F550FF" w:rsidP="00F550FF">
            <w:r>
              <w:t>-4,53</w:t>
            </w:r>
          </w:p>
        </w:tc>
        <w:tc>
          <w:tcPr>
            <w:tcW w:w="3063" w:type="dxa"/>
          </w:tcPr>
          <w:p w14:paraId="4955D0F4" w14:textId="77777777" w:rsidR="00F550FF" w:rsidRDefault="00F550FF" w:rsidP="00F550FF"/>
          <w:p w14:paraId="0A25D32C" w14:textId="7C3E0351" w:rsidR="00F550FF" w:rsidRDefault="00F550FF" w:rsidP="00F550FF">
            <w:r>
              <w:t>Intern</w:t>
            </w:r>
          </w:p>
        </w:tc>
      </w:tr>
      <w:tr w:rsidR="00F550FF" w14:paraId="4985B816" w14:textId="77777777" w:rsidTr="00260503">
        <w:tc>
          <w:tcPr>
            <w:tcW w:w="2065" w:type="dxa"/>
          </w:tcPr>
          <w:p w14:paraId="2C3F6DC9" w14:textId="1FA595D6" w:rsidR="00F550FF" w:rsidRDefault="00F550FF" w:rsidP="00F550FF">
            <w:r>
              <w:t>LBR20</w:t>
            </w:r>
          </w:p>
        </w:tc>
        <w:tc>
          <w:tcPr>
            <w:tcW w:w="3690" w:type="dxa"/>
          </w:tcPr>
          <w:p w14:paraId="39EAF38D" w14:textId="77777777" w:rsidR="00F550FF" w:rsidRDefault="00F550FF" w:rsidP="00F550FF">
            <w:r>
              <w:t>2.4 und 5 GHz</w:t>
            </w:r>
          </w:p>
          <w:p w14:paraId="1863814D" w14:textId="058E2C69" w:rsidR="00F550FF" w:rsidRDefault="00F550FF" w:rsidP="00F550FF">
            <w:r>
              <w:t>WCDMA- und LTE-Bänder</w:t>
            </w:r>
          </w:p>
        </w:tc>
        <w:tc>
          <w:tcPr>
            <w:tcW w:w="1077" w:type="dxa"/>
          </w:tcPr>
          <w:p w14:paraId="3C64332D" w14:textId="3A4A76DC" w:rsidR="00F550FF" w:rsidRDefault="00F550FF" w:rsidP="00F550FF">
            <w:r>
              <w:t>Intern</w:t>
            </w:r>
          </w:p>
        </w:tc>
        <w:tc>
          <w:tcPr>
            <w:tcW w:w="3063" w:type="dxa"/>
          </w:tcPr>
          <w:p w14:paraId="55BEB109" w14:textId="77777777" w:rsidR="00F550FF" w:rsidRDefault="00F550FF" w:rsidP="00F550FF">
            <w:r>
              <w:t>Intern</w:t>
            </w:r>
          </w:p>
          <w:p w14:paraId="6B0C14C5" w14:textId="0F9A7B51" w:rsidR="00F550FF" w:rsidRDefault="00F550FF" w:rsidP="00F550FF">
            <w:r>
              <w:t>Intern oder Netgear 6000451</w:t>
            </w:r>
          </w:p>
        </w:tc>
      </w:tr>
      <w:tr w:rsidR="00260503" w14:paraId="66586DFF" w14:textId="77777777" w:rsidTr="00260503">
        <w:tc>
          <w:tcPr>
            <w:tcW w:w="2065" w:type="dxa"/>
          </w:tcPr>
          <w:p w14:paraId="355D9A58" w14:textId="4E61DDC9" w:rsidR="00260503" w:rsidRPr="00E63B27" w:rsidRDefault="00260503" w:rsidP="00260503">
            <w:pPr>
              <w:rPr>
                <w:color w:val="FF0000"/>
              </w:rPr>
            </w:pPr>
            <w:bookmarkStart w:id="14" w:name="_Hlk106972905"/>
            <w:r>
              <w:rPr>
                <w:color w:val="FF0000"/>
              </w:rPr>
              <w:t>MR61XX/ MR64XX/ MR65XX</w:t>
            </w:r>
          </w:p>
        </w:tc>
        <w:tc>
          <w:tcPr>
            <w:tcW w:w="3690" w:type="dxa"/>
          </w:tcPr>
          <w:p w14:paraId="4F478A8F" w14:textId="087FA31B" w:rsidR="00260503" w:rsidRDefault="00260503" w:rsidP="00260503">
            <w:r>
              <w:t>2,4 GHz, 5 GHz, 6 GHz</w:t>
            </w:r>
          </w:p>
          <w:p w14:paraId="069B7BC6" w14:textId="3B970B1C" w:rsidR="00260503" w:rsidRDefault="00260503" w:rsidP="00260503">
            <w:r>
              <w:t>WCDMA-, LTE- und 5G-Bänder:</w:t>
            </w:r>
          </w:p>
          <w:p w14:paraId="625A9F6D" w14:textId="7D7D8EAF" w:rsidR="0034553B" w:rsidRDefault="0034553B" w:rsidP="00260503">
            <w:r>
              <w:t>B30 (2305–2312,5 MHz)</w:t>
            </w:r>
          </w:p>
          <w:p w14:paraId="4F7A6DC7" w14:textId="3080144B" w:rsidR="0034553B" w:rsidRDefault="0034553B" w:rsidP="00260503">
            <w:r>
              <w:t>B48 (3552,5–3697,5 MHz)</w:t>
            </w:r>
          </w:p>
          <w:p w14:paraId="7F755109" w14:textId="056A1190" w:rsidR="0034553B" w:rsidRDefault="0034553B" w:rsidP="00260503">
            <w:r>
              <w:t>Alle anderen LTE- und 5G-Frequenzbereiche</w:t>
            </w:r>
          </w:p>
          <w:p w14:paraId="62F6EFBE" w14:textId="6089CDA5" w:rsidR="00620D32" w:rsidRDefault="00620D32" w:rsidP="00260503"/>
        </w:tc>
        <w:tc>
          <w:tcPr>
            <w:tcW w:w="1077" w:type="dxa"/>
          </w:tcPr>
          <w:p w14:paraId="51CFDB2C" w14:textId="77777777" w:rsidR="00260503" w:rsidRDefault="00260503" w:rsidP="00260503">
            <w:r>
              <w:t>Intern.</w:t>
            </w:r>
          </w:p>
          <w:p w14:paraId="2E17F68F" w14:textId="2B05662F" w:rsidR="00260503" w:rsidRDefault="00AC1FC9" w:rsidP="00260503">
            <w:r>
              <w:t>Ant1, Ant2</w:t>
            </w:r>
          </w:p>
          <w:p w14:paraId="48CCB446" w14:textId="3CBAA69D" w:rsidR="0034553B" w:rsidRDefault="00AC1FC9" w:rsidP="00260503">
            <w:r>
              <w:t xml:space="preserve">   -   , 1,05</w:t>
            </w:r>
          </w:p>
          <w:p w14:paraId="7EBA3C01" w14:textId="6010F207" w:rsidR="0034553B" w:rsidRDefault="009C2166" w:rsidP="00260503">
            <w:r>
              <w:t>0,17, 0,47</w:t>
            </w:r>
          </w:p>
          <w:p w14:paraId="1FE001FF" w14:textId="19195216" w:rsidR="002B58BB" w:rsidRDefault="00AC1FC9" w:rsidP="00260503">
            <w:r>
              <w:t xml:space="preserve">   4  ,  4</w:t>
            </w:r>
          </w:p>
          <w:p w14:paraId="36583AB2" w14:textId="0A474958" w:rsidR="00F21D50" w:rsidRDefault="00F21D50"/>
        </w:tc>
        <w:tc>
          <w:tcPr>
            <w:tcW w:w="3063" w:type="dxa"/>
          </w:tcPr>
          <w:p w14:paraId="2A0E9E7C" w14:textId="77777777" w:rsidR="00260503" w:rsidRDefault="00260503" w:rsidP="00260503"/>
          <w:p w14:paraId="71D07D00" w14:textId="0DE2BE09" w:rsidR="00260503" w:rsidRDefault="00260503" w:rsidP="00260503">
            <w:r>
              <w:t>Intern</w:t>
            </w:r>
          </w:p>
        </w:tc>
      </w:tr>
      <w:tr w:rsidR="00260503" w14:paraId="354C974B" w14:textId="77777777" w:rsidTr="00260503">
        <w:tc>
          <w:tcPr>
            <w:tcW w:w="2065" w:type="dxa"/>
          </w:tcPr>
          <w:p w14:paraId="60011B86" w14:textId="57105735" w:rsidR="00260503" w:rsidRPr="00E63B27" w:rsidRDefault="00260503" w:rsidP="00F550FF">
            <w:pPr>
              <w:rPr>
                <w:color w:val="FF0000"/>
              </w:rPr>
            </w:pPr>
          </w:p>
        </w:tc>
        <w:tc>
          <w:tcPr>
            <w:tcW w:w="3690" w:type="dxa"/>
          </w:tcPr>
          <w:p w14:paraId="2589DB1E" w14:textId="66ADDCA5" w:rsidR="00315237" w:rsidRDefault="00315237" w:rsidP="00F550FF"/>
        </w:tc>
        <w:tc>
          <w:tcPr>
            <w:tcW w:w="1077" w:type="dxa"/>
          </w:tcPr>
          <w:p w14:paraId="34A7D5E8" w14:textId="0D2EDCF6" w:rsidR="00315237" w:rsidRDefault="00315237" w:rsidP="00F550FF"/>
        </w:tc>
        <w:tc>
          <w:tcPr>
            <w:tcW w:w="3063" w:type="dxa"/>
          </w:tcPr>
          <w:p w14:paraId="25C5EE1D" w14:textId="77777777" w:rsidR="00260503" w:rsidRDefault="00260503" w:rsidP="00F550FF"/>
        </w:tc>
      </w:tr>
    </w:tbl>
    <w:p w14:paraId="32307509" w14:textId="2D34DF45" w:rsidR="004E534D" w:rsidRPr="004E534D" w:rsidRDefault="00086ECA" w:rsidP="00481C42">
      <w:pPr>
        <w:pStyle w:val="Heading1"/>
      </w:pPr>
      <w:bookmarkStart w:id="15" w:name="_Toc118968912"/>
      <w:bookmarkEnd w:id="14"/>
      <w:r>
        <w:t>Rechtsvorschriften für den Betrieb in Europa (GB, UK und EU)</w:t>
      </w:r>
      <w:bookmarkEnd w:id="15"/>
    </w:p>
    <w:p w14:paraId="0806BB9B" w14:textId="5326F58B" w:rsidR="00AC23E2" w:rsidRDefault="00AC23E2" w:rsidP="004E534D">
      <w:pPr>
        <w:spacing w:line="240" w:lineRule="auto"/>
        <w:rPr>
          <w:rFonts w:cs="Arial"/>
        </w:rPr>
      </w:pPr>
      <w:r>
        <w:t>Dieser Abschnitt gilt für Produkte, die das CE-Zeichen und/oder das UKCA-Zeichen tragen:</w:t>
      </w:r>
    </w:p>
    <w:p w14:paraId="0557DAEA" w14:textId="2DB31AB2" w:rsidR="00AC23E2" w:rsidRDefault="00AC23E2" w:rsidP="004E534D">
      <w:pPr>
        <w:spacing w:line="240" w:lineRule="auto"/>
        <w:rPr>
          <w:rFonts w:cs="Arial"/>
        </w:rPr>
      </w:pPr>
      <w:r>
        <w:rPr>
          <w:noProof/>
        </w:rPr>
        <w:drawing>
          <wp:inline distT="0" distB="0" distL="0" distR="0" wp14:anchorId="64BECF13" wp14:editId="581FB314">
            <wp:extent cx="323850" cy="222595"/>
            <wp:effectExtent l="0" t="0" r="0" b="6350"/>
            <wp:docPr id="2" name="Picture 2" descr="V:\Engineering\TechnicalPublications\4TechPubs\Templates\Manuals FM-10\Manuals_FM10_5April13\FrameSrc\Images\ImgSrc\CE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gineering\TechnicalPublications\4TechPubs\Templates\Manuals FM-10\Manuals_FM10_5April13\FrameSrc\Images\ImgSrc\CE_Mar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461" cy="227139"/>
                    </a:xfrm>
                    <a:prstGeom prst="rect">
                      <a:avLst/>
                    </a:prstGeom>
                    <a:noFill/>
                    <a:ln>
                      <a:noFill/>
                    </a:ln>
                  </pic:spPr>
                </pic:pic>
              </a:graphicData>
            </a:graphic>
          </wp:inline>
        </w:drawing>
      </w:r>
      <w:r>
        <w:t xml:space="preserve">          </w:t>
      </w:r>
      <w:r>
        <w:rPr>
          <w:noProof/>
        </w:rPr>
        <w:drawing>
          <wp:inline distT="0" distB="0" distL="0" distR="0" wp14:anchorId="4B13EE9D" wp14:editId="6938FDAA">
            <wp:extent cx="238125" cy="237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CA black fill.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805" cy="250564"/>
                    </a:xfrm>
                    <a:prstGeom prst="rect">
                      <a:avLst/>
                    </a:prstGeom>
                  </pic:spPr>
                </pic:pic>
              </a:graphicData>
            </a:graphic>
          </wp:inline>
        </w:drawing>
      </w:r>
      <w:r>
        <w:t xml:space="preserve">         </w:t>
      </w:r>
    </w:p>
    <w:p w14:paraId="1675FFED" w14:textId="77777777" w:rsidR="004E534D" w:rsidRPr="004E534D" w:rsidRDefault="004E534D" w:rsidP="004E534D">
      <w:pPr>
        <w:spacing w:line="240" w:lineRule="auto"/>
        <w:rPr>
          <w:rFonts w:cs="Arial"/>
        </w:rPr>
      </w:pPr>
      <w:r>
        <w:t>Produkte mit der CE-Kennzeichnung entsprechen den folgenden EU-Richtlinien:</w:t>
      </w:r>
    </w:p>
    <w:p w14:paraId="47E7F46C" w14:textId="77777777" w:rsidR="00086ECA" w:rsidRDefault="00086ECA" w:rsidP="00086ECA">
      <w:pPr>
        <w:pStyle w:val="ListParagraph"/>
        <w:numPr>
          <w:ilvl w:val="0"/>
          <w:numId w:val="11"/>
        </w:numPr>
        <w:spacing w:line="240" w:lineRule="auto"/>
        <w:rPr>
          <w:rFonts w:cs="Arial"/>
        </w:rPr>
      </w:pPr>
      <w:r>
        <w:t>Ökodesign-Richtlinie 2009/125/EC</w:t>
      </w:r>
    </w:p>
    <w:p w14:paraId="2898BE75" w14:textId="77777777" w:rsidR="00086ECA" w:rsidRDefault="00086ECA" w:rsidP="00086ECA">
      <w:pPr>
        <w:pStyle w:val="ListParagraph"/>
        <w:numPr>
          <w:ilvl w:val="0"/>
          <w:numId w:val="11"/>
        </w:numPr>
        <w:spacing w:after="60" w:line="240" w:lineRule="auto"/>
        <w:rPr>
          <w:rFonts w:cs="Arial"/>
        </w:rPr>
      </w:pPr>
      <w:r>
        <w:lastRenderedPageBreak/>
        <w:t>RoHS-Richtlinie 2011/65/EU</w:t>
      </w:r>
    </w:p>
    <w:p w14:paraId="06CF6593" w14:textId="77777777" w:rsidR="00086ECA" w:rsidRPr="00086ECA" w:rsidRDefault="00086ECA" w:rsidP="00086ECA">
      <w:pPr>
        <w:spacing w:after="0" w:line="240" w:lineRule="auto"/>
        <w:ind w:left="360"/>
        <w:rPr>
          <w:rFonts w:cs="Arial"/>
        </w:rPr>
      </w:pPr>
      <w:r>
        <w:t>Für Nicht-Funkgeräte:</w:t>
      </w:r>
    </w:p>
    <w:p w14:paraId="5D786E6D" w14:textId="77777777" w:rsidR="004E534D" w:rsidRPr="004E534D" w:rsidRDefault="00594E54" w:rsidP="004E534D">
      <w:pPr>
        <w:pStyle w:val="ListParagraph"/>
        <w:numPr>
          <w:ilvl w:val="0"/>
          <w:numId w:val="11"/>
        </w:numPr>
        <w:spacing w:line="240" w:lineRule="auto"/>
        <w:rPr>
          <w:rFonts w:cs="Arial"/>
        </w:rPr>
      </w:pPr>
      <w:r>
        <w:t>EMV-Richtlinie 2014/30/EU</w:t>
      </w:r>
    </w:p>
    <w:p w14:paraId="70312403" w14:textId="77777777" w:rsidR="004E534D" w:rsidRDefault="004E534D" w:rsidP="00086ECA">
      <w:pPr>
        <w:pStyle w:val="ListParagraph"/>
        <w:numPr>
          <w:ilvl w:val="0"/>
          <w:numId w:val="11"/>
        </w:numPr>
        <w:spacing w:after="60" w:line="240" w:lineRule="auto"/>
        <w:rPr>
          <w:rFonts w:cs="Arial"/>
        </w:rPr>
      </w:pPr>
      <w:r>
        <w:t>Niederspannungsrichtlinie 2014/35/EU</w:t>
      </w:r>
    </w:p>
    <w:p w14:paraId="283F6DD1" w14:textId="77777777" w:rsidR="00086ECA" w:rsidRPr="00086ECA" w:rsidRDefault="00086ECA" w:rsidP="00086ECA">
      <w:pPr>
        <w:spacing w:after="0" w:line="240" w:lineRule="auto"/>
        <w:ind w:left="360"/>
        <w:rPr>
          <w:rFonts w:cs="Arial"/>
        </w:rPr>
      </w:pPr>
      <w:r>
        <w:t>Für Funkgeräte:</w:t>
      </w:r>
    </w:p>
    <w:p w14:paraId="2464C5F7" w14:textId="77777777" w:rsidR="00631365" w:rsidRDefault="00631365" w:rsidP="004E534D">
      <w:pPr>
        <w:pStyle w:val="ListParagraph"/>
        <w:numPr>
          <w:ilvl w:val="0"/>
          <w:numId w:val="11"/>
        </w:numPr>
        <w:spacing w:line="240" w:lineRule="auto"/>
        <w:rPr>
          <w:rFonts w:cs="Arial"/>
        </w:rPr>
      </w:pPr>
      <w:r>
        <w:t>Funkanlagen-Richtlinie 2014/53/EU (Radio Equipment Directive, RED)</w:t>
      </w:r>
    </w:p>
    <w:p w14:paraId="490B62CE" w14:textId="371D1518" w:rsidR="004E534D" w:rsidRDefault="004E534D" w:rsidP="004E534D">
      <w:pPr>
        <w:rPr>
          <w:rFonts w:cs="Arial"/>
        </w:rPr>
      </w:pPr>
      <w:r>
        <w:t xml:space="preserve">Eine Übereinstimmung mit diesen Richtlinien impliziert die Konformität mit harmonisierten europäischen Standards, die nicht in der EU-Konformitätserklärung aufgeführt sind. Die CE-Konformitätserklärung für die EU kann unter </w:t>
      </w:r>
      <w:hyperlink r:id="rId17" w:history="1">
        <w:r>
          <w:rPr>
            <w:rStyle w:val="Hyperlink"/>
          </w:rPr>
          <w:t>http://support.netgear.com/app/answers/detail/a_id/11621/</w:t>
        </w:r>
      </w:hyperlink>
      <w:r>
        <w:t xml:space="preserve"> abgerufen werden.</w:t>
      </w:r>
    </w:p>
    <w:p w14:paraId="0C2C461C" w14:textId="23454CDD" w:rsidR="000A4825" w:rsidRDefault="000A4825" w:rsidP="000A4825">
      <w:pPr>
        <w:spacing w:line="240" w:lineRule="auto"/>
        <w:rPr>
          <w:rFonts w:cs="Arial"/>
        </w:rPr>
      </w:pPr>
      <w:r>
        <w:t>Produkte mit der UKCA-Kennzeichnung entsprechen den gesetzlichen Bestimmungen des Vereinigten Königreichs und den entsprechenden, in der UKCA-Konformitätserklärung angegebenen Normen. Die UKCA-Konformitätserklärung ist abrufbar unter:</w:t>
      </w:r>
    </w:p>
    <w:p w14:paraId="34A28F2E" w14:textId="49C2ED9B" w:rsidR="000A4825" w:rsidRPr="004E534D" w:rsidRDefault="00F946ED" w:rsidP="000A4825">
      <w:pPr>
        <w:spacing w:line="240" w:lineRule="auto"/>
        <w:rPr>
          <w:rFonts w:cs="Arial"/>
        </w:rPr>
      </w:pPr>
      <w:hyperlink r:id="rId18" w:history="1">
        <w:r w:rsidR="00E63B27">
          <w:rPr>
            <w:color w:val="0563C1"/>
            <w:u w:val="single"/>
          </w:rPr>
          <w:t>https://kb.netgear.com/000062897/UKCA-Declarations-of-Conformity</w:t>
        </w:r>
      </w:hyperlink>
    </w:p>
    <w:p w14:paraId="54DA5D04" w14:textId="77777777" w:rsidR="000C0C1B" w:rsidRDefault="000C0C1B" w:rsidP="0060535B">
      <w:pPr>
        <w:pStyle w:val="Heading2"/>
      </w:pPr>
      <w:bookmarkStart w:id="16" w:name="_Toc118968913"/>
      <w:r>
        <w:t>Einhaltung der Funkanlagenrichtlinie 2014/53/EU</w:t>
      </w:r>
      <w:bookmarkEnd w:id="16"/>
    </w:p>
    <w:p w14:paraId="2651449F" w14:textId="247618D8" w:rsidR="00944A3B" w:rsidRDefault="00B76660" w:rsidP="004E534D">
      <w:pPr>
        <w:rPr>
          <w:rFonts w:cs="Arial"/>
        </w:rPr>
      </w:pPr>
      <w:r>
        <w:t xml:space="preserve">NETGEAR Produkte mit der CE-Kennzeichnung erfüllen die Anforderungen von Artikel 10 Absatz 2, da sie in mindestens einem Mitgliedsstaat als geprüft betrieben werden können. </w:t>
      </w:r>
    </w:p>
    <w:p w14:paraId="16C23CF7" w14:textId="1EB1C1AB" w:rsidR="00B76660" w:rsidRDefault="00944A3B" w:rsidP="004E534D">
      <w:pPr>
        <w:rPr>
          <w:rFonts w:cs="Arial"/>
        </w:rPr>
      </w:pPr>
      <w:r>
        <w:t>Die Kennzeichnung von NETGEAR Produkten mit dem folgenden Piktogramm auf der Verpackung weist gemäß Artikel 10 Absatz 10 darauf hin, dass für dieses Gerät in den angegebenen Ländern die nachfolgend beschriebenen Einschränkungen gelten:</w:t>
      </w:r>
    </w:p>
    <w:p w14:paraId="34A981DC" w14:textId="77B738A4" w:rsidR="00944A3B" w:rsidRDefault="001F2CF2" w:rsidP="008E0AE0">
      <w:pPr>
        <w:rPr>
          <w:rFonts w:cs="Arial"/>
        </w:rPr>
      </w:pPr>
      <w:r>
        <w:rPr>
          <w:noProof/>
        </w:rPr>
        <w:drawing>
          <wp:inline distT="0" distB="0" distL="0" distR="0" wp14:anchorId="4112DDF7" wp14:editId="4A21484B">
            <wp:extent cx="1778091" cy="75568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ogram.PNG"/>
                    <pic:cNvPicPr/>
                  </pic:nvPicPr>
                  <pic:blipFill>
                    <a:blip r:embed="rId19">
                      <a:extLst>
                        <a:ext uri="{28A0092B-C50C-407E-A947-70E740481C1C}">
                          <a14:useLocalDpi xmlns:a14="http://schemas.microsoft.com/office/drawing/2010/main" val="0"/>
                        </a:ext>
                      </a:extLst>
                    </a:blip>
                    <a:stretch>
                      <a:fillRect/>
                    </a:stretch>
                  </pic:blipFill>
                  <pic:spPr>
                    <a:xfrm>
                      <a:off x="0" y="0"/>
                      <a:ext cx="1778091" cy="755689"/>
                    </a:xfrm>
                    <a:prstGeom prst="rect">
                      <a:avLst/>
                    </a:prstGeom>
                  </pic:spPr>
                </pic:pic>
              </a:graphicData>
            </a:graphic>
          </wp:inline>
        </w:drawing>
      </w:r>
    </w:p>
    <w:p w14:paraId="15F5F37E" w14:textId="77777777" w:rsidR="00683FD5" w:rsidRPr="000E6B64" w:rsidRDefault="00683FD5" w:rsidP="000E6B64">
      <w:pPr>
        <w:pStyle w:val="ListParagraph"/>
        <w:numPr>
          <w:ilvl w:val="0"/>
          <w:numId w:val="11"/>
        </w:numPr>
        <w:spacing w:after="80" w:line="240" w:lineRule="auto"/>
        <w:contextualSpacing w:val="0"/>
      </w:pPr>
      <w:r>
        <w:t>Wird das Gerät in den folgenden Frequenzbereichen betrieben, darf es nur in Innenräumen eingesetzt werden:</w:t>
      </w:r>
    </w:p>
    <w:p w14:paraId="178AF14F" w14:textId="77777777" w:rsidR="00683FD5" w:rsidRPr="000E6B64" w:rsidRDefault="00683FD5" w:rsidP="000E6B64">
      <w:pPr>
        <w:pStyle w:val="ListParagraph"/>
        <w:spacing w:after="0" w:line="240" w:lineRule="auto"/>
        <w:contextualSpacing w:val="0"/>
      </w:pPr>
      <w:r>
        <w:t>5150 bis 5350 MHz</w:t>
      </w:r>
    </w:p>
    <w:p w14:paraId="48581095" w14:textId="6C73678A" w:rsidR="00683FD5" w:rsidRDefault="00683FD5" w:rsidP="000E6B64">
      <w:pPr>
        <w:pStyle w:val="ListParagraph"/>
        <w:spacing w:after="80" w:line="240" w:lineRule="auto"/>
        <w:contextualSpacing w:val="0"/>
      </w:pPr>
      <w:r>
        <w:t>5945 bis 6425 MHz</w:t>
      </w:r>
    </w:p>
    <w:p w14:paraId="249ADA6A" w14:textId="77777777" w:rsidR="00BB2455" w:rsidRDefault="00BB2455" w:rsidP="00BB2455">
      <w:pPr>
        <w:pStyle w:val="ListParagraph"/>
        <w:spacing w:after="80" w:line="240" w:lineRule="auto"/>
        <w:contextualSpacing w:val="0"/>
      </w:pPr>
      <w:r>
        <w:t>(MR61XX, MR64XX und MR65XX sind nicht auf den Einsatz im Innenbereich beschränkt)</w:t>
      </w:r>
    </w:p>
    <w:p w14:paraId="2257FD3D" w14:textId="77777777" w:rsidR="00BB2455" w:rsidRDefault="00BB2455" w:rsidP="000E6B64">
      <w:pPr>
        <w:pStyle w:val="ListParagraph"/>
        <w:spacing w:after="80" w:line="240" w:lineRule="auto"/>
        <w:contextualSpacing w:val="0"/>
      </w:pPr>
    </w:p>
    <w:p w14:paraId="64777D0B" w14:textId="21B367B8" w:rsidR="0052671E" w:rsidRDefault="0052671E">
      <w:pPr>
        <w:pStyle w:val="ListParagraph"/>
        <w:numPr>
          <w:ilvl w:val="0"/>
          <w:numId w:val="11"/>
        </w:numPr>
        <w:spacing w:after="80" w:line="240" w:lineRule="auto"/>
        <w:contextualSpacing w:val="0"/>
      </w:pPr>
      <w:r>
        <w:t xml:space="preserve">Der Betrieb im Frequenzbereich 5945-6425 MHz ist in den Ländern der EU und der EFTA vor Dezember 2021 nicht erlaubt, mit Ausnahme von CY, CZ, DE, FR, SI, NO und UK(NI). </w:t>
      </w:r>
    </w:p>
    <w:p w14:paraId="0B719C94" w14:textId="0FE969BE" w:rsidR="00643CD4" w:rsidRDefault="00EB1502">
      <w:pPr>
        <w:pStyle w:val="ListParagraph"/>
        <w:numPr>
          <w:ilvl w:val="0"/>
          <w:numId w:val="11"/>
        </w:numPr>
        <w:spacing w:after="80" w:line="240" w:lineRule="auto"/>
        <w:contextualSpacing w:val="0"/>
      </w:pPr>
      <w:r>
        <w:t>Geräte mit einem Frequenzbereich von 5945–6425 MHz sind in Belgien ab Oktober 2021 entsprechend der Genehmigungsordnung zugelassen, bis der königliche Erlass aktualisiert wird, mit dem für diesen Frequenzbereich eine Ausnahmegenehmigung erteilt wird oder keine Lizenz erforderlich ist. Für jeden Standort, an dem sich Geräte befinden, ist eine allgemeine Lizenz erforderlich. Weitere Informationen finden Sie unter BIPT. Weitere Informationsquellen:</w:t>
      </w:r>
    </w:p>
    <w:p w14:paraId="753CA84C" w14:textId="76F46A71" w:rsidR="00EB1502" w:rsidRDefault="00F946ED" w:rsidP="00EB1502">
      <w:pPr>
        <w:pStyle w:val="ListParagraph"/>
        <w:numPr>
          <w:ilvl w:val="1"/>
          <w:numId w:val="11"/>
        </w:numPr>
        <w:spacing w:after="80" w:line="240" w:lineRule="auto"/>
        <w:contextualSpacing w:val="0"/>
      </w:pPr>
      <w:hyperlink r:id="rId20" w:history="1">
        <w:r w:rsidR="00E63B27">
          <w:rPr>
            <w:rStyle w:val="Hyperlink"/>
          </w:rPr>
          <w:t>https://www.bipt.be/consumers/free-use-of-radio</w:t>
        </w:r>
      </w:hyperlink>
    </w:p>
    <w:p w14:paraId="6739C049" w14:textId="523DF785" w:rsidR="00EB1502" w:rsidRDefault="00F946ED" w:rsidP="000E6B64">
      <w:pPr>
        <w:pStyle w:val="ListParagraph"/>
        <w:numPr>
          <w:ilvl w:val="1"/>
          <w:numId w:val="11"/>
        </w:numPr>
        <w:spacing w:after="80" w:line="240" w:lineRule="auto"/>
        <w:contextualSpacing w:val="0"/>
      </w:pPr>
      <w:hyperlink r:id="rId21" w:history="1">
        <w:r w:rsidR="00E63B27">
          <w:rPr>
            <w:rStyle w:val="Hyperlink"/>
          </w:rPr>
          <w:t>https://www.bipt.be/operators/general-holders-licences</w:t>
        </w:r>
      </w:hyperlink>
    </w:p>
    <w:p w14:paraId="4B04E5F0" w14:textId="77777777" w:rsidR="00683FD5" w:rsidRPr="004E534D" w:rsidRDefault="00683FD5" w:rsidP="007000CC">
      <w:pPr>
        <w:spacing w:after="0"/>
      </w:pPr>
    </w:p>
    <w:p w14:paraId="077F017B" w14:textId="77777777" w:rsidR="00A81D71" w:rsidRDefault="00A81D71" w:rsidP="007000CC">
      <w:pPr>
        <w:pStyle w:val="Heading3"/>
      </w:pPr>
      <w:bookmarkStart w:id="17" w:name="_Toc118968914"/>
      <w:r>
        <w:t>Hinweise zur Belastung durch Funkwellen</w:t>
      </w:r>
      <w:bookmarkEnd w:id="17"/>
    </w:p>
    <w:p w14:paraId="2E688860" w14:textId="18E71016" w:rsidR="00A81D71" w:rsidRDefault="00A81D71" w:rsidP="0060535B">
      <w:pPr>
        <w:spacing w:before="80" w:after="80"/>
        <w:jc w:val="both"/>
        <w:rPr>
          <w:highlight w:val="yellow"/>
        </w:rPr>
      </w:pPr>
      <w:r>
        <w:t>Achten Sie bei anderen Geräten als mobilen Hotspots und USB-Modems darauf, dass der Abstand zwischen dem WLAN-Gerät von NETGEAR und dem Körper des Benutzers mindestens 20 cm beträgt, um die Bedingungen für die maximal zulässige Exposition (MPE) zu erfüllen. Weitere Informationen finden Sie im Abschnitt zum Thema Belastung durch Funkwellen unter:</w:t>
      </w:r>
    </w:p>
    <w:p w14:paraId="18D51646" w14:textId="6D1DD92D" w:rsidR="008350C8" w:rsidRDefault="00F946ED" w:rsidP="008350C8">
      <w:hyperlink r:id="rId22" w:history="1">
        <w:r w:rsidR="00E63B27">
          <w:rPr>
            <w:rStyle w:val="Hyperlink"/>
          </w:rPr>
          <w:t>https://www.netgear.com/about/regulatory/</w:t>
        </w:r>
      </w:hyperlink>
    </w:p>
    <w:p w14:paraId="11C541B8" w14:textId="5CDCE30B" w:rsidR="00711C6D" w:rsidRDefault="00711C6D" w:rsidP="00631365">
      <w:r>
        <w:lastRenderedPageBreak/>
        <w:t>Gemäß Artikel 10.8(a) und 10.8(b) der Funkanlagenrichtlinie enthält die nacRFolgende Tabelle Informationen über die verwendeten Frequenzbereiche und die maximale Sendeleistung der Funkfrequenz der in der EU verkauften NETGEAR kabellosen Produkten.</w:t>
      </w:r>
    </w:p>
    <w:p w14:paraId="5776E1F8" w14:textId="77777777" w:rsidR="003B3E0A" w:rsidRPr="003B3E0A" w:rsidRDefault="003B3E0A" w:rsidP="0037608F">
      <w:pPr>
        <w:rPr>
          <w:i/>
        </w:rPr>
      </w:pPr>
      <w:r>
        <w:rPr>
          <w:i/>
        </w:rPr>
        <w:t>WLAN</w:t>
      </w:r>
    </w:p>
    <w:tbl>
      <w:tblPr>
        <w:tblW w:w="0" w:type="auto"/>
        <w:tblCellMar>
          <w:left w:w="0" w:type="dxa"/>
          <w:right w:w="0" w:type="dxa"/>
        </w:tblCellMar>
        <w:tblLook w:val="04A0" w:firstRow="1" w:lastRow="0" w:firstColumn="1" w:lastColumn="0" w:noHBand="0" w:noVBand="1"/>
      </w:tblPr>
      <w:tblGrid>
        <w:gridCol w:w="2496"/>
        <w:gridCol w:w="2367"/>
        <w:gridCol w:w="3299"/>
      </w:tblGrid>
      <w:tr w:rsidR="00711C6D" w:rsidRPr="00711C6D" w14:paraId="29CABE01" w14:textId="77777777" w:rsidTr="00711C6D">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C7D4CB" w14:textId="77777777" w:rsidR="00711C6D" w:rsidRPr="00711C6D" w:rsidRDefault="00711C6D">
            <w:pPr>
              <w:rPr>
                <w:rFonts w:ascii="Calibri" w:hAnsi="Calibri"/>
                <w:b/>
                <w:sz w:val="22"/>
              </w:rPr>
            </w:pPr>
            <w:r>
              <w:rPr>
                <w:b/>
              </w:rPr>
              <w:t>Frequenzbereich (MHz)</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3B203A" w14:textId="77777777" w:rsidR="00711C6D" w:rsidRPr="00711C6D" w:rsidRDefault="00711C6D">
            <w:pPr>
              <w:rPr>
                <w:b/>
              </w:rPr>
            </w:pPr>
            <w:r>
              <w:rPr>
                <w:b/>
              </w:rPr>
              <w:t>Funkübertragungskanäle</w:t>
            </w: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0188D" w14:textId="77777777" w:rsidR="00711C6D" w:rsidRPr="00711C6D" w:rsidRDefault="00711C6D">
            <w:pPr>
              <w:rPr>
                <w:b/>
              </w:rPr>
            </w:pPr>
            <w:r>
              <w:rPr>
                <w:b/>
              </w:rPr>
              <w:t>Max. Sendeleistung (dBm/mW)</w:t>
            </w:r>
          </w:p>
        </w:tc>
      </w:tr>
      <w:tr w:rsidR="00711C6D" w14:paraId="78B5A328"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7EB9A" w14:textId="77777777" w:rsidR="00711C6D" w:rsidRDefault="00711C6D" w:rsidP="00711C6D">
            <w:pPr>
              <w:spacing w:after="0"/>
            </w:pPr>
            <w:r>
              <w:t>2400–2483,5</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1946587A" w14:textId="77777777" w:rsidR="00711C6D" w:rsidRDefault="00711C6D" w:rsidP="00711C6D">
            <w:pPr>
              <w:spacing w:after="0"/>
            </w:pPr>
            <w:r>
              <w:t>1–13</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3ABCF884" w14:textId="77777777" w:rsidR="00711C6D" w:rsidRDefault="00711C6D" w:rsidP="00711C6D">
            <w:pPr>
              <w:spacing w:after="0"/>
            </w:pPr>
            <w:r>
              <w:t>OFDM: 19,9 dBm: 97,7 mW</w:t>
            </w:r>
          </w:p>
          <w:p w14:paraId="7E96C2A1" w14:textId="77777777" w:rsidR="00711C6D" w:rsidRDefault="00711C6D" w:rsidP="00711C6D">
            <w:pPr>
              <w:spacing w:after="0"/>
            </w:pPr>
            <w:r>
              <w:t>CCK: 17,9 dBm: 61,7 mW</w:t>
            </w:r>
          </w:p>
        </w:tc>
      </w:tr>
      <w:tr w:rsidR="00711C6D" w14:paraId="5FBD2AA8"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11B5B" w14:textId="77777777" w:rsidR="00711C6D" w:rsidRDefault="00711C6D" w:rsidP="00711C6D">
            <w:pPr>
              <w:spacing w:after="0"/>
            </w:pPr>
            <w:r>
              <w:t>5150–5250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3BC36C91" w14:textId="77777777" w:rsidR="00711C6D" w:rsidRDefault="00711C6D" w:rsidP="00711C6D">
            <w:pPr>
              <w:spacing w:after="0"/>
            </w:pPr>
            <w:r>
              <w:t>36–48</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5328CFEA" w14:textId="77777777" w:rsidR="00711C6D" w:rsidRDefault="00711C6D" w:rsidP="00711C6D">
            <w:pPr>
              <w:spacing w:after="0"/>
            </w:pPr>
            <w:r>
              <w:t>22,9 dBm: 195 mW</w:t>
            </w:r>
          </w:p>
        </w:tc>
      </w:tr>
      <w:tr w:rsidR="00711C6D" w14:paraId="2028A40D"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A6963" w14:textId="77777777" w:rsidR="00711C6D" w:rsidRDefault="00711C6D" w:rsidP="00711C6D">
            <w:pPr>
              <w:spacing w:after="0"/>
            </w:pPr>
            <w:r>
              <w:t>5250–5350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4B49EC8E" w14:textId="77777777" w:rsidR="00711C6D" w:rsidRDefault="00711C6D" w:rsidP="00711C6D">
            <w:pPr>
              <w:spacing w:after="0"/>
            </w:pPr>
            <w:r>
              <w:t>52–64</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6E04EB82" w14:textId="77777777" w:rsidR="00711C6D" w:rsidRDefault="00711C6D" w:rsidP="00711C6D">
            <w:pPr>
              <w:spacing w:after="0"/>
            </w:pPr>
            <w:r>
              <w:t>22,9 dBm (195 mW) mit TPC</w:t>
            </w:r>
          </w:p>
          <w:p w14:paraId="4DCBD7F5" w14:textId="77777777" w:rsidR="00711C6D" w:rsidRDefault="00711C6D" w:rsidP="00711C6D">
            <w:pPr>
              <w:spacing w:after="0"/>
            </w:pPr>
            <w:r>
              <w:t>19,9 dBm (97,7 mW) ohne TPC</w:t>
            </w:r>
          </w:p>
        </w:tc>
      </w:tr>
      <w:tr w:rsidR="00711C6D" w14:paraId="3C7A7DB4" w14:textId="77777777" w:rsidTr="000E6B64">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A5C97" w14:textId="77777777" w:rsidR="00711C6D" w:rsidRDefault="00711C6D" w:rsidP="00711C6D">
            <w:pPr>
              <w:spacing w:after="0"/>
            </w:pPr>
            <w:r>
              <w:t>5470–5725</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3E2EECD7" w14:textId="77777777" w:rsidR="00711C6D" w:rsidRDefault="00711C6D" w:rsidP="00711C6D">
            <w:pPr>
              <w:spacing w:after="0"/>
            </w:pPr>
            <w:r>
              <w:t>100–140</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2940C1BC" w14:textId="77777777" w:rsidR="00711C6D" w:rsidRDefault="00711C6D" w:rsidP="00711C6D">
            <w:pPr>
              <w:spacing w:after="0"/>
            </w:pPr>
            <w:r>
              <w:t>29,9 dBm (977 mW) mit TPC</w:t>
            </w:r>
          </w:p>
          <w:p w14:paraId="345503AB" w14:textId="77777777" w:rsidR="00711C6D" w:rsidRDefault="00711C6D" w:rsidP="00711C6D">
            <w:pPr>
              <w:spacing w:after="0"/>
            </w:pPr>
            <w:r>
              <w:t>26,9 dBm (490 mW) ohne TPC</w:t>
            </w:r>
          </w:p>
        </w:tc>
      </w:tr>
      <w:tr w:rsidR="00683FD5" w14:paraId="248016E0" w14:textId="77777777" w:rsidTr="000E6B64">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138824" w14:textId="751E6F91" w:rsidR="00683FD5" w:rsidRDefault="00683FD5" w:rsidP="00683FD5">
            <w:pPr>
              <w:spacing w:after="0"/>
            </w:pPr>
            <w:r>
              <w:t>5945–6425</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5AAD71" w14:textId="77777777" w:rsidR="00683FD5" w:rsidRDefault="00683FD5" w:rsidP="00683FD5">
            <w:pPr>
              <w:spacing w:after="0"/>
            </w:pP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BC6BCB" w14:textId="2BAB1632" w:rsidR="00683FD5" w:rsidRDefault="00683FD5" w:rsidP="00683FD5">
            <w:pPr>
              <w:spacing w:after="0"/>
            </w:pPr>
            <w:r>
              <w:t>22,9 dBm: 195 mW</w:t>
            </w:r>
          </w:p>
        </w:tc>
      </w:tr>
    </w:tbl>
    <w:p w14:paraId="42354047" w14:textId="77777777" w:rsidR="00844B44" w:rsidRDefault="00844B44" w:rsidP="00844B44">
      <w:pPr>
        <w:spacing w:after="0"/>
      </w:pPr>
    </w:p>
    <w:p w14:paraId="0FEFAE20" w14:textId="77777777" w:rsidR="003B3E0A" w:rsidRDefault="00711C6D" w:rsidP="0037608F">
      <w:r>
        <w:t>TPC: Transmit Power Control (Sendeleistungsregelung):</w:t>
      </w:r>
    </w:p>
    <w:p w14:paraId="78F7BC4A" w14:textId="77777777" w:rsidR="00711C6D" w:rsidRPr="003B3E0A" w:rsidRDefault="003B3E0A" w:rsidP="0037608F">
      <w:pPr>
        <w:rPr>
          <w:i/>
        </w:rPr>
      </w:pPr>
      <w:r>
        <w:rPr>
          <w:i/>
        </w:rPr>
        <w:t>Mobil</w:t>
      </w:r>
    </w:p>
    <w:tbl>
      <w:tblPr>
        <w:tblStyle w:val="TableGrid"/>
        <w:tblW w:w="0" w:type="auto"/>
        <w:tblLook w:val="04A0" w:firstRow="1" w:lastRow="0" w:firstColumn="1" w:lastColumn="0" w:noHBand="0" w:noVBand="1"/>
      </w:tblPr>
      <w:tblGrid>
        <w:gridCol w:w="2504"/>
        <w:gridCol w:w="1657"/>
        <w:gridCol w:w="5189"/>
      </w:tblGrid>
      <w:tr w:rsidR="003B3E0A" w:rsidRPr="003B3E0A" w14:paraId="058A3622" w14:textId="77777777" w:rsidTr="003B3E0A">
        <w:tc>
          <w:tcPr>
            <w:tcW w:w="2515" w:type="dxa"/>
          </w:tcPr>
          <w:p w14:paraId="52FF6BB3" w14:textId="77777777" w:rsidR="003B3E0A" w:rsidRPr="003B3E0A" w:rsidRDefault="003B3E0A" w:rsidP="0037608F">
            <w:pPr>
              <w:rPr>
                <w:b/>
              </w:rPr>
            </w:pPr>
            <w:bookmarkStart w:id="18" w:name="_Hlk106973063"/>
            <w:r>
              <w:rPr>
                <w:b/>
              </w:rPr>
              <w:t>Frequenz (MHz)</w:t>
            </w:r>
          </w:p>
        </w:tc>
        <w:tc>
          <w:tcPr>
            <w:tcW w:w="1620" w:type="dxa"/>
          </w:tcPr>
          <w:p w14:paraId="2BD3A5F1" w14:textId="77777777" w:rsidR="003B3E0A" w:rsidRPr="003B3E0A" w:rsidRDefault="003B3E0A" w:rsidP="0037608F">
            <w:pPr>
              <w:rPr>
                <w:b/>
              </w:rPr>
            </w:pPr>
            <w:r>
              <w:rPr>
                <w:b/>
              </w:rPr>
              <w:t>Genutzter Frequenzbereich</w:t>
            </w:r>
          </w:p>
        </w:tc>
        <w:tc>
          <w:tcPr>
            <w:tcW w:w="5215" w:type="dxa"/>
          </w:tcPr>
          <w:p w14:paraId="7191E850" w14:textId="77777777" w:rsidR="003B3E0A" w:rsidRPr="003B3E0A" w:rsidRDefault="003B3E0A" w:rsidP="0037608F">
            <w:pPr>
              <w:rPr>
                <w:b/>
              </w:rPr>
            </w:pPr>
            <w:r>
              <w:rPr>
                <w:b/>
              </w:rPr>
              <w:t>Max. Sendeleistung (dBm/mW)</w:t>
            </w:r>
          </w:p>
        </w:tc>
      </w:tr>
      <w:tr w:rsidR="003B3E0A" w:rsidRPr="003B3E0A" w14:paraId="3AF796E1" w14:textId="77777777" w:rsidTr="003B3E0A">
        <w:tc>
          <w:tcPr>
            <w:tcW w:w="2515" w:type="dxa"/>
          </w:tcPr>
          <w:p w14:paraId="224B6D93" w14:textId="7212AE7A" w:rsidR="003B3E0A" w:rsidRPr="003B3E0A" w:rsidRDefault="003B3E0A" w:rsidP="0037608F">
            <w:r>
              <w:t>703–748</w:t>
            </w:r>
          </w:p>
        </w:tc>
        <w:tc>
          <w:tcPr>
            <w:tcW w:w="1620" w:type="dxa"/>
          </w:tcPr>
          <w:p w14:paraId="42B77539" w14:textId="51BC7CE0" w:rsidR="003B3E0A" w:rsidRPr="003B3E0A" w:rsidRDefault="003B3E0A" w:rsidP="0037608F">
            <w:r>
              <w:t>Band 28</w:t>
            </w:r>
          </w:p>
        </w:tc>
        <w:tc>
          <w:tcPr>
            <w:tcW w:w="5215" w:type="dxa"/>
          </w:tcPr>
          <w:p w14:paraId="1318D6DD" w14:textId="470F6F46" w:rsidR="003B3E0A" w:rsidRPr="003B3E0A" w:rsidRDefault="003B3E0A" w:rsidP="0037608F">
            <w:r>
              <w:t>23,9 dBm (245 mW)</w:t>
            </w:r>
          </w:p>
        </w:tc>
      </w:tr>
      <w:tr w:rsidR="003B3E0A" w:rsidRPr="003B3E0A" w14:paraId="76D80DF3" w14:textId="77777777" w:rsidTr="003B3E0A">
        <w:tc>
          <w:tcPr>
            <w:tcW w:w="2515" w:type="dxa"/>
          </w:tcPr>
          <w:p w14:paraId="4764113A" w14:textId="362C985D" w:rsidR="003B3E0A" w:rsidRDefault="003B3E0A" w:rsidP="003B3E0A">
            <w:r>
              <w:t>832–862</w:t>
            </w:r>
          </w:p>
        </w:tc>
        <w:tc>
          <w:tcPr>
            <w:tcW w:w="1620" w:type="dxa"/>
          </w:tcPr>
          <w:p w14:paraId="64F5AF97" w14:textId="67DDE9A5" w:rsidR="003B3E0A" w:rsidRDefault="003B3E0A" w:rsidP="003B3E0A">
            <w:r>
              <w:t>Band 20</w:t>
            </w:r>
          </w:p>
        </w:tc>
        <w:tc>
          <w:tcPr>
            <w:tcW w:w="5215" w:type="dxa"/>
          </w:tcPr>
          <w:p w14:paraId="405E25AC" w14:textId="4759522E" w:rsidR="003B3E0A" w:rsidRPr="003B3E0A" w:rsidRDefault="003B3E0A" w:rsidP="003B3E0A">
            <w:r>
              <w:t>23,9 dBm (245 mW)</w:t>
            </w:r>
          </w:p>
        </w:tc>
      </w:tr>
      <w:tr w:rsidR="003B3E0A" w14:paraId="759366BE" w14:textId="77777777" w:rsidTr="003B3E0A">
        <w:tc>
          <w:tcPr>
            <w:tcW w:w="2515" w:type="dxa"/>
          </w:tcPr>
          <w:p w14:paraId="599C14A5" w14:textId="48B2967D" w:rsidR="003B3E0A" w:rsidRDefault="000B36AE" w:rsidP="003B3E0A">
            <w:r>
              <w:t>880–915</w:t>
            </w:r>
          </w:p>
        </w:tc>
        <w:tc>
          <w:tcPr>
            <w:tcW w:w="1620" w:type="dxa"/>
          </w:tcPr>
          <w:p w14:paraId="53D0D109" w14:textId="064402D8" w:rsidR="003B3E0A" w:rsidRDefault="001F3313" w:rsidP="003B3E0A">
            <w:r>
              <w:t>Band 8</w:t>
            </w:r>
          </w:p>
        </w:tc>
        <w:tc>
          <w:tcPr>
            <w:tcW w:w="5215" w:type="dxa"/>
          </w:tcPr>
          <w:p w14:paraId="0CF030F9" w14:textId="4A015411" w:rsidR="003B3E0A" w:rsidRPr="003B3E0A" w:rsidRDefault="003B3E0A" w:rsidP="003B3E0A">
            <w:r>
              <w:t>23,9 dBm (245 mW)</w:t>
            </w:r>
          </w:p>
        </w:tc>
      </w:tr>
      <w:tr w:rsidR="00821506" w14:paraId="3EFAD9A0" w14:textId="77777777" w:rsidTr="003B3E0A">
        <w:tc>
          <w:tcPr>
            <w:tcW w:w="2515" w:type="dxa"/>
          </w:tcPr>
          <w:p w14:paraId="3BBE6E24" w14:textId="3002FF98" w:rsidR="00821506" w:rsidRDefault="00821506" w:rsidP="00821506">
            <w:r>
              <w:t>1710–1785</w:t>
            </w:r>
          </w:p>
        </w:tc>
        <w:tc>
          <w:tcPr>
            <w:tcW w:w="1620" w:type="dxa"/>
          </w:tcPr>
          <w:p w14:paraId="13941E24" w14:textId="7E1447E0" w:rsidR="00821506" w:rsidRDefault="00821506" w:rsidP="00821506">
            <w:r>
              <w:t>Band 3</w:t>
            </w:r>
          </w:p>
        </w:tc>
        <w:tc>
          <w:tcPr>
            <w:tcW w:w="5215" w:type="dxa"/>
          </w:tcPr>
          <w:p w14:paraId="3455145C" w14:textId="77777777" w:rsidR="00821506" w:rsidRPr="003B3E0A" w:rsidRDefault="00821506" w:rsidP="00821506">
            <w:r>
              <w:t>FDD: 23,9 dBm (245 mW)</w:t>
            </w:r>
          </w:p>
        </w:tc>
      </w:tr>
      <w:tr w:rsidR="00821506" w14:paraId="19BDF464" w14:textId="77777777" w:rsidTr="003B3E0A">
        <w:tc>
          <w:tcPr>
            <w:tcW w:w="2515" w:type="dxa"/>
          </w:tcPr>
          <w:p w14:paraId="387B9E8D" w14:textId="6B165E86" w:rsidR="00821506" w:rsidRDefault="000B36AE" w:rsidP="00821506">
            <w:r>
              <w:t>1920–1980</w:t>
            </w:r>
          </w:p>
        </w:tc>
        <w:tc>
          <w:tcPr>
            <w:tcW w:w="1620" w:type="dxa"/>
          </w:tcPr>
          <w:p w14:paraId="797E4F60" w14:textId="54352826" w:rsidR="00821506" w:rsidRDefault="00821506" w:rsidP="00821506">
            <w:r>
              <w:t>Band 1</w:t>
            </w:r>
          </w:p>
        </w:tc>
        <w:tc>
          <w:tcPr>
            <w:tcW w:w="5215" w:type="dxa"/>
          </w:tcPr>
          <w:p w14:paraId="7DB81300" w14:textId="1652222F" w:rsidR="00821506" w:rsidRPr="003B3E0A" w:rsidRDefault="00821506" w:rsidP="00821506">
            <w:r>
              <w:t>23,9 dBm (245 mW)</w:t>
            </w:r>
          </w:p>
        </w:tc>
      </w:tr>
      <w:tr w:rsidR="00821506" w14:paraId="7FD51F81" w14:textId="77777777" w:rsidTr="003B3E0A">
        <w:tc>
          <w:tcPr>
            <w:tcW w:w="2515" w:type="dxa"/>
          </w:tcPr>
          <w:p w14:paraId="4E3C070C" w14:textId="45CFEAAF" w:rsidR="00821506" w:rsidRDefault="00821506" w:rsidP="00821506">
            <w:r>
              <w:t>2300–2400</w:t>
            </w:r>
          </w:p>
        </w:tc>
        <w:tc>
          <w:tcPr>
            <w:tcW w:w="1620" w:type="dxa"/>
          </w:tcPr>
          <w:p w14:paraId="6FE73A7D" w14:textId="67F61986" w:rsidR="00821506" w:rsidRDefault="00821506" w:rsidP="00821506">
            <w:r>
              <w:t>Band 40</w:t>
            </w:r>
          </w:p>
        </w:tc>
        <w:tc>
          <w:tcPr>
            <w:tcW w:w="5215" w:type="dxa"/>
          </w:tcPr>
          <w:p w14:paraId="14BBB32A" w14:textId="673E0936" w:rsidR="00821506" w:rsidRPr="003B3E0A" w:rsidRDefault="00821506" w:rsidP="00821506">
            <w:r>
              <w:t>23,9 dBm (245 mW)</w:t>
            </w:r>
          </w:p>
        </w:tc>
      </w:tr>
      <w:tr w:rsidR="000B36AE" w14:paraId="6A4BE03D" w14:textId="77777777" w:rsidTr="003B3E0A">
        <w:tc>
          <w:tcPr>
            <w:tcW w:w="2515" w:type="dxa"/>
          </w:tcPr>
          <w:p w14:paraId="25D9DD83" w14:textId="578FA346" w:rsidR="000B36AE" w:rsidRDefault="000B36AE" w:rsidP="00821506">
            <w:r>
              <w:t>2496–2690</w:t>
            </w:r>
          </w:p>
        </w:tc>
        <w:tc>
          <w:tcPr>
            <w:tcW w:w="1620" w:type="dxa"/>
          </w:tcPr>
          <w:p w14:paraId="3213A855" w14:textId="4976BA71" w:rsidR="000B36AE" w:rsidDel="000B36AE" w:rsidRDefault="000B36AE" w:rsidP="00821506">
            <w:r>
              <w:t>Band 41</w:t>
            </w:r>
          </w:p>
        </w:tc>
        <w:tc>
          <w:tcPr>
            <w:tcW w:w="5215" w:type="dxa"/>
          </w:tcPr>
          <w:p w14:paraId="372D9221" w14:textId="55A57802" w:rsidR="000B36AE" w:rsidDel="000B36AE" w:rsidRDefault="000B36AE" w:rsidP="00821506">
            <w:r>
              <w:t>26,9 dBm (500 mW)</w:t>
            </w:r>
          </w:p>
        </w:tc>
      </w:tr>
      <w:tr w:rsidR="00821506" w14:paraId="2CBADBE6" w14:textId="77777777" w:rsidTr="003B3E0A">
        <w:tc>
          <w:tcPr>
            <w:tcW w:w="2515" w:type="dxa"/>
          </w:tcPr>
          <w:p w14:paraId="2E26A27B" w14:textId="51F44D29" w:rsidR="00821506" w:rsidRDefault="00821506" w:rsidP="00821506">
            <w:r>
              <w:t>2500–2570</w:t>
            </w:r>
          </w:p>
        </w:tc>
        <w:tc>
          <w:tcPr>
            <w:tcW w:w="1620" w:type="dxa"/>
          </w:tcPr>
          <w:p w14:paraId="1B342406" w14:textId="2440F0FE" w:rsidR="00821506" w:rsidRDefault="00821506" w:rsidP="00821506">
            <w:r>
              <w:t>Band 7</w:t>
            </w:r>
          </w:p>
        </w:tc>
        <w:tc>
          <w:tcPr>
            <w:tcW w:w="5215" w:type="dxa"/>
          </w:tcPr>
          <w:p w14:paraId="3A56BDC4" w14:textId="6A6A049B" w:rsidR="00821506" w:rsidRPr="003B3E0A" w:rsidRDefault="00821506" w:rsidP="00821506">
            <w:r>
              <w:t>23,9 dBm (245 mW)</w:t>
            </w:r>
          </w:p>
        </w:tc>
      </w:tr>
      <w:tr w:rsidR="00821506" w14:paraId="05344A93" w14:textId="77777777" w:rsidTr="003B3E0A">
        <w:tc>
          <w:tcPr>
            <w:tcW w:w="2515" w:type="dxa"/>
          </w:tcPr>
          <w:p w14:paraId="1792DC47" w14:textId="003FA154" w:rsidR="00821506" w:rsidRDefault="000B36AE" w:rsidP="00821506">
            <w:r>
              <w:t>2570–2620</w:t>
            </w:r>
          </w:p>
        </w:tc>
        <w:tc>
          <w:tcPr>
            <w:tcW w:w="1620" w:type="dxa"/>
          </w:tcPr>
          <w:p w14:paraId="78193B79" w14:textId="241CC006" w:rsidR="00821506" w:rsidRDefault="00821506" w:rsidP="00821506">
            <w:r>
              <w:t>Band 38</w:t>
            </w:r>
          </w:p>
        </w:tc>
        <w:tc>
          <w:tcPr>
            <w:tcW w:w="5215" w:type="dxa"/>
          </w:tcPr>
          <w:p w14:paraId="7B0B8D2F" w14:textId="40FC52E0" w:rsidR="00821506" w:rsidRPr="003B3E0A" w:rsidRDefault="00821506" w:rsidP="00821506">
            <w:r>
              <w:t>23,9 dBm (245 mW)</w:t>
            </w:r>
          </w:p>
        </w:tc>
      </w:tr>
      <w:tr w:rsidR="000B36AE" w14:paraId="3C719ED1" w14:textId="77777777" w:rsidTr="003B3E0A">
        <w:tc>
          <w:tcPr>
            <w:tcW w:w="2515" w:type="dxa"/>
          </w:tcPr>
          <w:p w14:paraId="48A57040" w14:textId="55461335" w:rsidR="000B36AE" w:rsidRDefault="000B36AE" w:rsidP="00821506">
            <w:r>
              <w:t>3300–4200</w:t>
            </w:r>
          </w:p>
        </w:tc>
        <w:tc>
          <w:tcPr>
            <w:tcW w:w="1620" w:type="dxa"/>
          </w:tcPr>
          <w:p w14:paraId="0DD02EE1" w14:textId="28D0A16A" w:rsidR="000B36AE" w:rsidDel="000B36AE" w:rsidRDefault="000B36AE" w:rsidP="00821506">
            <w:r>
              <w:t>Band 77, 78:</w:t>
            </w:r>
          </w:p>
        </w:tc>
        <w:tc>
          <w:tcPr>
            <w:tcW w:w="5215" w:type="dxa"/>
          </w:tcPr>
          <w:p w14:paraId="06A3293C" w14:textId="0D1E7F94" w:rsidR="000B36AE" w:rsidDel="000B36AE" w:rsidRDefault="000B36AE" w:rsidP="00821506">
            <w:r>
              <w:t>26,9 dBm (500 mW)</w:t>
            </w:r>
          </w:p>
        </w:tc>
      </w:tr>
      <w:bookmarkEnd w:id="18"/>
    </w:tbl>
    <w:p w14:paraId="421D9EAD" w14:textId="77777777" w:rsidR="003B3E0A" w:rsidRPr="00711C6D" w:rsidRDefault="003B3E0A" w:rsidP="0037608F"/>
    <w:p w14:paraId="055D324F" w14:textId="77777777" w:rsidR="00A81D71" w:rsidRDefault="00A81D71" w:rsidP="00481C42">
      <w:pPr>
        <w:pStyle w:val="Heading2"/>
      </w:pPr>
      <w:bookmarkStart w:id="19" w:name="_Toc118968915"/>
      <w:r>
        <w:t>Spezifische Sicherheitsvorkehrungen für EMC</w:t>
      </w:r>
      <w:bookmarkEnd w:id="19"/>
      <w:r>
        <w:t xml:space="preserve"> </w:t>
      </w:r>
    </w:p>
    <w:p w14:paraId="635FC3E8" w14:textId="77777777" w:rsidR="007A2880" w:rsidRPr="00EE61BC" w:rsidRDefault="007A2880" w:rsidP="0060535B">
      <w:r>
        <w:t>Netgear Produkte einschließlich aller WLAN-Geräte, -Module und kleinen Switches sind Geräte der EMV-Klasse B. Ethernet-Switches mit mehr als 8 Anschlüssen sind in der Regel EMV-Geräte der Klasse A.</w:t>
      </w:r>
    </w:p>
    <w:p w14:paraId="6BEB98DC" w14:textId="77777777" w:rsidR="00A81D71" w:rsidRPr="00631365" w:rsidRDefault="00A81D71" w:rsidP="00A81D71">
      <w:r>
        <w:t>Warnung: NETGEAR Geräte der Klasse A entsprechen den Anforderungen der Klasse A von EN 55032. Beim Einsatz in Wohnräumen kann dieses Gerät Funkstörungen verursachen. In einem solchen Fall muss der Benutzer möglicherweise angemessene Gegenmaßnahmen ergreifen.</w:t>
      </w:r>
    </w:p>
    <w:p w14:paraId="5B061AE8" w14:textId="77777777" w:rsidR="004E534D" w:rsidRDefault="004E534D" w:rsidP="00481C42">
      <w:pPr>
        <w:pStyle w:val="Heading1"/>
      </w:pPr>
      <w:bookmarkStart w:id="20" w:name="_Toc118968916"/>
      <w:bookmarkStart w:id="21" w:name="_Hlk35510609"/>
      <w:r>
        <w:t>Richtlinien der FCC für den Betrieb in den USA</w:t>
      </w:r>
      <w:bookmarkEnd w:id="20"/>
    </w:p>
    <w:bookmarkEnd w:id="21"/>
    <w:p w14:paraId="14432148" w14:textId="2620F3DD" w:rsidR="00AC23E2" w:rsidRDefault="00AC23E2" w:rsidP="00AC23E2">
      <w:r>
        <w:t>Die Informationen in diesem Abschnitt gelten für Produkte mit FCC-Kennzeichnung oder -Erklärung:</w:t>
      </w:r>
    </w:p>
    <w:p w14:paraId="6E608951" w14:textId="77777777" w:rsidR="002A6434" w:rsidRDefault="00431D4F" w:rsidP="0060535B">
      <w:pPr>
        <w:ind w:left="1440"/>
      </w:pPr>
      <w:r>
        <w:t>Dieses Gerät ist mit Teil 15 der FCC-Vorschriften konform. Der Betrieb unterliegt den folgenden Bedingungen: (1) Dieses Gerät darf keine schädlichen Störungen verursachen. (2) Dieses Gerät muss alle Störungen vertragen, einschließlich Störungen, die unerwünschte Operationen verursachen können</w:t>
      </w:r>
      <w:r>
        <w:rPr>
          <w:noProof/>
        </w:rPr>
        <w:drawing>
          <wp:anchor distT="0" distB="0" distL="114300" distR="114300" simplePos="0" relativeHeight="251658240" behindDoc="0" locked="0" layoutInCell="1" allowOverlap="1" wp14:anchorId="0122D6E8" wp14:editId="309B2B58">
            <wp:simplePos x="0" y="0"/>
            <wp:positionH relativeFrom="column">
              <wp:posOffset>7620</wp:posOffset>
            </wp:positionH>
            <wp:positionV relativeFrom="paragraph">
              <wp:posOffset>1905</wp:posOffset>
            </wp:positionV>
            <wp:extent cx="591185" cy="426085"/>
            <wp:effectExtent l="0" t="0" r="0" b="0"/>
            <wp:wrapNone/>
            <wp:docPr id="5" name="Picture 5" descr="http://www.androidguys.com/wp-content/uploads/2012/06/f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droidguys.com/wp-content/uploads/2012/06/fcc.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1185"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0D12E" w14:textId="77777777" w:rsidR="00EC019B" w:rsidRPr="004E534D" w:rsidRDefault="00EC019B" w:rsidP="00481C42">
      <w:pPr>
        <w:pStyle w:val="Heading2"/>
      </w:pPr>
      <w:bookmarkStart w:id="22" w:name="_Toc118968917"/>
      <w:r>
        <w:lastRenderedPageBreak/>
        <w:t>FCC-Konformitätserklärung</w:t>
      </w:r>
      <w:bookmarkEnd w:id="22"/>
    </w:p>
    <w:p w14:paraId="50E582CA" w14:textId="11420473" w:rsidR="00EC019B" w:rsidRDefault="00EC019B" w:rsidP="00EC019B">
      <w:pPr>
        <w:rPr>
          <w:rFonts w:cs="Arial"/>
        </w:rPr>
      </w:pPr>
      <w:r>
        <w:t>Wir, NETGEAR, Inc., 350 East Plumeria Drive, Santa Jose, CA 95134 (</w:t>
      </w:r>
      <w:r>
        <w:rPr>
          <w:i/>
        </w:rPr>
        <w:t>www.netgear.com/support)</w:t>
      </w:r>
      <w:r>
        <w:t>, erklären unter alleiniger Verantwortung, dass dieses Produkt mit Teil 15, Unterabschnitt B der FCC-Vorschriften CFR47 konform ist. Der Betrieb unterliegt den folgenden Bedingungen:</w:t>
      </w:r>
    </w:p>
    <w:p w14:paraId="0FD75840" w14:textId="77777777" w:rsidR="00EC019B" w:rsidRPr="004E534D" w:rsidRDefault="00EC019B" w:rsidP="00E252AF">
      <w:pPr>
        <w:pStyle w:val="ListParagraph"/>
        <w:numPr>
          <w:ilvl w:val="0"/>
          <w:numId w:val="38"/>
        </w:numPr>
        <w:rPr>
          <w:rFonts w:cs="Arial"/>
        </w:rPr>
      </w:pPr>
      <w:r>
        <w:t>Das Gerät darf keine gesundheitsschädlichen Störungen verursachen und</w:t>
      </w:r>
    </w:p>
    <w:p w14:paraId="5361530F" w14:textId="77777777" w:rsidR="00EC019B" w:rsidRDefault="00EC019B" w:rsidP="00E252AF">
      <w:pPr>
        <w:pStyle w:val="ListParagraph"/>
        <w:numPr>
          <w:ilvl w:val="0"/>
          <w:numId w:val="38"/>
        </w:numPr>
        <w:rPr>
          <w:rFonts w:cs="Arial"/>
        </w:rPr>
      </w:pPr>
      <w:r>
        <w:t>Das Gerät muss alle Störungen vertragen, einschließlich Störungen, die unerwünschte Operationen verursachen können.</w:t>
      </w:r>
    </w:p>
    <w:p w14:paraId="6E316F13" w14:textId="77777777" w:rsidR="004E534D" w:rsidRPr="004E534D" w:rsidRDefault="00603489" w:rsidP="00481C42">
      <w:pPr>
        <w:pStyle w:val="Heading2"/>
      </w:pPr>
      <w:bookmarkStart w:id="23" w:name="_Toc118968918"/>
      <w:r>
        <w:t>FCC-Informationen für den Benutzer</w:t>
      </w:r>
      <w:bookmarkEnd w:id="23"/>
    </w:p>
    <w:p w14:paraId="797F256F" w14:textId="42C00F28" w:rsidR="004E534D" w:rsidRDefault="00603489" w:rsidP="004E534D">
      <w:pPr>
        <w:rPr>
          <w:rFonts w:cs="Arial"/>
        </w:rPr>
      </w:pPr>
      <w:bookmarkStart w:id="24" w:name="_Hlk35508370"/>
      <w:r>
        <w:t>Dieses NETGEAR Produkt enthält keine vom Benutzer zu wartenden Komponenten. Jegliche Änderungen oder Modifikationen am Produkt führen zum Erlöschen sämtlicher gesetzlicher Zertifizierungen und Zulassungen.</w:t>
      </w:r>
      <w:bookmarkEnd w:id="24"/>
    </w:p>
    <w:p w14:paraId="3BBA5832" w14:textId="237B67BA" w:rsidR="00445F96" w:rsidRDefault="00445F96" w:rsidP="00445F96">
      <w:pPr>
        <w:rPr>
          <w:rFonts w:cs="Arial"/>
        </w:rPr>
      </w:pPr>
      <w:r>
        <w:t>Die folgende Erklärung gilt für Produkte, bei denen die FCC-Konformitätserklärung nicht auf dem Etikett angegeben werden kann:</w:t>
      </w:r>
    </w:p>
    <w:p w14:paraId="799A9A5F" w14:textId="5E7CAFDA" w:rsidR="00152F10" w:rsidRDefault="00152F10" w:rsidP="0060535B">
      <w:pPr>
        <w:pStyle w:val="Heading4"/>
      </w:pPr>
      <w:r>
        <w:t>Tabelle 3: Produkte, die zu klein für das FCC-Etikett sind</w:t>
      </w:r>
    </w:p>
    <w:tbl>
      <w:tblPr>
        <w:tblStyle w:val="TableGrid"/>
        <w:tblW w:w="0" w:type="auto"/>
        <w:tblInd w:w="720" w:type="dxa"/>
        <w:tblLook w:val="04A0" w:firstRow="1" w:lastRow="0" w:firstColumn="1" w:lastColumn="0" w:noHBand="0" w:noVBand="1"/>
      </w:tblPr>
      <w:tblGrid>
        <w:gridCol w:w="1615"/>
        <w:gridCol w:w="1260"/>
        <w:gridCol w:w="1260"/>
        <w:gridCol w:w="1260"/>
        <w:gridCol w:w="1260"/>
        <w:gridCol w:w="1260"/>
      </w:tblGrid>
      <w:tr w:rsidR="009E16C7" w14:paraId="3BFE906E" w14:textId="27686331" w:rsidTr="009E16C7">
        <w:tc>
          <w:tcPr>
            <w:tcW w:w="1615" w:type="dxa"/>
          </w:tcPr>
          <w:p w14:paraId="2B803E0E" w14:textId="36915165" w:rsidR="009E16C7" w:rsidRPr="00152F10" w:rsidRDefault="009E16C7" w:rsidP="00152F10">
            <w:pPr>
              <w:rPr>
                <w:rFonts w:cs="Arial"/>
              </w:rPr>
            </w:pPr>
            <w:r>
              <w:t>A6100</w:t>
            </w:r>
          </w:p>
        </w:tc>
        <w:tc>
          <w:tcPr>
            <w:tcW w:w="1260" w:type="dxa"/>
          </w:tcPr>
          <w:p w14:paraId="5E2C0BFC" w14:textId="329E755C" w:rsidR="009E16C7" w:rsidRDefault="009E16C7" w:rsidP="00152F10">
            <w:pPr>
              <w:rPr>
                <w:rFonts w:cs="Arial"/>
              </w:rPr>
            </w:pPr>
            <w:r>
              <w:t>A7000</w:t>
            </w:r>
          </w:p>
        </w:tc>
        <w:tc>
          <w:tcPr>
            <w:tcW w:w="1260" w:type="dxa"/>
          </w:tcPr>
          <w:p w14:paraId="71D964D7" w14:textId="4FB99CD1" w:rsidR="009E16C7" w:rsidRPr="00152F10" w:rsidRDefault="00887D9B" w:rsidP="00152F10">
            <w:pPr>
              <w:rPr>
                <w:rFonts w:cs="Arial"/>
              </w:rPr>
            </w:pPr>
            <w:r>
              <w:t>ACM76x</w:t>
            </w:r>
          </w:p>
        </w:tc>
        <w:tc>
          <w:tcPr>
            <w:tcW w:w="1260" w:type="dxa"/>
          </w:tcPr>
          <w:p w14:paraId="1C7E05F7" w14:textId="71FF3B78" w:rsidR="009E16C7" w:rsidRPr="00152F10" w:rsidRDefault="0044582A" w:rsidP="00152F10">
            <w:pPr>
              <w:rPr>
                <w:rFonts w:cs="Arial"/>
              </w:rPr>
            </w:pPr>
            <w:r>
              <w:t>AXM76x</w:t>
            </w:r>
          </w:p>
        </w:tc>
        <w:tc>
          <w:tcPr>
            <w:tcW w:w="1260" w:type="dxa"/>
          </w:tcPr>
          <w:p w14:paraId="1F600A2B" w14:textId="609D9D31" w:rsidR="009E16C7" w:rsidRPr="00152F10" w:rsidRDefault="009E16C7" w:rsidP="00152F10">
            <w:pPr>
              <w:rPr>
                <w:rFonts w:cs="Arial"/>
              </w:rPr>
            </w:pPr>
          </w:p>
        </w:tc>
        <w:tc>
          <w:tcPr>
            <w:tcW w:w="1260" w:type="dxa"/>
          </w:tcPr>
          <w:p w14:paraId="6AB228F0" w14:textId="141DBE89" w:rsidR="009E16C7" w:rsidRPr="00152F10" w:rsidRDefault="009E16C7" w:rsidP="00152F10">
            <w:pPr>
              <w:rPr>
                <w:rFonts w:cs="Arial"/>
              </w:rPr>
            </w:pPr>
          </w:p>
        </w:tc>
      </w:tr>
      <w:tr w:rsidR="009E16C7" w14:paraId="4AD2C014" w14:textId="4FD96CBB" w:rsidTr="009E16C7">
        <w:tc>
          <w:tcPr>
            <w:tcW w:w="1615" w:type="dxa"/>
          </w:tcPr>
          <w:p w14:paraId="2FF79D69" w14:textId="7FEC6568" w:rsidR="009E16C7" w:rsidRPr="00152F10" w:rsidRDefault="009E16C7" w:rsidP="009E16C7">
            <w:pPr>
              <w:rPr>
                <w:rFonts w:cs="Arial"/>
              </w:rPr>
            </w:pPr>
            <w:r>
              <w:t>A6150</w:t>
            </w:r>
          </w:p>
        </w:tc>
        <w:tc>
          <w:tcPr>
            <w:tcW w:w="1260" w:type="dxa"/>
          </w:tcPr>
          <w:p w14:paraId="2B5A9E4D" w14:textId="277CDC2D" w:rsidR="009E16C7" w:rsidRDefault="00887D9B" w:rsidP="009E16C7">
            <w:pPr>
              <w:rPr>
                <w:rFonts w:cs="Arial"/>
              </w:rPr>
            </w:pPr>
            <w:r>
              <w:t>A8000</w:t>
            </w:r>
          </w:p>
        </w:tc>
        <w:tc>
          <w:tcPr>
            <w:tcW w:w="1260" w:type="dxa"/>
          </w:tcPr>
          <w:p w14:paraId="495E89A1" w14:textId="3B72721B" w:rsidR="009E16C7" w:rsidRPr="00152F10" w:rsidRDefault="00887D9B" w:rsidP="009E16C7">
            <w:pPr>
              <w:rPr>
                <w:rFonts w:cs="Arial"/>
              </w:rPr>
            </w:pPr>
            <w:r>
              <w:t>AGM73x</w:t>
            </w:r>
          </w:p>
        </w:tc>
        <w:tc>
          <w:tcPr>
            <w:tcW w:w="1260" w:type="dxa"/>
          </w:tcPr>
          <w:p w14:paraId="0155C667" w14:textId="499AEEC7" w:rsidR="009E16C7" w:rsidRPr="00152F10" w:rsidRDefault="004C712D" w:rsidP="009E16C7">
            <w:pPr>
              <w:rPr>
                <w:rFonts w:cs="Arial"/>
              </w:rPr>
            </w:pPr>
            <w:r>
              <w:t>AX7xx</w:t>
            </w:r>
          </w:p>
        </w:tc>
        <w:tc>
          <w:tcPr>
            <w:tcW w:w="1260" w:type="dxa"/>
          </w:tcPr>
          <w:p w14:paraId="49389126" w14:textId="568EE3D1" w:rsidR="009E16C7" w:rsidRPr="00152F10" w:rsidRDefault="009E16C7" w:rsidP="009E16C7">
            <w:pPr>
              <w:rPr>
                <w:rFonts w:cs="Arial"/>
              </w:rPr>
            </w:pPr>
          </w:p>
        </w:tc>
        <w:tc>
          <w:tcPr>
            <w:tcW w:w="1260" w:type="dxa"/>
          </w:tcPr>
          <w:p w14:paraId="632D3133" w14:textId="7B97F572" w:rsidR="009E16C7" w:rsidRPr="00152F10" w:rsidRDefault="009E16C7" w:rsidP="009E16C7">
            <w:pPr>
              <w:rPr>
                <w:rFonts w:cs="Arial"/>
              </w:rPr>
            </w:pPr>
          </w:p>
        </w:tc>
      </w:tr>
      <w:tr w:rsidR="009E16C7" w14:paraId="34FBBA45" w14:textId="57C5679D" w:rsidTr="009E16C7">
        <w:tc>
          <w:tcPr>
            <w:tcW w:w="1615" w:type="dxa"/>
          </w:tcPr>
          <w:p w14:paraId="121F89E6" w14:textId="2AFB3F31" w:rsidR="009E16C7" w:rsidRPr="00152F10" w:rsidRDefault="009E16C7" w:rsidP="009E16C7">
            <w:pPr>
              <w:rPr>
                <w:rFonts w:cs="Arial"/>
              </w:rPr>
            </w:pPr>
            <w:r>
              <w:t>A6210</w:t>
            </w:r>
          </w:p>
        </w:tc>
        <w:tc>
          <w:tcPr>
            <w:tcW w:w="1260" w:type="dxa"/>
          </w:tcPr>
          <w:p w14:paraId="604A52FD" w14:textId="5F747B81" w:rsidR="009E16C7" w:rsidRDefault="00887D9B" w:rsidP="009E16C7">
            <w:pPr>
              <w:rPr>
                <w:rFonts w:cs="Arial"/>
              </w:rPr>
            </w:pPr>
            <w:r>
              <w:t>ACC76x</w:t>
            </w:r>
          </w:p>
        </w:tc>
        <w:tc>
          <w:tcPr>
            <w:tcW w:w="1260" w:type="dxa"/>
          </w:tcPr>
          <w:p w14:paraId="5EF9ECBB" w14:textId="062D7D60" w:rsidR="009E16C7" w:rsidRPr="00152F10" w:rsidRDefault="00887D9B" w:rsidP="009E16C7">
            <w:pPr>
              <w:rPr>
                <w:rFonts w:cs="Arial"/>
              </w:rPr>
            </w:pPr>
            <w:r>
              <w:t>AXC76x</w:t>
            </w:r>
          </w:p>
        </w:tc>
        <w:tc>
          <w:tcPr>
            <w:tcW w:w="1260" w:type="dxa"/>
          </w:tcPr>
          <w:p w14:paraId="3C4A43BC" w14:textId="491C1DE6" w:rsidR="009E16C7" w:rsidRPr="00152F10" w:rsidRDefault="00621AAC" w:rsidP="009E16C7">
            <w:pPr>
              <w:rPr>
                <w:rFonts w:cs="Arial"/>
              </w:rPr>
            </w:pPr>
            <w:r>
              <w:t>AFM73x</w:t>
            </w:r>
          </w:p>
        </w:tc>
        <w:tc>
          <w:tcPr>
            <w:tcW w:w="1260" w:type="dxa"/>
          </w:tcPr>
          <w:p w14:paraId="220357B8" w14:textId="01C50665" w:rsidR="009E16C7" w:rsidRPr="00152F10" w:rsidRDefault="009E16C7" w:rsidP="009E16C7">
            <w:pPr>
              <w:rPr>
                <w:rFonts w:cs="Arial"/>
              </w:rPr>
            </w:pPr>
          </w:p>
        </w:tc>
        <w:tc>
          <w:tcPr>
            <w:tcW w:w="1260" w:type="dxa"/>
          </w:tcPr>
          <w:p w14:paraId="4B24D610" w14:textId="77777777" w:rsidR="009E16C7" w:rsidRPr="00152F10" w:rsidRDefault="009E16C7" w:rsidP="009E16C7">
            <w:pPr>
              <w:rPr>
                <w:rFonts w:cs="Arial"/>
              </w:rPr>
            </w:pPr>
          </w:p>
        </w:tc>
      </w:tr>
    </w:tbl>
    <w:p w14:paraId="1697C5C2" w14:textId="77777777" w:rsidR="00445F96" w:rsidRDefault="00445F96" w:rsidP="00152F10">
      <w:pPr>
        <w:spacing w:before="60"/>
        <w:rPr>
          <w:rFonts w:cs="Arial"/>
        </w:rPr>
      </w:pPr>
      <w:r>
        <w:t>Dieses Gerät ist mit Teil 15 der FCC-Vorschriften konform. Der Betrieb unterliegt den folgenden Bedingungen: (1) Dieses Gerät darf keine schädlichen Störungen verursachen. (2) Dieses Gerät muss alle Störungen vertragen, einschließlich Störungen, die unerwünschte Operationen verursachen können.</w:t>
      </w:r>
    </w:p>
    <w:p w14:paraId="64155296" w14:textId="3E887B0C" w:rsidR="004E534D" w:rsidRPr="004E534D" w:rsidRDefault="004E534D" w:rsidP="00481C42">
      <w:pPr>
        <w:pStyle w:val="Heading2"/>
      </w:pPr>
      <w:bookmarkStart w:id="25" w:name="_Toc118968919"/>
      <w:r>
        <w:t>FCC-Warnungen und -Hinweise für Funkfrequenzen</w:t>
      </w:r>
      <w:bookmarkEnd w:id="25"/>
    </w:p>
    <w:p w14:paraId="331578FB" w14:textId="77777777" w:rsidR="00880428" w:rsidRDefault="00880428" w:rsidP="00880428">
      <w:pPr>
        <w:rPr>
          <w:rFonts w:cs="Arial"/>
        </w:rPr>
      </w:pPr>
      <w:r>
        <w:t>Produkte für den Markt in den USA können nur auf den Kanälen 1–11 betrieben werden. Die Auswahl anderer Kanäle ist nicht möglich.</w:t>
      </w:r>
    </w:p>
    <w:p w14:paraId="210E2899" w14:textId="77777777" w:rsidR="007C5FA2" w:rsidRPr="00D93A87" w:rsidRDefault="007C5FA2" w:rsidP="00481C42">
      <w:pPr>
        <w:pStyle w:val="Heading3"/>
      </w:pPr>
      <w:bookmarkStart w:id="26" w:name="_Toc118968920"/>
      <w:r>
        <w:t>Ländercodeauswahl für die Verwendung (WLAN-Geräte)</w:t>
      </w:r>
      <w:bookmarkEnd w:id="26"/>
    </w:p>
    <w:p w14:paraId="373842D5" w14:textId="2EE8D273" w:rsidR="007C5FA2" w:rsidRPr="004E534D" w:rsidRDefault="007C5FA2" w:rsidP="007C5FA2">
      <w:pPr>
        <w:rPr>
          <w:rFonts w:cs="Arial"/>
        </w:rPr>
      </w:pPr>
      <w:r>
        <w:t>Die Ländercodeauswahl gilt nur für Nicht-US-Modelle und ist für alle US-Modelle nicht verfügbar. Gemäß den FCC-Vorschriften müssen alle in den USA vertriebenen WLAN-Produkte ausschließlich auf US-Betriebskanäle fest eingestellt sein. Bei einigen Modellen wird der Ländercode automatisch ausgewählt und kann nicht vom Benutzer eingestellt werden. Wenn das Land nicht erkannt werden kann, verwenden diese Geräte möglicherweise eine niedrigere Frequenz/Leistung als erwartet.</w:t>
      </w:r>
    </w:p>
    <w:p w14:paraId="7B6D1FEE" w14:textId="60A65F42" w:rsidR="00CB192D" w:rsidRDefault="00CB192D" w:rsidP="00CB192D">
      <w:pPr>
        <w:rPr>
          <w:rFonts w:cs="Arial"/>
          <w:color w:val="FF0000"/>
        </w:rPr>
      </w:pPr>
      <w:r>
        <w:t>Dieses NETGEAR Produkt darf nur mit zugelassenen Antennen verwendet werden.  Dieses Gerät und die zugehörige(n) Antenne(n) dürfen nicht in der Nähe von oder in Verbindung mit anderen Antennen oder Sendern betrieben werden, ausgenommen in Übereinstimmung mit Produktverfahren für FCC-Multi-Sender.</w:t>
      </w:r>
      <w:r>
        <w:rPr>
          <w:color w:val="FF0000"/>
        </w:rPr>
        <w:t xml:space="preserve"> </w:t>
      </w:r>
    </w:p>
    <w:p w14:paraId="78476331" w14:textId="37729F47" w:rsidR="00995943" w:rsidRDefault="00995943" w:rsidP="00995943">
      <w:pPr>
        <w:rPr>
          <w:rFonts w:cs="Arial"/>
        </w:rPr>
      </w:pPr>
      <w:r>
        <w:t>Das Gerät und die zugehörige(n) Antenne(n) dürfen nicht in der Nähe von oder in Verbindung mit anderen Antennen oder Sendern betrieben werden, ausgenommen in Übereinstimmung mit FCC-Bestimmungen.</w:t>
      </w:r>
    </w:p>
    <w:p w14:paraId="42605D74" w14:textId="527167AB" w:rsidR="00995943" w:rsidRDefault="00995943" w:rsidP="00995943">
      <w:r>
        <w:t>FCC-Warnung: Veränderungen oder Modifikationen, die nicht ausdrücklich durch die für die Konformität zuständige Stelle genehmigt sind, könnten die Berechtigung des Benutzers zum Betreiben des Gerätes ungültig machen.</w:t>
      </w:r>
    </w:p>
    <w:p w14:paraId="63A2E45C" w14:textId="34DE5FC4" w:rsidR="00C5342C" w:rsidRDefault="00612DC5" w:rsidP="00063563">
      <w:pPr>
        <w:pStyle w:val="Heading3"/>
      </w:pPr>
      <w:bookmarkStart w:id="27" w:name="_Toc118968921"/>
      <w:r>
        <w:t>5,9- und 6 GHz-WLAN-Geräte</w:t>
      </w:r>
      <w:bookmarkEnd w:id="27"/>
    </w:p>
    <w:p w14:paraId="5D339FFD" w14:textId="1B8A459E" w:rsidR="00F77478" w:rsidRDefault="00424412" w:rsidP="00995943">
      <w:r>
        <w:t>Durch FCC-Bestimmungen ist der Betrieb dieses Geräts auf Innenräume beschränkt. Mit diesem Gerät können keine Verbindungen zwischen einzelnen Gebäuden oder Anlagen hergestellt werden. Der Betrieb dieses Geräts auf Ölplattformen, in Autos, Zügen, Booten und Flugzeugen ist verboten, außer in großen Flugzeugen bei einer Flughöhe oberhalb von 10.000 Fuß. Es ist nicht gestattet, Sender im Frequenzbereich 5,915 bis 7,125 GHz zur Steuerung oder Kommunikation mit unbemannten Flugzeugsystemen, einschließlich Drohnen, zu verwenden.</w:t>
      </w:r>
    </w:p>
    <w:p w14:paraId="2D62BC05" w14:textId="0FCD4D40" w:rsidR="00BB2455" w:rsidRDefault="00BB2455" w:rsidP="00BB2455">
      <w:r>
        <w:lastRenderedPageBreak/>
        <w:t xml:space="preserve">MR61XX, MR64XX und MR65XX dürfen den 6 GHz-Access-Point-Modus nicht im Außenbereich verwenden. Das Gerät darf im Außenbereich betrieben werden, sofern 6 GHz nicht verwendet wird. Die Software beschränkt den 6 GHz-Betrieb darauf, dass das Gerät an die Hauptstromversorgung angeschlossen ist. </w:t>
      </w:r>
    </w:p>
    <w:p w14:paraId="76AFACF4" w14:textId="77777777" w:rsidR="00AC23E2" w:rsidRDefault="00AC23E2" w:rsidP="00481C42">
      <w:pPr>
        <w:pStyle w:val="Heading2"/>
      </w:pPr>
      <w:bookmarkStart w:id="28" w:name="_Toc118968922"/>
      <w:bookmarkStart w:id="29" w:name="_Hlk35510725"/>
      <w:r>
        <w:t>FCC-Erklärung zur HF-Strahlungsexposition und SAR-Erklärung</w:t>
      </w:r>
      <w:bookmarkEnd w:id="28"/>
    </w:p>
    <w:p w14:paraId="0BD7BF0C" w14:textId="7365A363" w:rsidR="00AC23E2" w:rsidRDefault="00234A05" w:rsidP="00481C42">
      <w:pPr>
        <w:pStyle w:val="Heading3"/>
      </w:pPr>
      <w:bookmarkStart w:id="30" w:name="_Toc118968923"/>
      <w:r>
        <w:t>Die Informationen in diesem Abschnitt gelten für Produkte, die Daten übertragen oder drahtlos kommunizieren – SAR-Erklärung</w:t>
      </w:r>
      <w:bookmarkEnd w:id="30"/>
    </w:p>
    <w:p w14:paraId="6EC8E00F" w14:textId="77777777" w:rsidR="00B24349" w:rsidRDefault="00B24349" w:rsidP="00AC23E2">
      <w:r>
        <w:t xml:space="preserve">Die Informationen in diesem Abschnitt gelten für NETGEAR WLAN-Produkte, die für den Betrieb in unmittelbarer Nähe des menschlichen Körpers vorgesehen sind. </w:t>
      </w:r>
    </w:p>
    <w:p w14:paraId="2B48A233" w14:textId="087B6568" w:rsidR="00B654CA" w:rsidRDefault="009A1357" w:rsidP="00F76120">
      <w:r>
        <w:t>NETGEAR Produkte, die für den Betrieb in der Nähe des menschlichen Körpers vorgesehen sind, werden auf die Einhaltung der spezifischen Absorptionsrate (Specific Absorption Rate, SAR) durch das Tragen am Körper getestet. Dieses Produkt erfüllt die geltenden nationalen SAR-Grenzwerte von 1,6 W/kg. Wenn Sie das Produkt mit sich führen oder es am Körper tragen, halten Sie einen Abstand von 10 mm zum Körper ein, damit die Anforderungen hinsichtlich der HF-Belastung eingehalten werden. Weitere Informationen zur Überprüfung des Mindestabstands und zum höchsten für dieses Gerät gemessenen SAR-Wert finden Sie im Abschnitt über die Strahlenbelastung unter:</w:t>
      </w:r>
    </w:p>
    <w:p w14:paraId="1C835705" w14:textId="7BB07F58" w:rsidR="00F76120" w:rsidRDefault="00F946ED" w:rsidP="00F76120">
      <w:hyperlink r:id="rId24" w:history="1">
        <w:r w:rsidR="00E63B27">
          <w:rPr>
            <w:rStyle w:val="Hyperlink"/>
          </w:rPr>
          <w:t>https://www.netgear.com/about/regulatory/</w:t>
        </w:r>
      </w:hyperlink>
    </w:p>
    <w:p w14:paraId="75AE2225" w14:textId="77777777" w:rsidR="0048177F" w:rsidRDefault="0048177F" w:rsidP="0048177F">
      <w:r>
        <w:t xml:space="preserve">NETGEAR USB-Dongle-Transmitter sind für die Verwendung mit gängigen Laptops zugelassen. Zur Einhaltung der FCC-Anforderungen im Hinblick auf die HF-Belastung dürfen NETGEAR USB-Dongle-Transmitter nicht in anderen Geräten oder bestimmten Laptop- und Tablet-Computer-Konfigurationen verwendet werden, bei denen die USB-Anschlüsse am Host-Computer nicht in der Lage sind, die erforderlichen Betriebskonfigurationen für das Gerät und seine Benutzer oder Unbeteiligten bereitzustellen oder sicherzustellen, um die Anforderungen an die HF-Belastung zu erfüllen.   </w:t>
      </w:r>
    </w:p>
    <w:p w14:paraId="3460E2A6" w14:textId="77777777" w:rsidR="00D54FF3" w:rsidRDefault="00D54FF3" w:rsidP="00481C42">
      <w:pPr>
        <w:pStyle w:val="Heading3"/>
      </w:pPr>
      <w:bookmarkStart w:id="31" w:name="_Toc118968924"/>
      <w:bookmarkStart w:id="32" w:name="_Hlk35510675"/>
      <w:r>
        <w:t>Erklärung zur Maximal zulässige Exposition (MPE-Erklärung):</w:t>
      </w:r>
      <w:bookmarkEnd w:id="31"/>
    </w:p>
    <w:p w14:paraId="03E3C1DD" w14:textId="77777777" w:rsidR="00D54FF3" w:rsidRDefault="00D54FF3" w:rsidP="00D54FF3">
      <w:r>
        <w:t xml:space="preserve">Die Informationen in diesem Abschnitt gelten für NETGEAR WLAN-Produkte, die für den Betrieb in 20 Zentimeter Mindestentfernung vom menschlichen Körper vorgesehen sind. </w:t>
      </w:r>
    </w:p>
    <w:p w14:paraId="539100AB" w14:textId="49DB7D8B" w:rsidR="00D54FF3" w:rsidRDefault="00D54FF3" w:rsidP="00D54FF3">
      <w:r>
        <w:t>Strahlung von NETGEAR Produkten liegt unter den von der FCC festgelegten Grenzwerten für Hochfrequenzstrahlung in einer unkontrollierten Umgebung. Bei der Installation und Verwendung dieses Geräts sollte ein Abstand von mindestens 35 cm zwischen der Strahlungsquelle und Ihrem Körper eingehalten werden. Informationen zur Überprüfung des Mindestabstands und weitere Einzelheiten zu bestimmten Produkten finden Sie im Abschnitt Funkexposition unter:</w:t>
      </w:r>
    </w:p>
    <w:p w14:paraId="7CD38199" w14:textId="01A640FA" w:rsidR="00D54FF3" w:rsidRDefault="00F946ED" w:rsidP="00D54FF3">
      <w:hyperlink r:id="rId25" w:history="1">
        <w:r w:rsidR="00E63B27">
          <w:rPr>
            <w:rStyle w:val="Hyperlink"/>
          </w:rPr>
          <w:t>https://www.netgear.com/about/regulatory/</w:t>
        </w:r>
      </w:hyperlink>
    </w:p>
    <w:p w14:paraId="557A8C2A" w14:textId="77777777" w:rsidR="00E3743F" w:rsidRDefault="00E3743F" w:rsidP="00481C42">
      <w:pPr>
        <w:pStyle w:val="Heading2"/>
      </w:pPr>
      <w:bookmarkStart w:id="33" w:name="_Toc118968925"/>
      <w:bookmarkEnd w:id="32"/>
      <w:r>
        <w:t>Spezifische Sicherheitsvorkehrungen für EMC</w:t>
      </w:r>
      <w:bookmarkEnd w:id="33"/>
      <w:r>
        <w:t xml:space="preserve"> </w:t>
      </w:r>
    </w:p>
    <w:p w14:paraId="59601A7F" w14:textId="77777777" w:rsidR="00E3743F" w:rsidRPr="00EE61BC" w:rsidRDefault="00E3743F" w:rsidP="0060535B">
      <w:r>
        <w:t>Netgear Produkte einschließlich aller WLAN-Geräte, -Module und kleinen Switches sind Geräte der EMV-Klasse B. Ethernet-Switches mit mehr als 8 Anschlüssen sind in der Regel EMV-Geräte der Klasse A.</w:t>
      </w:r>
    </w:p>
    <w:p w14:paraId="56E561E9" w14:textId="77777777" w:rsidR="00E3743F" w:rsidRPr="00D93A87" w:rsidRDefault="00E3743F" w:rsidP="00481C42">
      <w:pPr>
        <w:pStyle w:val="Heading3"/>
      </w:pPr>
      <w:bookmarkStart w:id="34" w:name="_Toc118968926"/>
      <w:r>
        <w:t>Produkte der Klasse B</w:t>
      </w:r>
      <w:bookmarkEnd w:id="34"/>
    </w:p>
    <w:p w14:paraId="38EA1770" w14:textId="77777777" w:rsidR="00E3743F" w:rsidRPr="004E534D" w:rsidRDefault="00E3743F" w:rsidP="00E3743F">
      <w:pPr>
        <w:rPr>
          <w:rFonts w:cs="Arial"/>
        </w:rPr>
      </w:pPr>
      <w:r>
        <w:t>Das NETGEAR Produkt wurde geprüft, und es wurde festgestellt, dass es die Grenzwerte für Digitalgeräte der Klasse B gemäß Teil 15 der FCC-Vorschriften einhält. Diese Grenzwerte sind für die Gewährleistung eines angemessenen Schutzes gegen schädliche Störungen bei der Installation im Wohnbereich gedacht. Dieses Gerät verwendet Funkwellen und kann diese abstrahlen. Wenn es nicht gemäß den Anleitungen installiert und verwendet wird, kann es zu erheblichen Störungen von Funkübertragungen kommen. Bei keiner Installation können Störungen jedoch völlig ausgeschlossen werden. Wenn dieses Gerät Störungen des Rundfunk- und Fernsehempfangs verursacht, was durch Ein- und Ausschalten des Gerätes festgestellt werden kann, sollte der Benutzer versuchen, die Störung durch eine oder mehrere der folgenden Maßnahmen zu beheben:</w:t>
      </w:r>
    </w:p>
    <w:p w14:paraId="0791FDD4" w14:textId="77777777" w:rsidR="00E3743F" w:rsidRPr="004E534D" w:rsidRDefault="00E3743F" w:rsidP="00E3743F">
      <w:pPr>
        <w:pStyle w:val="ListParagraph"/>
        <w:numPr>
          <w:ilvl w:val="0"/>
          <w:numId w:val="13"/>
        </w:numPr>
        <w:rPr>
          <w:rFonts w:cs="Arial"/>
        </w:rPr>
      </w:pPr>
      <w:r>
        <w:t>Platzieren Sie die Empfangsantenne an einer anderen Stelle bzw. richten Sie sie neu aus.</w:t>
      </w:r>
    </w:p>
    <w:p w14:paraId="06C37534" w14:textId="77777777" w:rsidR="00E3743F" w:rsidRPr="004E534D" w:rsidRDefault="00E3743F" w:rsidP="00E3743F">
      <w:pPr>
        <w:pStyle w:val="ListParagraph"/>
        <w:numPr>
          <w:ilvl w:val="0"/>
          <w:numId w:val="13"/>
        </w:numPr>
        <w:rPr>
          <w:rFonts w:cs="Arial"/>
        </w:rPr>
      </w:pPr>
      <w:r>
        <w:lastRenderedPageBreak/>
        <w:t>Vergrößern Sie den Abstand zwischen dem Gerät und dem Empfänger.</w:t>
      </w:r>
    </w:p>
    <w:p w14:paraId="1373EE70" w14:textId="77777777" w:rsidR="00E3743F" w:rsidRPr="004E534D" w:rsidRDefault="00E3743F" w:rsidP="00E3743F">
      <w:pPr>
        <w:pStyle w:val="ListParagraph"/>
        <w:numPr>
          <w:ilvl w:val="0"/>
          <w:numId w:val="13"/>
        </w:numPr>
        <w:rPr>
          <w:rFonts w:cs="Arial"/>
        </w:rPr>
      </w:pPr>
      <w:r>
        <w:t>Schließen Sie das Gerät an einen Stromkreis an, den der Empfänger nicht benutzt.</w:t>
      </w:r>
    </w:p>
    <w:p w14:paraId="618EE80C" w14:textId="77777777" w:rsidR="00E3743F" w:rsidRDefault="00E3743F" w:rsidP="00E3743F">
      <w:pPr>
        <w:pStyle w:val="ListParagraph"/>
        <w:numPr>
          <w:ilvl w:val="0"/>
          <w:numId w:val="13"/>
        </w:numPr>
        <w:rPr>
          <w:rFonts w:cs="Arial"/>
        </w:rPr>
      </w:pPr>
      <w:r>
        <w:t>Wenden Sie sich an den Händler oder einen erfahrenen Rundfunk-/TV-Techniker.</w:t>
      </w:r>
    </w:p>
    <w:p w14:paraId="4268F864" w14:textId="77777777" w:rsidR="00E3743F" w:rsidRDefault="00E3743F" w:rsidP="00481C42">
      <w:pPr>
        <w:pStyle w:val="Heading3"/>
      </w:pPr>
      <w:bookmarkStart w:id="35" w:name="_Toc118968927"/>
      <w:r>
        <w:t>Produkte der Klasse A</w:t>
      </w:r>
      <w:bookmarkEnd w:id="35"/>
    </w:p>
    <w:p w14:paraId="500DDA9C" w14:textId="77777777" w:rsidR="00E3743F" w:rsidRPr="000B1672" w:rsidRDefault="00E3743F" w:rsidP="00E3743F">
      <w:pPr>
        <w:rPr>
          <w:rFonts w:cs="Arial"/>
        </w:rPr>
      </w:pPr>
      <w:r>
        <w:t>Das NETGEAR Produkt wurde geprüft und es wurde festgestellt, dass es die Grenzwerte für Digitalgeräte der Klasse A gemäß Teil 15 der FCC-Vorschriften einhält. Diese Grenzwerte sollen einen angemessenen Schutz vor schädlichen Störungen bieten, wenn die Geräte im gewerblichen Rahmen betrieben werden. Dieses Gerät erzeugt und benutzt hochfrequente Energien und kann diese abstrahlen. Wenn es nicht in Übereinstimmung mit den Anleitungen installiert und verwendet wird, kann es den Rundfunkempfang erheblich beeinträchtigen. Beim Betrieb dieses Geräts in einer Wohngegend kommt es wahrscheinlich zu schädlichen Störungen. In diesem Fall ist der Benutzer verpflichtet, auf eigene Kosten Abhilfe zu schaffen.</w:t>
      </w:r>
    </w:p>
    <w:p w14:paraId="591FD6D9" w14:textId="77777777" w:rsidR="00B654CA" w:rsidRPr="00481C42" w:rsidRDefault="007C5FA2" w:rsidP="00481C42">
      <w:pPr>
        <w:pStyle w:val="Heading2"/>
      </w:pPr>
      <w:bookmarkStart w:id="36" w:name="_Toc118968928"/>
      <w:r>
        <w:t>Erklärung zu FCC – Teil 68</w:t>
      </w:r>
      <w:bookmarkEnd w:id="36"/>
    </w:p>
    <w:bookmarkEnd w:id="29"/>
    <w:p w14:paraId="6EA72E34" w14:textId="77777777" w:rsidR="009C27BE" w:rsidRDefault="007C5FA2" w:rsidP="004E534D">
      <w:pPr>
        <w:rPr>
          <w:rFonts w:cs="Arial"/>
        </w:rPr>
      </w:pPr>
      <w:r>
        <w:t>Die folgenden Geräte sind mit Teil 68 der FCC-Regeln und den ACTA-Anforderungen konform.</w:t>
      </w:r>
    </w:p>
    <w:p w14:paraId="1EA46107" w14:textId="0CE086C0" w:rsidR="007C5FA2" w:rsidRDefault="007C5FA2" w:rsidP="0060535B">
      <w:pPr>
        <w:pStyle w:val="Heading4"/>
      </w:pPr>
      <w:r>
        <w:t>Tabelle 4: Produkte im Geltungsbereich von FCC Teil 68</w:t>
      </w:r>
    </w:p>
    <w:tbl>
      <w:tblPr>
        <w:tblStyle w:val="TableGrid"/>
        <w:tblW w:w="0" w:type="auto"/>
        <w:tblInd w:w="720" w:type="dxa"/>
        <w:tblLook w:val="04A0" w:firstRow="1" w:lastRow="0" w:firstColumn="1" w:lastColumn="0" w:noHBand="0" w:noVBand="1"/>
      </w:tblPr>
      <w:tblGrid>
        <w:gridCol w:w="4315"/>
        <w:gridCol w:w="4315"/>
      </w:tblGrid>
      <w:tr w:rsidR="007C5FA2" w14:paraId="65B6D42C" w14:textId="77777777" w:rsidTr="007C5FA2">
        <w:tc>
          <w:tcPr>
            <w:tcW w:w="4315" w:type="dxa"/>
          </w:tcPr>
          <w:p w14:paraId="232AFED2" w14:textId="77777777" w:rsidR="007C5FA2" w:rsidRDefault="007C5FA2" w:rsidP="009C27BE">
            <w:pPr>
              <w:pStyle w:val="ListParagraph"/>
              <w:numPr>
                <w:ilvl w:val="0"/>
                <w:numId w:val="28"/>
              </w:numPr>
              <w:ind w:left="0" w:firstLine="0"/>
              <w:rPr>
                <w:rFonts w:cs="Arial"/>
              </w:rPr>
            </w:pPr>
            <w:r>
              <w:t>D2200D</w:t>
            </w:r>
          </w:p>
        </w:tc>
        <w:tc>
          <w:tcPr>
            <w:tcW w:w="4315" w:type="dxa"/>
          </w:tcPr>
          <w:p w14:paraId="437E7762" w14:textId="77777777" w:rsidR="007C5FA2" w:rsidRDefault="007C5FA2" w:rsidP="000E6B64">
            <w:pPr>
              <w:pStyle w:val="ListParagraph"/>
              <w:ind w:left="0"/>
              <w:rPr>
                <w:rFonts w:cs="Arial"/>
              </w:rPr>
            </w:pPr>
          </w:p>
        </w:tc>
      </w:tr>
      <w:tr w:rsidR="007C5FA2" w14:paraId="05F42464" w14:textId="77777777" w:rsidTr="007C5FA2">
        <w:tc>
          <w:tcPr>
            <w:tcW w:w="4315" w:type="dxa"/>
          </w:tcPr>
          <w:p w14:paraId="31F69991" w14:textId="77777777" w:rsidR="007C5FA2" w:rsidRDefault="007C5FA2" w:rsidP="000E6B64">
            <w:pPr>
              <w:pStyle w:val="ListParagraph"/>
              <w:ind w:left="0"/>
              <w:rPr>
                <w:rFonts w:cs="Arial"/>
              </w:rPr>
            </w:pPr>
          </w:p>
        </w:tc>
        <w:tc>
          <w:tcPr>
            <w:tcW w:w="4315" w:type="dxa"/>
          </w:tcPr>
          <w:p w14:paraId="5C6E13A2" w14:textId="77777777" w:rsidR="007C5FA2" w:rsidRDefault="007C5FA2" w:rsidP="000E6B64">
            <w:pPr>
              <w:pStyle w:val="ListParagraph"/>
              <w:ind w:left="0"/>
              <w:rPr>
                <w:rFonts w:cs="Arial"/>
              </w:rPr>
            </w:pPr>
          </w:p>
        </w:tc>
      </w:tr>
    </w:tbl>
    <w:p w14:paraId="0224D172" w14:textId="77777777" w:rsidR="009C27BE" w:rsidRPr="009C27BE" w:rsidRDefault="009C27BE" w:rsidP="007C5FA2">
      <w:pPr>
        <w:spacing w:before="60" w:after="60"/>
        <w:rPr>
          <w:rFonts w:cs="Arial"/>
        </w:rPr>
      </w:pPr>
      <w:r>
        <w:t xml:space="preserve">Auf dem Produktetikett dieses Geräts befindet sich unter anderem eine Produktkennung im Format „US:WXXXXYYYZZZZZ“. Auf Anfrage muss diese Nummer dem Telefonunternehmen mitgeteilt werden. </w:t>
      </w:r>
    </w:p>
    <w:p w14:paraId="13914DCD" w14:textId="71E0BE39" w:rsidR="004E534D" w:rsidRPr="00530C71" w:rsidRDefault="00530C71" w:rsidP="00481C42">
      <w:pPr>
        <w:pStyle w:val="Heading1"/>
      </w:pPr>
      <w:bookmarkStart w:id="37" w:name="_Toc118968929"/>
      <w:r>
        <w:t>Innovation, Science and Economic Development Canada (ISED)-Verordnungen</w:t>
      </w:r>
      <w:bookmarkEnd w:id="37"/>
    </w:p>
    <w:p w14:paraId="486262DA" w14:textId="77777777" w:rsidR="006840DB" w:rsidRDefault="00AC23E2" w:rsidP="0014339D">
      <w:r>
        <w:t>Die Informationen in diesem Abschnitt gelten für Produkte, die mit einem der folgenden Hinweise versehen sind:</w:t>
      </w:r>
    </w:p>
    <w:p w14:paraId="01771393" w14:textId="5E022E46" w:rsidR="00D93A87" w:rsidRDefault="00D93A87" w:rsidP="0097006B">
      <w:pPr>
        <w:spacing w:after="120"/>
        <w:ind w:left="720"/>
      </w:pPr>
      <w:r>
        <w:t>CAN ICES-003 (B)/NMB-003(B)</w:t>
      </w:r>
    </w:p>
    <w:p w14:paraId="5036A1BA" w14:textId="0CB6FBDE" w:rsidR="00D93A87" w:rsidRDefault="00D93A87" w:rsidP="0097006B">
      <w:pPr>
        <w:spacing w:after="120"/>
        <w:ind w:left="720"/>
      </w:pPr>
      <w:r>
        <w:t>CAN ICES-003 (A)/NMB-003(A)</w:t>
      </w:r>
    </w:p>
    <w:p w14:paraId="5AE746AB" w14:textId="77777777" w:rsidR="007D5B99" w:rsidRPr="006840DB" w:rsidRDefault="007D5B99" w:rsidP="006840DB">
      <w:pPr>
        <w:ind w:left="720"/>
      </w:pPr>
      <w:r>
        <w:t>Dieses digitale Gerät überschreitet nicht die Grenzwerte der Klasse B für von digitalen Geräten ausgehende Funkstörungen, wie sie in den Vorschriften zu Funkstörungen des kanadischen Ministeriums für Kommunikation festgelegt sind.</w:t>
      </w:r>
    </w:p>
    <w:p w14:paraId="4E915763" w14:textId="77777777" w:rsidR="00B36BA1" w:rsidRDefault="00217BC8" w:rsidP="004E534D">
      <w:pPr>
        <w:rPr>
          <w:rFonts w:cs="Arial"/>
        </w:rPr>
      </w:pPr>
      <w:r>
        <w:t>Alle NETGEAR Produkte entsprechen dem/den ISED RSS-Standard(s) für die Lizenzbefreiung. Der Betrieb unterliegt den folgenden Bedingungen: (1) Diese NETGEAR Produkte dürfen keine schädlichen Störungen verursachen. (2) NETGEAR Produkte müssen alle Störungen vertragen, einschließlich Störungen, die unerwünschte Operationen verursachen können.</w:t>
      </w:r>
    </w:p>
    <w:p w14:paraId="240A6E17" w14:textId="3F2E2665" w:rsidR="00E3743F" w:rsidRPr="004E534D" w:rsidRDefault="00E3743F" w:rsidP="00481C42">
      <w:pPr>
        <w:pStyle w:val="Heading2"/>
      </w:pPr>
      <w:bookmarkStart w:id="38" w:name="_Toc118968930"/>
      <w:r>
        <w:t>Warnungen und Hinweise für Funkfrequenzen</w:t>
      </w:r>
      <w:bookmarkEnd w:id="38"/>
    </w:p>
    <w:p w14:paraId="246BBB51" w14:textId="77777777" w:rsidR="00E3743F" w:rsidRDefault="00E3743F" w:rsidP="00E3743F">
      <w:pPr>
        <w:rPr>
          <w:rFonts w:cs="Arial"/>
        </w:rPr>
      </w:pPr>
      <w:r>
        <w:t>Produkte für den Markt in den USA/in Kanada können nur auf den Kanälen 1 - 11 betrieben werden. Die Auswahl anderer Kanäle ist nicht möglich.</w:t>
      </w:r>
    </w:p>
    <w:p w14:paraId="49CBFE85" w14:textId="77777777" w:rsidR="00E3743F" w:rsidRDefault="00E3743F" w:rsidP="00E3743F">
      <w:pPr>
        <w:rPr>
          <w:rFonts w:cs="Arial"/>
        </w:rPr>
      </w:pPr>
      <w:r>
        <w:t>Das Gerät und die zugehörige(n) Antenne(n) dürfen nicht in der Nähe von oder in Verbindung mit anderen Antennen oder Sendern betrieben werden, ausgenommen in Übereinstimmung mit Produktverfahren für IC-Multi-Sender.</w:t>
      </w:r>
    </w:p>
    <w:p w14:paraId="62E8945B" w14:textId="09A277FA" w:rsidR="00E3743F" w:rsidRDefault="00E3743F" w:rsidP="00E3743F">
      <w:pPr>
        <w:rPr>
          <w:rFonts w:cs="Arial"/>
        </w:rPr>
      </w:pPr>
      <w:r>
        <w:t>Das Gerät darf mit dem Frequenzbereich 5150 bis 5250 MHz ausschließlich in geschlossenen Räumen eingesetzt werden. Mit dieser Einschränkung soll das Risiko der Störung mobiler Zweikanal-Satellitensysteme gesenkt werden.</w:t>
      </w:r>
    </w:p>
    <w:p w14:paraId="29B5759B" w14:textId="77777777" w:rsidR="00C34109" w:rsidRDefault="00C34109" w:rsidP="00C34109">
      <w:pPr>
        <w:rPr>
          <w:rFonts w:cs="Arial"/>
        </w:rPr>
      </w:pPr>
      <w:r>
        <w:t>Benutzer sollten außerdem beachten, dass hochleistungsfähige Radarsysteme die primären Benutzer für die Frequenzbereiche 5250–5350 MHz und 5650–5850 MHz sind (d. h. sie haben Priorität) und Störungen verursachen und/oder die LE-LAN-Geräte beschädigen können.</w:t>
      </w:r>
    </w:p>
    <w:p w14:paraId="025AAFC0" w14:textId="67AEC060" w:rsidR="002A7E78" w:rsidRPr="00EE5249" w:rsidRDefault="002A7E78" w:rsidP="002A7E78">
      <w:pPr>
        <w:rPr>
          <w:rFonts w:cs="Arial"/>
        </w:rPr>
      </w:pPr>
      <w:r>
        <w:lastRenderedPageBreak/>
        <w:t>Gemäß den ISED-Vorschriften darf dieser Funksender nur mit einer Antenne eines Typs und einer maximalen (oder geringeren) Verstärkung betrieben werden, die von ISED für den Sender genehmigt wurde. Um mögliche Funkstörungen für andere Nutzer zu verringern, sollten der Antennentyp und seine Verstärkung so gewählt werden, dass die äquivalente isotrop abgestrahlte Leistung (EIRP) nicht mehr als für eine erfolgreiche Kommunikation erforderlich ist. Siehe Tabelle 2</w:t>
      </w:r>
    </w:p>
    <w:p w14:paraId="11F8F464" w14:textId="63E1672A" w:rsidR="00C34109" w:rsidRDefault="00C34109" w:rsidP="00C34109">
      <w:pPr>
        <w:rPr>
          <w:rFonts w:cs="Arial"/>
        </w:rPr>
      </w:pPr>
      <w:r>
        <w:t>Die maximal zulässige Antennenverstärkung für Geräte in den Frequenzbereichen 5250–5350 MHz und 5470–5725 MHz muss den EIRP-Grenzwert (Equivalent Isotropically Radiated Power, äquivalente isotrope Strahlungsleistung) einhalten.</w:t>
      </w:r>
    </w:p>
    <w:p w14:paraId="0FA04162" w14:textId="14587A94" w:rsidR="00C34109" w:rsidRDefault="00C34109" w:rsidP="002A7E78">
      <w:pPr>
        <w:rPr>
          <w:rFonts w:cs="Arial"/>
          <w:color w:val="000000"/>
          <w:szCs w:val="18"/>
        </w:rPr>
      </w:pPr>
      <w:r>
        <w:rPr>
          <w:color w:val="000000"/>
        </w:rPr>
        <w:t>Die maximal zulässige Antennenverstärkung für Geräte im Frequenzbereich 5725–5825 MHz muss die für den Punkt-zu-Punkt- bzw. Punkt-zu-Mehrpunkt-Betrieb festgelegten EIRP-Grenzwerte (Equivalent Isotropically Radiated Power, äquivalente isotrope Strahlungsleistung) einhalten.</w:t>
      </w:r>
    </w:p>
    <w:p w14:paraId="22868082" w14:textId="5D2F436C" w:rsidR="00054A73" w:rsidRDefault="00054A73" w:rsidP="00054A73">
      <w:r>
        <w:t>Das Gerät ist ausschließlich für den Innenbereich bestimmt, wenn der Frequenzbereich 5925–6425 MHz verwendet wird. Der Betrieb dieses Geräts auf Ölplattformen, in Autos, Zügen, Booten und Flugzeugen ist verboten, außer in großen Flugzeugen bei einer Flughöhe oberhalb von 10.000 Fuß. Es ist nicht gestattet, Sender im Frequenzbereich 5925–6425 MHz zur Steuerung oder Kommunikation mit unbemannten Flugzeugsystemen zu verwenden.</w:t>
      </w:r>
    </w:p>
    <w:p w14:paraId="4E405205" w14:textId="77777777" w:rsidR="00D72E30" w:rsidRPr="004E534D" w:rsidRDefault="00D72E30" w:rsidP="00481C42">
      <w:pPr>
        <w:pStyle w:val="Heading2"/>
      </w:pPr>
      <w:bookmarkStart w:id="39" w:name="_Toc118968931"/>
      <w:r>
        <w:t>WICHTER HINWEIS: Erklärung zur Strahlenbelastung:</w:t>
      </w:r>
      <w:bookmarkEnd w:id="39"/>
    </w:p>
    <w:p w14:paraId="02CCAABD" w14:textId="77777777" w:rsidR="00D72E30" w:rsidRPr="00356269" w:rsidRDefault="00D72E30" w:rsidP="00481C42">
      <w:pPr>
        <w:pStyle w:val="Heading3"/>
      </w:pPr>
      <w:bookmarkStart w:id="40" w:name="_Toc118968932"/>
      <w:bookmarkStart w:id="41" w:name="_Hlk35587083"/>
      <w:r>
        <w:t>SAR-Warnhinweis:</w:t>
      </w:r>
      <w:bookmarkEnd w:id="40"/>
    </w:p>
    <w:p w14:paraId="1E1526EB" w14:textId="77777777" w:rsidR="00406A5B" w:rsidRDefault="00406A5B" w:rsidP="00406A5B">
      <w:r>
        <w:t xml:space="preserve">Die Informationen in diesem Abschnitt gelten für NETGEAR WLAN-Produkte, die für den Betrieb in unmittelbarer Nähe des menschlichen Körpers vorgesehen sind. </w:t>
      </w:r>
    </w:p>
    <w:p w14:paraId="00BEBBC7" w14:textId="4E823110" w:rsidR="00D72E30" w:rsidRPr="00356269" w:rsidRDefault="00D72E30" w:rsidP="00D72E30">
      <w:pPr>
        <w:rPr>
          <w:rFonts w:cs="Arial"/>
        </w:rPr>
      </w:pPr>
      <w:r>
        <w:t>NETGEAR Produkte entsprechen den SAR-Grenzwerten für Privatpersonen / unkontrollierte Exposition gemäß IC RSS-102 und wurden in Übereinstimmung mit den in IEEE 1528 festgelegten Messmethoden und -verfahren getestet. Halten Sie beim Tragen am Körper einen Sicherheitsabstand von mindestens 10 mm ein.</w:t>
      </w:r>
    </w:p>
    <w:p w14:paraId="5289C8CB" w14:textId="1F0F8C9C" w:rsidR="007E5B60" w:rsidRDefault="007E5B60" w:rsidP="004E534D">
      <w:pPr>
        <w:rPr>
          <w:rFonts w:cs="Arial"/>
        </w:rPr>
      </w:pPr>
      <w:r>
        <w:t>NETGEAR Produkte erfüllen den kanadischen Grenzwert für HF-Belastung durch tragbare Geräte in einer unkontrollierten Umgebung und sind bei bestimmungsgemäßem Betrieb, wie in der Bedienungsanleitung beschrieben, sicher. Eine weitere Verringerung der HF-Belastung kann dadurch erreicht werden, dass Sie das Gerät so weit wie möglich von Ihrem Körper entfernt halten oder das Gerät auf eine niedrigere Ausgangsleistung einstellen, sofern eine solche Funktion verfügbar ist.</w:t>
      </w:r>
    </w:p>
    <w:p w14:paraId="2AA60DAC" w14:textId="6D0618C8" w:rsidR="00314CF3" w:rsidRDefault="00314CF3" w:rsidP="00314CF3">
      <w:r>
        <w:t>Weitere Informationen und den höchsten SAR-Wert, der für dieses Gerät gemessen wurde, finden Sie im Abschnitt über die Strahlenbelastung unter:</w:t>
      </w:r>
    </w:p>
    <w:p w14:paraId="3F673B94" w14:textId="3610E5E6" w:rsidR="00314CF3" w:rsidRDefault="00F946ED" w:rsidP="00314CF3">
      <w:hyperlink r:id="rId26" w:history="1">
        <w:r w:rsidR="00E63B27">
          <w:rPr>
            <w:rStyle w:val="Hyperlink"/>
          </w:rPr>
          <w:t>https://www.netgear.com/about/regulatory/</w:t>
        </w:r>
      </w:hyperlink>
    </w:p>
    <w:p w14:paraId="5D4F1079" w14:textId="77777777" w:rsidR="00406A5B" w:rsidRDefault="00406A5B" w:rsidP="00481C42">
      <w:pPr>
        <w:pStyle w:val="Heading3"/>
      </w:pPr>
      <w:bookmarkStart w:id="42" w:name="_Toc118968933"/>
      <w:r>
        <w:t>Erklärung zur Maximal zulässige Exposition (MPE-Erklärung):</w:t>
      </w:r>
      <w:bookmarkEnd w:id="42"/>
    </w:p>
    <w:p w14:paraId="3D37D769" w14:textId="77777777" w:rsidR="00406A5B" w:rsidRDefault="00406A5B" w:rsidP="00406A5B">
      <w:r>
        <w:t xml:space="preserve">Die Informationen in diesem Abschnitt gelten für NETGEAR WLAN-Produkte, die für den Betrieb in 20 Zentimeter Mindestentfernung vom menschlichen Körper vorgesehen sind. </w:t>
      </w:r>
    </w:p>
    <w:p w14:paraId="715D26E3" w14:textId="72800A33" w:rsidR="0031607B" w:rsidRDefault="00406A5B" w:rsidP="0031607B">
      <w:r>
        <w:t>Strahlung von NETGEAR Produkten liegt unter den von der IC festgelegten Grenzwerten für Hochfrequenzstrahlung in einer unkontrollierten Umgebung.  NETGEAR Produkte sollten mit einem Mindestabstand von 70 cm zwischen der Strahlungsquelle und Ihrem Körper angebracht und betrieben werden. Weitere Informationen zur Überprüfung des Mindestabstands und zum höchsten für dieses Gerät gemessenen SAR-Wert finden Sie im Abschnitt über die Strahlenbelastung unter:</w:t>
      </w:r>
    </w:p>
    <w:p w14:paraId="1DA9D3A5" w14:textId="455A1463" w:rsidR="0031607B" w:rsidRDefault="00F946ED" w:rsidP="0031607B">
      <w:hyperlink r:id="rId27" w:history="1">
        <w:r w:rsidR="00E63B27">
          <w:rPr>
            <w:rStyle w:val="Hyperlink"/>
          </w:rPr>
          <w:t>https://www.netgear.com/about/regulatory/</w:t>
        </w:r>
      </w:hyperlink>
    </w:p>
    <w:p w14:paraId="39004ED7" w14:textId="00F6CE78" w:rsidR="00C509BF" w:rsidRDefault="00C509BF" w:rsidP="000E6B64">
      <w:pPr>
        <w:pStyle w:val="Heading2"/>
      </w:pPr>
      <w:bookmarkStart w:id="43" w:name="_Toc118968934"/>
      <w:bookmarkEnd w:id="41"/>
      <w:r>
        <w:rPr>
          <w:rStyle w:val="Hyperlink"/>
        </w:rPr>
        <w:t>Ontario Regulation 522/20</w:t>
      </w:r>
      <w:bookmarkEnd w:id="43"/>
      <w:r>
        <w:rPr>
          <w:rStyle w:val="Hyperlink"/>
        </w:rPr>
        <w:t xml:space="preserve"> </w:t>
      </w:r>
    </w:p>
    <w:p w14:paraId="50CAE6D7" w14:textId="77777777" w:rsidR="00B15620" w:rsidRDefault="00C509BF" w:rsidP="00B15620">
      <w:r>
        <w:t xml:space="preserve">Die Vorschriften für elektronische und elektrische Geräte (EEE) in Ontario gelten ab dem 1. Januar 2021 auf der Grundlage des Resource Recovery and Circular Economy Act. NETGEAR erfüllt seine Verpflichtungen über EPRA </w:t>
      </w:r>
      <w:r>
        <w:lastRenderedPageBreak/>
        <w:t xml:space="preserve">Ontario, die Organisation für Herstellerverantwortung, die von NETGEAR ausgewählt wurde.  Besuchen Sie die Website von EPRA unter </w:t>
      </w:r>
    </w:p>
    <w:p w14:paraId="280B33B1" w14:textId="6E3993F5" w:rsidR="00B15620" w:rsidRDefault="00F946ED" w:rsidP="00B15620">
      <w:pPr>
        <w:rPr>
          <w:rFonts w:ascii="Calibri" w:hAnsi="Calibri"/>
          <w:color w:val="993366"/>
          <w:sz w:val="22"/>
        </w:rPr>
      </w:pPr>
      <w:hyperlink r:id="rId28" w:history="1">
        <w:r w:rsidR="00B15620">
          <w:rPr>
            <w:rStyle w:val="Hyperlink"/>
          </w:rPr>
          <w:t>https://recyclemyelectronics.ca/on/</w:t>
        </w:r>
      </w:hyperlink>
    </w:p>
    <w:p w14:paraId="5DF2542E" w14:textId="2D6D30AB" w:rsidR="00C509BF" w:rsidRPr="00C509BF" w:rsidRDefault="00C509BF" w:rsidP="00C509BF">
      <w:pPr>
        <w:rPr>
          <w:rFonts w:asciiTheme="minorHAnsi" w:hAnsiTheme="minorHAnsi"/>
          <w:sz w:val="22"/>
        </w:rPr>
      </w:pPr>
      <w:r>
        <w:t xml:space="preserve"> , um Informationen über die Rücknahme von Elektro- und Elektronik-Altgeräten und weitere Informationen über das Verfahren zu erhalten.</w:t>
      </w:r>
    </w:p>
    <w:p w14:paraId="0C25431F" w14:textId="07B31F94" w:rsidR="00AD3F79" w:rsidRPr="00AD3F79" w:rsidRDefault="00AD3F79" w:rsidP="00AD3F79">
      <w:pPr>
        <w:pStyle w:val="Heading1"/>
      </w:pPr>
      <w:bookmarkStart w:id="44" w:name="_Toc92220737"/>
      <w:bookmarkStart w:id="45" w:name="_Toc118968935"/>
      <w:r>
        <w:t>Réglementations du ministère Innovation, Sciences et Développement économique Canada (ISDE)</w:t>
      </w:r>
      <w:bookmarkEnd w:id="44"/>
      <w:r>
        <w:t xml:space="preserve"> – français</w:t>
      </w:r>
      <w:bookmarkEnd w:id="45"/>
    </w:p>
    <w:p w14:paraId="019449F0" w14:textId="77777777" w:rsidR="00AD3F79" w:rsidRPr="00AD3F79" w:rsidRDefault="00AD3F79" w:rsidP="00AD3F79"/>
    <w:p w14:paraId="0900F4AB" w14:textId="77777777" w:rsidR="00AD3F79" w:rsidRPr="00B97C7A" w:rsidRDefault="00AD3F79" w:rsidP="00AD3F79">
      <w:r>
        <w:t>Les informations de cette rubrique s'appliquent aux produits portant l'une des déclarations suivantes :</w:t>
      </w:r>
    </w:p>
    <w:p w14:paraId="04B6FB7F" w14:textId="77777777" w:rsidR="00AD3F79" w:rsidRPr="00B97C7A" w:rsidRDefault="00AD3F79" w:rsidP="00AD3F79">
      <w:pPr>
        <w:spacing w:after="120"/>
        <w:ind w:left="720"/>
      </w:pPr>
      <w:r>
        <w:t>CAN ICES-003 (B)/NMB-003(B)</w:t>
      </w:r>
    </w:p>
    <w:p w14:paraId="7ADAF387" w14:textId="77777777" w:rsidR="00AD3F79" w:rsidRPr="00B97C7A" w:rsidRDefault="00AD3F79" w:rsidP="00AD3F79">
      <w:pPr>
        <w:spacing w:after="120"/>
        <w:ind w:left="720"/>
      </w:pPr>
      <w:r>
        <w:t>CAN ICES-003 (A)/NMB-003(A)</w:t>
      </w:r>
    </w:p>
    <w:p w14:paraId="3CBD6B51" w14:textId="77777777" w:rsidR="00AD3F79" w:rsidRPr="00B97C7A" w:rsidRDefault="00AD3F79" w:rsidP="00AD3F79">
      <w:pPr>
        <w:ind w:left="720"/>
      </w:pPr>
      <w:r>
        <w:t>« Cet appareil numérique respecte les restrictions des émissions radio destinées aux appareils numériques de classe B établies par la réglementation canadienne sur les interférences radio.»</w:t>
      </w:r>
    </w:p>
    <w:p w14:paraId="49CAE435" w14:textId="77777777" w:rsidR="00AD3F79" w:rsidRPr="00B97C7A" w:rsidRDefault="00AD3F79" w:rsidP="00AD3F79">
      <w:pPr>
        <w:rPr>
          <w:rFonts w:cs="Arial"/>
        </w:rPr>
      </w:pPr>
      <w:r>
        <w:t>Tous les produits NETGEAR sont conformes aux normes RSS exemptes de licence d'ISDE. Le fonctionnement est soumis aux deux conditions suivantes : (1) les produits NETGEAR ne produisent pas d'interférences nuisibles, et (2) les produits NETGEAR doivent accepter toutes les interférences reçues, notamment celles qui peuvent entraîner un fonctionnement non souhaité.</w:t>
      </w:r>
    </w:p>
    <w:p w14:paraId="07A1A0AC" w14:textId="77777777" w:rsidR="00AD3F79" w:rsidRPr="00B97C7A" w:rsidRDefault="00AD3F79" w:rsidP="00AD3F79">
      <w:pPr>
        <w:pStyle w:val="Heading2"/>
      </w:pPr>
      <w:bookmarkStart w:id="46" w:name="_Toc92220738"/>
      <w:bookmarkStart w:id="47" w:name="_Toc118968936"/>
      <w:r>
        <w:t>Avertissements et instructions relatifs aux fréquences radio</w:t>
      </w:r>
      <w:bookmarkEnd w:id="46"/>
      <w:bookmarkEnd w:id="47"/>
    </w:p>
    <w:p w14:paraId="5E9D8AAC" w14:textId="77777777" w:rsidR="00AD3F79" w:rsidRPr="00B97C7A" w:rsidRDefault="00AD3F79" w:rsidP="00AD3F79">
      <w:pPr>
        <w:rPr>
          <w:rFonts w:cs="Arial"/>
        </w:rPr>
      </w:pPr>
      <w:r>
        <w:t>Pour les produits disponibles sur le marché américain ou canadien, seul le canal 1~11 est utilisable. Il n'est pas possible de sélectionner d'autres canaux.</w:t>
      </w:r>
    </w:p>
    <w:p w14:paraId="5CDDDE6C" w14:textId="77777777" w:rsidR="00AD3F79" w:rsidRPr="00B97C7A" w:rsidRDefault="00AD3F79" w:rsidP="00AD3F79">
      <w:pPr>
        <w:rPr>
          <w:rFonts w:cs="Arial"/>
        </w:rPr>
      </w:pPr>
      <w:r>
        <w:t>Cet appareil et son (ses) antenne(s) ne doivent pas se trouver à proximité ou fonctionner en combinaison avec d'autres antennes ou émetteurs, sauf en accord avec les procédures d'IC concernant les produits multi-émetteurs.</w:t>
      </w:r>
    </w:p>
    <w:p w14:paraId="46AAAB54" w14:textId="77777777" w:rsidR="00AD3F79" w:rsidRPr="00B97C7A" w:rsidRDefault="00AD3F79" w:rsidP="00AD3F79">
      <w:pPr>
        <w:rPr>
          <w:rFonts w:cs="Arial"/>
        </w:rPr>
      </w:pPr>
      <w:r>
        <w:t>L'appareil pour la bande 5150-5250 MHz est uniquement destiné à une utilisation en intérieur afin de réduire les risques d'interférences nuisibles pour les systèmes mobiles par satellite à canaux partagés.</w:t>
      </w:r>
    </w:p>
    <w:p w14:paraId="1C7B840B" w14:textId="77777777" w:rsidR="00AD3F79" w:rsidRPr="00B97C7A" w:rsidRDefault="00AD3F79" w:rsidP="00AD3F79">
      <w:pPr>
        <w:rPr>
          <w:rFonts w:cs="Arial"/>
        </w:rPr>
      </w:pPr>
      <w:r>
        <w:t>Les utilisateurs doivent également être informés que les radars à haute puissance sont attribués comme utilisateurs principaux (c'est-à-dire les utilisateurs prioritaires) des bandes 5250-5350 MHz et 5650-5850 MHz, et que ces radars peuvent causer des interférences et/ou endommager les appareils LE-LAN.</w:t>
      </w:r>
    </w:p>
    <w:p w14:paraId="49855B42" w14:textId="77777777" w:rsidR="00AD3F79" w:rsidRPr="00B97C7A" w:rsidRDefault="00AD3F79" w:rsidP="00AD3F79">
      <w:pPr>
        <w:rPr>
          <w:rFonts w:cs="Arial"/>
        </w:rPr>
      </w:pPr>
      <w:r>
        <w:t>En vertu des réglementations d'ISDE, cet émetteur radio ne peut fonctionner qu'avec une antenne d'un type et d'un gain maximum (ou inférieur) approuvés pour l'émetteur par ISDE. Afin de réduire les interférences radio potentielles pour les autres utilisateurs, le type d'antenne et son gain doivent être choisis de telle sorte que la puissance isotrope rayonnée équivalente (PIRE) ne soit pas supérieure à celle nécessaire à la réussite de la communication. Voir tableau 2</w:t>
      </w:r>
    </w:p>
    <w:p w14:paraId="1C0AD4D6" w14:textId="77777777" w:rsidR="00AD3F79" w:rsidRPr="00B97C7A" w:rsidRDefault="00AD3F79" w:rsidP="00AD3F79">
      <w:pPr>
        <w:rPr>
          <w:rFonts w:cs="Arial"/>
        </w:rPr>
      </w:pPr>
      <w:r>
        <w:t>Le gain d'antenne maximal autorisé pour les appareils des bandes 5250-5350 MHz et 5470-5725 MHz doit être conforme à la limite de PIRE (puissance isotrope rayonnée équivalente).</w:t>
      </w:r>
    </w:p>
    <w:p w14:paraId="6693D1C2" w14:textId="77777777" w:rsidR="00AD3F79" w:rsidRPr="00B97C7A" w:rsidRDefault="00AD3F79" w:rsidP="00AD3F79">
      <w:pPr>
        <w:rPr>
          <w:rFonts w:cs="Arial"/>
          <w:color w:val="000000"/>
          <w:szCs w:val="18"/>
        </w:rPr>
      </w:pPr>
      <w:r>
        <w:rPr>
          <w:color w:val="000000"/>
        </w:rPr>
        <w:t>Le gain d'antenne maximal autorisé pour les appareils de la bande 5725-5825 MHz doit être conforme aux limites de PIRE (puissance isotrope rayonnée équivalente) spécifiées pour le fonctionnement point à point et point à multipoint, selon le cas.</w:t>
      </w:r>
    </w:p>
    <w:p w14:paraId="4FE2EC46" w14:textId="77777777" w:rsidR="00AD3F79" w:rsidRPr="00B97C7A" w:rsidRDefault="00AD3F79" w:rsidP="00AD3F79">
      <w:r>
        <w:lastRenderedPageBreak/>
        <w:t>L'appareil pour la bande 5925-6425 MHz est uniquement destiné à une utilisation en intérieur. L'utilisation de cet appareil est interdite à bord des plateformes pétrolières, des voitures, des trains, des bateaux et des aéronefs, à une exception : l'utilisation de cet appareil est autorisée à bord des avions volant à plus de 10 000 pieds d'altitude. L'utilisation d'émetteurs sur la bande 5925-6425 MHz est interdite pour le contrôle des systèmes d'aéronef sans pilote ou la communication avec ces systèmes.</w:t>
      </w:r>
    </w:p>
    <w:p w14:paraId="4F8F0961" w14:textId="77777777" w:rsidR="00AD3F79" w:rsidRPr="00B97C7A" w:rsidRDefault="00AD3F79" w:rsidP="00AD3F79">
      <w:pPr>
        <w:pStyle w:val="Heading2"/>
      </w:pPr>
      <w:bookmarkStart w:id="48" w:name="_Toc92220739"/>
      <w:bookmarkStart w:id="49" w:name="_Toc118968937"/>
      <w:r>
        <w:t>REMARQUE IMPORTANTE : Déclaration concernant l'exposition aux rayonnements</w:t>
      </w:r>
      <w:bookmarkEnd w:id="48"/>
      <w:bookmarkEnd w:id="49"/>
    </w:p>
    <w:p w14:paraId="3D67A0CF" w14:textId="77777777" w:rsidR="00AD3F79" w:rsidRPr="00B97C7A" w:rsidRDefault="00AD3F79" w:rsidP="00AD3F79">
      <w:pPr>
        <w:pStyle w:val="Heading3"/>
      </w:pPr>
      <w:bookmarkStart w:id="50" w:name="_Toc92220740"/>
      <w:bookmarkStart w:id="51" w:name="_Toc118968938"/>
      <w:r>
        <w:t>Avertissement relatif au DAS :</w:t>
      </w:r>
      <w:bookmarkEnd w:id="50"/>
      <w:bookmarkEnd w:id="51"/>
    </w:p>
    <w:p w14:paraId="4B91057B" w14:textId="77777777" w:rsidR="00AD3F79" w:rsidRPr="00B97C7A" w:rsidRDefault="00AD3F79" w:rsidP="00AD3F79">
      <w:r>
        <w:t xml:space="preserve">Les informations de cette rubrique s'appliquent aux produits Wifi NETGEAR destinés à être utilisés à proximité du corps humain. </w:t>
      </w:r>
    </w:p>
    <w:p w14:paraId="158C292F" w14:textId="77777777" w:rsidR="00AD3F79" w:rsidRPr="00B97C7A" w:rsidRDefault="00AD3F79" w:rsidP="00AD3F79">
      <w:pPr>
        <w:rPr>
          <w:rFonts w:cs="Arial"/>
        </w:rPr>
      </w:pPr>
      <w:r>
        <w:t>Les produits NETGEAR sont conformes au DAS pour la population générale/aux limites d'exposition non contrôlée de la norme IC RSS-102 et ont été testés dans le respect des procédures et méthodes d'évaluation spécifiées dans la norme IEEE 1528. Maintenez une distance d'au moins 10 mm si l'appareil est porté près du corps.</w:t>
      </w:r>
    </w:p>
    <w:p w14:paraId="3D14C053" w14:textId="77777777" w:rsidR="00AD3F79" w:rsidRPr="00B97C7A" w:rsidRDefault="00AD3F79" w:rsidP="00AD3F79">
      <w:pPr>
        <w:rPr>
          <w:rFonts w:cs="Arial"/>
        </w:rPr>
      </w:pPr>
      <w:r>
        <w:t>Les produits NETGEAR sont conformes à la limite d'exposition aux fréquences radio portables du Canada définie pour un environnement non contrôlé et sont sûrs pour l'utilisation prévue, comme décrit dans son manuel. Une réduction supplémentaire de l'exposition aux fréquences radio peut être obtenue en maintenant le produit aussi loin que possible de votre corps ou en réglant l'appareil sur une puissance de sortie inférieure, si une telle fonction est disponible.</w:t>
      </w:r>
    </w:p>
    <w:p w14:paraId="6022F83B" w14:textId="77777777" w:rsidR="00AD3F79" w:rsidRPr="00B97C7A" w:rsidRDefault="00AD3F79" w:rsidP="00AD3F79">
      <w:r>
        <w:t>Pour plus de détails et pour connaître le niveau de DAS le plus élevé mesuré pour cet appareil, reportez-vous à la rubrique Exposition radio à l'adresse suivante :</w:t>
      </w:r>
    </w:p>
    <w:p w14:paraId="3899E599" w14:textId="14DC0218" w:rsidR="00AD3F79" w:rsidRPr="00B97C7A" w:rsidRDefault="00F946ED" w:rsidP="00AD3F79">
      <w:hyperlink r:id="rId29" w:history="1">
        <w:r w:rsidR="00E63B27">
          <w:rPr>
            <w:rStyle w:val="Hyperlink"/>
          </w:rPr>
          <w:t>https://www.netgear.com/about/regulatory/</w:t>
        </w:r>
      </w:hyperlink>
    </w:p>
    <w:p w14:paraId="0309E338" w14:textId="77777777" w:rsidR="00AD3F79" w:rsidRPr="00B97C7A" w:rsidRDefault="00AD3F79" w:rsidP="00AD3F79">
      <w:pPr>
        <w:pStyle w:val="Heading3"/>
      </w:pPr>
      <w:bookmarkStart w:id="52" w:name="_Toc92220741"/>
      <w:bookmarkStart w:id="53" w:name="_Toc118968939"/>
      <w:r>
        <w:t>Déclaration de limite d'exposition maximale admissible</w:t>
      </w:r>
      <w:bookmarkEnd w:id="52"/>
      <w:bookmarkEnd w:id="53"/>
    </w:p>
    <w:p w14:paraId="2D5E9D82" w14:textId="77777777" w:rsidR="00AD3F79" w:rsidRPr="00B97C7A" w:rsidRDefault="00AD3F79" w:rsidP="00AD3F79">
      <w:r>
        <w:t xml:space="preserve">Les informations de cette rubrique s'appliquent aux produits Wifi NETGEAR conçus pour être utilisés à au moins 20 cm du corps humain. </w:t>
      </w:r>
    </w:p>
    <w:p w14:paraId="21CD469E" w14:textId="77777777" w:rsidR="00AD3F79" w:rsidRPr="00B97C7A" w:rsidRDefault="00AD3F79" w:rsidP="00AD3F79">
      <w:r>
        <w:t>Les produits NETGEAR sont conformes aux limites d'exposition aux rayonnements IC définies pour un environnement non contrôlé.  Lorsque vous installez et utilisez des produits NETGEAR, maintenez une distance minimale de 70 cm entre l'élément rayonnant et votre corps. Pour vérifier la distance minimale, pour plus d'informations et pour connaître le niveau de DAS le plus élevé mesuré pour cet appareil, reportez-vous à la rubrique Exposition radio à l'adresse suivante :</w:t>
      </w:r>
    </w:p>
    <w:p w14:paraId="5B1AE354" w14:textId="278DDD31" w:rsidR="00AD3F79" w:rsidRPr="00B97C7A" w:rsidRDefault="00F946ED" w:rsidP="00AD3F79">
      <w:hyperlink r:id="rId30" w:history="1">
        <w:r w:rsidR="00E63B27">
          <w:rPr>
            <w:rStyle w:val="Hyperlink"/>
          </w:rPr>
          <w:t>https://www.netgear.com/about/regulatory/</w:t>
        </w:r>
      </w:hyperlink>
    </w:p>
    <w:p w14:paraId="318FF5BE" w14:textId="77777777" w:rsidR="00AD3F79" w:rsidRPr="00B97C7A" w:rsidRDefault="00AD3F79" w:rsidP="00AD3F79">
      <w:pPr>
        <w:pStyle w:val="Heading2"/>
      </w:pPr>
      <w:bookmarkStart w:id="54" w:name="_Toc92220742"/>
      <w:bookmarkStart w:id="55" w:name="_Toc118968940"/>
      <w:r>
        <w:rPr>
          <w:rStyle w:val="Hyperlink"/>
        </w:rPr>
        <w:t>Règlement 522/20 de l'Ontario</w:t>
      </w:r>
      <w:bookmarkEnd w:id="54"/>
      <w:bookmarkEnd w:id="55"/>
      <w:r>
        <w:rPr>
          <w:rStyle w:val="Hyperlink"/>
        </w:rPr>
        <w:t xml:space="preserve"> </w:t>
      </w:r>
    </w:p>
    <w:p w14:paraId="7AD346E6" w14:textId="1B24FB98" w:rsidR="00AD3F79" w:rsidRPr="00B97C7A" w:rsidRDefault="00AD3F79" w:rsidP="00AD3F79">
      <w:pPr>
        <w:rPr>
          <w:rFonts w:asciiTheme="minorHAnsi" w:hAnsiTheme="minorHAnsi"/>
          <w:sz w:val="22"/>
        </w:rPr>
      </w:pPr>
      <w:r>
        <w:t xml:space="preserve">Les réglementations de l'Ontario sur les équipements électroniques et électriques (EEE) sont en vigueur à compter du 1er janvier 2021, en vertu de la loi sur le rétablissement des ressources et l'économie circulaire. NETGEAR s'acquitte de ses obligations par l'intermédiaire d'EPRA Ontario, son organisme de responsabilité des producteurs sélectionné.  Visitez le site web d'EPRA à l'adresse </w:t>
      </w:r>
      <w:hyperlink r:id="rId31" w:history="1">
        <w:r>
          <w:rPr>
            <w:rStyle w:val="Hyperlink"/>
          </w:rPr>
          <w:t>https://EPRAON.ca</w:t>
        </w:r>
      </w:hyperlink>
      <w:r>
        <w:t xml:space="preserve"> pour obtenir des informations sur la collecte des appareils électroniques en fin de vie et en savoir plus sur le programme.</w:t>
      </w:r>
    </w:p>
    <w:p w14:paraId="786F16B9" w14:textId="448C379F" w:rsidR="004E534D" w:rsidRPr="004E534D" w:rsidRDefault="004E534D" w:rsidP="00481C42">
      <w:pPr>
        <w:pStyle w:val="Heading2"/>
      </w:pPr>
      <w:bookmarkStart w:id="56" w:name="_Toc118968941"/>
      <w:r>
        <w:t>Tabelle für die Reduzierung von Funkstörungen</w:t>
      </w:r>
      <w:bookmarkEnd w:id="56"/>
    </w:p>
    <w:p w14:paraId="58C7A81F" w14:textId="77777777" w:rsidR="00CF6217" w:rsidRDefault="004E534D" w:rsidP="004E534D">
      <w:pPr>
        <w:rPr>
          <w:rFonts w:cs="Arial"/>
        </w:rPr>
      </w:pPr>
      <w:r>
        <w:t>In der nachfolgenden Tabelle wird der empfohlene Mindestabstand zwischen NETGEAR-Geräten und -Haushaltsgeräten zur Reduzierung von Funkstörungen angegeben (in Metern und Fuß).</w:t>
      </w:r>
    </w:p>
    <w:tbl>
      <w:tblPr>
        <w:tblStyle w:val="TableGrid"/>
        <w:tblW w:w="0" w:type="auto"/>
        <w:tblLook w:val="04A0" w:firstRow="1" w:lastRow="0" w:firstColumn="1" w:lastColumn="0" w:noHBand="0" w:noVBand="1"/>
      </w:tblPr>
      <w:tblGrid>
        <w:gridCol w:w="2628"/>
        <w:gridCol w:w="4860"/>
      </w:tblGrid>
      <w:tr w:rsidR="005F1BE8" w14:paraId="7E5F5953" w14:textId="77777777" w:rsidTr="005F1BE8">
        <w:tc>
          <w:tcPr>
            <w:tcW w:w="2628" w:type="dxa"/>
          </w:tcPr>
          <w:p w14:paraId="7E89A345" w14:textId="77777777" w:rsidR="005F1BE8" w:rsidRPr="005F1BE8" w:rsidRDefault="005F1BE8" w:rsidP="004E534D">
            <w:pPr>
              <w:rPr>
                <w:rStyle w:val="Strong"/>
              </w:rPr>
            </w:pPr>
            <w:r>
              <w:rPr>
                <w:rStyle w:val="Strong"/>
              </w:rPr>
              <w:t>Haushaltsgerät</w:t>
            </w:r>
          </w:p>
        </w:tc>
        <w:tc>
          <w:tcPr>
            <w:tcW w:w="4860" w:type="dxa"/>
          </w:tcPr>
          <w:p w14:paraId="0149917F" w14:textId="77777777" w:rsidR="005F1BE8" w:rsidRPr="005F1BE8" w:rsidRDefault="005F1BE8" w:rsidP="004E534D">
            <w:pPr>
              <w:rPr>
                <w:rStyle w:val="Strong"/>
              </w:rPr>
            </w:pPr>
            <w:r>
              <w:rPr>
                <w:rStyle w:val="Strong"/>
              </w:rPr>
              <w:t>Empfohlener Mindestabstand (in Metern und Fuß)</w:t>
            </w:r>
          </w:p>
        </w:tc>
      </w:tr>
      <w:tr w:rsidR="005F1BE8" w14:paraId="4E16B163" w14:textId="77777777" w:rsidTr="005F1BE8">
        <w:tc>
          <w:tcPr>
            <w:tcW w:w="2628" w:type="dxa"/>
          </w:tcPr>
          <w:p w14:paraId="2AF2BB18" w14:textId="77777777" w:rsidR="005F1BE8" w:rsidRDefault="005F1BE8" w:rsidP="004E534D">
            <w:pPr>
              <w:rPr>
                <w:rFonts w:cs="Arial"/>
              </w:rPr>
            </w:pPr>
            <w:r>
              <w:t>Mikrowellengeräte</w:t>
            </w:r>
          </w:p>
        </w:tc>
        <w:tc>
          <w:tcPr>
            <w:tcW w:w="4860" w:type="dxa"/>
          </w:tcPr>
          <w:p w14:paraId="3D0042FD" w14:textId="77777777" w:rsidR="005F1BE8" w:rsidRDefault="005F1BE8" w:rsidP="004E534D">
            <w:pPr>
              <w:rPr>
                <w:rFonts w:cs="Arial"/>
              </w:rPr>
            </w:pPr>
            <w:r>
              <w:t>9 m (30 ft)</w:t>
            </w:r>
          </w:p>
        </w:tc>
      </w:tr>
      <w:tr w:rsidR="005F1BE8" w14:paraId="65ED3EE4" w14:textId="77777777" w:rsidTr="005F1BE8">
        <w:tc>
          <w:tcPr>
            <w:tcW w:w="2628" w:type="dxa"/>
          </w:tcPr>
          <w:p w14:paraId="579FF5C2" w14:textId="77777777" w:rsidR="005F1BE8" w:rsidRDefault="005F1BE8" w:rsidP="005F1BE8">
            <w:pPr>
              <w:rPr>
                <w:rFonts w:cs="Arial"/>
              </w:rPr>
            </w:pPr>
            <w:r>
              <w:lastRenderedPageBreak/>
              <w:t>Babyfon – analog</w:t>
            </w:r>
          </w:p>
        </w:tc>
        <w:tc>
          <w:tcPr>
            <w:tcW w:w="4860" w:type="dxa"/>
          </w:tcPr>
          <w:p w14:paraId="2EA408AA" w14:textId="77777777" w:rsidR="005F1BE8" w:rsidRDefault="005F1BE8" w:rsidP="004E534D">
            <w:pPr>
              <w:rPr>
                <w:rFonts w:cs="Arial"/>
              </w:rPr>
            </w:pPr>
            <w:r>
              <w:t>6 m (20 ft)</w:t>
            </w:r>
          </w:p>
        </w:tc>
      </w:tr>
      <w:tr w:rsidR="005F1BE8" w14:paraId="0697B684" w14:textId="77777777" w:rsidTr="005F1BE8">
        <w:tc>
          <w:tcPr>
            <w:tcW w:w="2628" w:type="dxa"/>
          </w:tcPr>
          <w:p w14:paraId="5992A890" w14:textId="77777777" w:rsidR="005F1BE8" w:rsidRDefault="005F1BE8" w:rsidP="005F1BE8">
            <w:pPr>
              <w:rPr>
                <w:rFonts w:cs="Arial"/>
              </w:rPr>
            </w:pPr>
            <w:r>
              <w:t>Babyfon – digital</w:t>
            </w:r>
          </w:p>
        </w:tc>
        <w:tc>
          <w:tcPr>
            <w:tcW w:w="4860" w:type="dxa"/>
          </w:tcPr>
          <w:p w14:paraId="6A598031" w14:textId="77777777" w:rsidR="005F1BE8" w:rsidRDefault="005F1BE8" w:rsidP="004E534D">
            <w:pPr>
              <w:rPr>
                <w:rFonts w:cs="Arial"/>
              </w:rPr>
            </w:pPr>
            <w:r>
              <w:t>12 m (40 ft)</w:t>
            </w:r>
          </w:p>
        </w:tc>
      </w:tr>
      <w:tr w:rsidR="005F1BE8" w14:paraId="6A7830FB" w14:textId="77777777" w:rsidTr="005F1BE8">
        <w:tc>
          <w:tcPr>
            <w:tcW w:w="2628" w:type="dxa"/>
          </w:tcPr>
          <w:p w14:paraId="054189D9" w14:textId="77777777" w:rsidR="005F1BE8" w:rsidRDefault="005F1BE8" w:rsidP="005F1BE8">
            <w:pPr>
              <w:rPr>
                <w:rFonts w:cs="Arial"/>
              </w:rPr>
            </w:pPr>
            <w:r>
              <w:t>Schnurloses Telefon – analog</w:t>
            </w:r>
          </w:p>
        </w:tc>
        <w:tc>
          <w:tcPr>
            <w:tcW w:w="4860" w:type="dxa"/>
          </w:tcPr>
          <w:p w14:paraId="3E51FD88" w14:textId="77777777" w:rsidR="005F1BE8" w:rsidRDefault="005F1BE8" w:rsidP="004E534D">
            <w:pPr>
              <w:rPr>
                <w:rFonts w:cs="Arial"/>
              </w:rPr>
            </w:pPr>
            <w:r>
              <w:t>6 m (20 ft)</w:t>
            </w:r>
          </w:p>
        </w:tc>
      </w:tr>
      <w:tr w:rsidR="005F1BE8" w14:paraId="4B716B4D" w14:textId="77777777" w:rsidTr="005F1BE8">
        <w:tc>
          <w:tcPr>
            <w:tcW w:w="2628" w:type="dxa"/>
          </w:tcPr>
          <w:p w14:paraId="1FFC0093" w14:textId="77777777" w:rsidR="005F1BE8" w:rsidRDefault="005F1BE8" w:rsidP="005F1BE8">
            <w:pPr>
              <w:rPr>
                <w:rFonts w:cs="Arial"/>
              </w:rPr>
            </w:pPr>
            <w:r>
              <w:t>Schnurloses Telefon – digital</w:t>
            </w:r>
          </w:p>
        </w:tc>
        <w:tc>
          <w:tcPr>
            <w:tcW w:w="4860" w:type="dxa"/>
          </w:tcPr>
          <w:p w14:paraId="21AED6C1" w14:textId="77777777" w:rsidR="005F1BE8" w:rsidRDefault="005F1BE8" w:rsidP="004E534D">
            <w:pPr>
              <w:rPr>
                <w:rFonts w:cs="Arial"/>
              </w:rPr>
            </w:pPr>
            <w:r>
              <w:t>9 m (30 ft)</w:t>
            </w:r>
          </w:p>
        </w:tc>
      </w:tr>
      <w:tr w:rsidR="005F1BE8" w14:paraId="73845CA7" w14:textId="77777777" w:rsidTr="005F1BE8">
        <w:tc>
          <w:tcPr>
            <w:tcW w:w="2628" w:type="dxa"/>
          </w:tcPr>
          <w:p w14:paraId="592E43DC" w14:textId="77777777" w:rsidR="005F1BE8" w:rsidRDefault="005F1BE8" w:rsidP="004E534D">
            <w:pPr>
              <w:rPr>
                <w:rFonts w:cs="Arial"/>
              </w:rPr>
            </w:pPr>
            <w:r>
              <w:t>Bluetooth-Geräte</w:t>
            </w:r>
          </w:p>
        </w:tc>
        <w:tc>
          <w:tcPr>
            <w:tcW w:w="4860" w:type="dxa"/>
          </w:tcPr>
          <w:p w14:paraId="5EEE356C" w14:textId="77777777" w:rsidR="005F1BE8" w:rsidRDefault="005F1BE8" w:rsidP="004E534D">
            <w:pPr>
              <w:rPr>
                <w:rFonts w:cs="Arial"/>
              </w:rPr>
            </w:pPr>
            <w:r>
              <w:t>6 m (20 ft)</w:t>
            </w:r>
          </w:p>
        </w:tc>
      </w:tr>
      <w:tr w:rsidR="005F1BE8" w14:paraId="153DF800" w14:textId="77777777" w:rsidTr="005F1BE8">
        <w:tc>
          <w:tcPr>
            <w:tcW w:w="2628" w:type="dxa"/>
          </w:tcPr>
          <w:p w14:paraId="37E36C81" w14:textId="77777777" w:rsidR="005F1BE8" w:rsidRDefault="005F1BE8" w:rsidP="004E534D">
            <w:pPr>
              <w:rPr>
                <w:rFonts w:cs="Arial"/>
              </w:rPr>
            </w:pPr>
            <w:r>
              <w:t>ZigBee</w:t>
            </w:r>
          </w:p>
        </w:tc>
        <w:tc>
          <w:tcPr>
            <w:tcW w:w="4860" w:type="dxa"/>
          </w:tcPr>
          <w:p w14:paraId="2AC651D4" w14:textId="77777777" w:rsidR="005F1BE8" w:rsidRDefault="005F1BE8" w:rsidP="004E534D">
            <w:pPr>
              <w:rPr>
                <w:rFonts w:cs="Arial"/>
              </w:rPr>
            </w:pPr>
            <w:r>
              <w:t>6 m (20 ft)</w:t>
            </w:r>
          </w:p>
        </w:tc>
      </w:tr>
    </w:tbl>
    <w:p w14:paraId="14E6D1FC" w14:textId="77777777" w:rsidR="00AE4C00" w:rsidRDefault="00AE4C00" w:rsidP="00481C42">
      <w:pPr>
        <w:pStyle w:val="Heading1"/>
      </w:pPr>
      <w:bookmarkStart w:id="57" w:name="_Toc118968942"/>
      <w:r>
        <w:t>ANFORDERUNGEN AN DIE VERPACKUNG VON LITHIUM-IONEN-AKKUS UND LITHIUM-METALL-BATTERIEN</w:t>
      </w:r>
      <w:bookmarkEnd w:id="57"/>
      <w:r>
        <w:t xml:space="preserve"> </w:t>
      </w:r>
    </w:p>
    <w:p w14:paraId="76126632" w14:textId="77777777" w:rsidR="00AE4C00" w:rsidRPr="001B46B7" w:rsidRDefault="00AE4C00" w:rsidP="003B28A1">
      <w:pPr>
        <w:rPr>
          <w:color w:val="FF0000"/>
        </w:rPr>
      </w:pPr>
      <w:bookmarkStart w:id="58" w:name="_Toc387244359"/>
      <w:r>
        <w:t xml:space="preserve">Aufgrund der Bedenken hinsichtlich des Versands von Produkten mit Li-Ionen-Akkus und Li-Metall-Batterien hat die UNO Richtlinien für die ordnungsgemäße Prüfung, Verpackung und Kennzeichnung dieser Geräte entwickelt. </w:t>
      </w:r>
    </w:p>
    <w:p w14:paraId="3AE7739A" w14:textId="77777777" w:rsidR="00F750E6" w:rsidRDefault="00F750E6" w:rsidP="00481C42">
      <w:pPr>
        <w:pStyle w:val="Heading3"/>
      </w:pPr>
      <w:bookmarkStart w:id="59" w:name="_Toc118968943"/>
      <w:r>
        <w:t>Li-Ionen-Akkus und Li-Metall-Batterien</w:t>
      </w:r>
      <w:bookmarkEnd w:id="58"/>
      <w:bookmarkEnd w:id="59"/>
    </w:p>
    <w:p w14:paraId="5C4ABEAC" w14:textId="77777777" w:rsidR="00AE4C00" w:rsidRDefault="00AE4C00" w:rsidP="003B28A1">
      <w:bookmarkStart w:id="60" w:name="_Toc387244360"/>
      <w:r>
        <w:t xml:space="preserve">Li-Ionen-Akkus sind in der Regel wiederaufladbar, während Li-Metall-Batterien normalerweise nicht wiederaufladbar sind. Beide Akku-/Batterietypen können bei Beschädigung oder unsachgemäßer Verpackung eine Brandgefahr verursachen. </w:t>
      </w:r>
    </w:p>
    <w:p w14:paraId="3A81C39F" w14:textId="1A3A6C0D" w:rsidR="00906EAF" w:rsidRDefault="00906EAF" w:rsidP="00481C42">
      <w:pPr>
        <w:pStyle w:val="Heading3"/>
      </w:pPr>
      <w:bookmarkStart w:id="61" w:name="_Toc118968944"/>
      <w:r>
        <w:t>Kennzeichnungsanforderungen für Li-Ionen-Akkus und Li-Metall-Batterien</w:t>
      </w:r>
      <w:bookmarkEnd w:id="60"/>
      <w:bookmarkEnd w:id="61"/>
    </w:p>
    <w:p w14:paraId="1F3A7D43" w14:textId="77777777" w:rsidR="00AE4C00" w:rsidRDefault="00AE4C00" w:rsidP="00906EAF">
      <w:r>
        <w:t>Die vorgeschriebenen Kennzeichnungen müssen auf den jeweiligen Paletten und dem Umkarton vorhanden sein. Darüber hinaus muss ein Dokument wie z. B. ein Luftfrachtbrief oder ein anderes Dokument vorliegen, das folgende Angaben enthält (Lithium Battery Guidance Document 2014):</w:t>
      </w:r>
    </w:p>
    <w:p w14:paraId="21E4264B" w14:textId="77777777" w:rsidR="00AE4C00" w:rsidRDefault="00AE4C00" w:rsidP="00AE4C00">
      <w:pPr>
        <w:pStyle w:val="ListParagraph"/>
        <w:numPr>
          <w:ilvl w:val="0"/>
          <w:numId w:val="23"/>
        </w:numPr>
      </w:pPr>
      <w:r>
        <w:t>Die Verpackung enthält Lithium-Ionen-Zellen oder -Akkus/-Batterien;</w:t>
      </w:r>
    </w:p>
    <w:p w14:paraId="489DD281" w14:textId="77777777" w:rsidR="00AE4C00" w:rsidRDefault="00AE4C00" w:rsidP="00AE4C00">
      <w:pPr>
        <w:pStyle w:val="ListParagraph"/>
        <w:numPr>
          <w:ilvl w:val="0"/>
          <w:numId w:val="23"/>
        </w:numPr>
      </w:pPr>
      <w:r>
        <w:t>Die Verpackung muss vorsichtig angepackt werden, und es besteht die Gefahr der Entflammbarkeit, wenn das Versandstück beschädigt wird.</w:t>
      </w:r>
    </w:p>
    <w:p w14:paraId="69A16EBC" w14:textId="77777777" w:rsidR="00AE4C00" w:rsidRDefault="00AE4C00" w:rsidP="00AE4C00">
      <w:pPr>
        <w:pStyle w:val="ListParagraph"/>
        <w:numPr>
          <w:ilvl w:val="0"/>
          <w:numId w:val="23"/>
        </w:numPr>
      </w:pPr>
      <w:r>
        <w:t>Besondere Verfahren, die im Falle einer Beschädigung der Verpackung einzuhalten sind</w:t>
      </w:r>
    </w:p>
    <w:p w14:paraId="71221443" w14:textId="77777777" w:rsidR="00AE4C00" w:rsidRDefault="00AE4C00" w:rsidP="00AE4C00">
      <w:pPr>
        <w:pStyle w:val="ListParagraph"/>
        <w:numPr>
          <w:ilvl w:val="0"/>
          <w:numId w:val="23"/>
        </w:numPr>
      </w:pPr>
      <w:r>
        <w:t>Kontaktinformationen</w:t>
      </w:r>
    </w:p>
    <w:p w14:paraId="437032BE" w14:textId="77777777" w:rsidR="00AE4C00" w:rsidRDefault="00AE4C00" w:rsidP="00AE4C00">
      <w:r>
        <w:t>Laut den IATA-Gefahrgutvorschriften gelten unterschiedliche Kennzeichnungen für unterschiedliche Wattstunden für Li-Ion und unterschiedliche Masse für Li-Metall. Die Berechnung für Watt-Stunden erfolgt folgendermaßen:</w:t>
      </w:r>
    </w:p>
    <w:p w14:paraId="42578C26" w14:textId="77777777" w:rsidR="00AE4C00" w:rsidRDefault="00AE4C00" w:rsidP="00AE4C00">
      <w:pPr>
        <w:ind w:firstLine="720"/>
      </w:pPr>
      <w:r>
        <w:t>Nennspannung x Nennkapazität (Ah) = Wattstunden</w:t>
      </w:r>
    </w:p>
    <w:p w14:paraId="33A86193" w14:textId="77777777" w:rsidR="00AE4C00" w:rsidRDefault="00AE4C00" w:rsidP="00AE4C00">
      <w:r>
        <w:t>Die Volt- und Ampere-Angaben sind im Datenblatt des Akkus / der Batterie zu finden.</w:t>
      </w:r>
    </w:p>
    <w:p w14:paraId="5DB42116" w14:textId="77777777" w:rsidR="004217DC" w:rsidRDefault="00AE4C00" w:rsidP="00906EAF">
      <w:r>
        <w:t>Welche Kennzeichnung zu verwenden ist, entnehmen Sie bitte der nachstehenden Tabelle.</w:t>
      </w:r>
    </w:p>
    <w:tbl>
      <w:tblPr>
        <w:tblW w:w="10736"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3134"/>
        <w:gridCol w:w="1841"/>
        <w:gridCol w:w="3103"/>
      </w:tblGrid>
      <w:tr w:rsidR="00AE4C00" w:rsidRPr="00906EAF" w14:paraId="0749C967" w14:textId="77777777" w:rsidTr="003F20E8">
        <w:trPr>
          <w:trHeight w:val="310"/>
        </w:trPr>
        <w:tc>
          <w:tcPr>
            <w:tcW w:w="10736" w:type="dxa"/>
            <w:gridSpan w:val="4"/>
            <w:shd w:val="clear" w:color="auto" w:fill="auto"/>
            <w:noWrap/>
            <w:hideMark/>
          </w:tcPr>
          <w:p w14:paraId="62663D47" w14:textId="77777777" w:rsidR="00AE4C00" w:rsidRPr="008554B1" w:rsidRDefault="00AE4C00" w:rsidP="00AE4C00">
            <w:r>
              <w:t>Erforderliche Kennzeichnungen für den Batterietransport (UN Handbuch Prüfungen und Kriterien Teil III Unterabschnitt 38.3)</w:t>
            </w:r>
          </w:p>
        </w:tc>
      </w:tr>
      <w:tr w:rsidR="00AE4C00" w:rsidRPr="00906EAF" w14:paraId="4B2BE956" w14:textId="77777777" w:rsidTr="003F20E8">
        <w:trPr>
          <w:trHeight w:val="296"/>
        </w:trPr>
        <w:tc>
          <w:tcPr>
            <w:tcW w:w="10736" w:type="dxa"/>
            <w:gridSpan w:val="4"/>
            <w:shd w:val="clear" w:color="auto" w:fill="auto"/>
            <w:noWrap/>
            <w:hideMark/>
          </w:tcPr>
          <w:p w14:paraId="34C02A84" w14:textId="77777777" w:rsidR="00AE4C00" w:rsidRDefault="00AE4C00" w:rsidP="00AE4C00">
            <w:pPr>
              <w:jc w:val="center"/>
            </w:pPr>
            <w:r>
              <w:t>Anforderungen an die Kennzeichnung von Li-Ionen-Akkus</w:t>
            </w:r>
          </w:p>
        </w:tc>
      </w:tr>
      <w:tr w:rsidR="00906EAF" w:rsidRPr="00906EAF" w14:paraId="6B16ACE7" w14:textId="77777777" w:rsidTr="003F20E8">
        <w:trPr>
          <w:trHeight w:val="296"/>
        </w:trPr>
        <w:tc>
          <w:tcPr>
            <w:tcW w:w="2658" w:type="dxa"/>
            <w:shd w:val="clear" w:color="auto" w:fill="auto"/>
            <w:noWrap/>
            <w:hideMark/>
          </w:tcPr>
          <w:p w14:paraId="6EA36AD8" w14:textId="77777777" w:rsidR="00906EAF" w:rsidRPr="00906EAF" w:rsidRDefault="00906EAF" w:rsidP="00AE4C00">
            <w:pPr>
              <w:rPr>
                <w:rFonts w:cs="Arial"/>
                <w:b/>
                <w:bCs/>
                <w:color w:val="000000"/>
                <w:szCs w:val="18"/>
              </w:rPr>
            </w:pPr>
            <w:r>
              <w:rPr>
                <w:b/>
                <w:color w:val="000000"/>
              </w:rPr>
              <w:t>Versand der Batterie / des Akkus</w:t>
            </w:r>
          </w:p>
        </w:tc>
        <w:tc>
          <w:tcPr>
            <w:tcW w:w="3134" w:type="dxa"/>
            <w:shd w:val="clear" w:color="auto" w:fill="auto"/>
            <w:noWrap/>
            <w:hideMark/>
          </w:tcPr>
          <w:p w14:paraId="0E46E22C" w14:textId="77777777" w:rsidR="00906EAF" w:rsidRPr="00906EAF" w:rsidRDefault="00906EAF" w:rsidP="00AE4C00">
            <w:pPr>
              <w:rPr>
                <w:rFonts w:cs="Arial"/>
                <w:b/>
                <w:bCs/>
                <w:color w:val="000000"/>
                <w:szCs w:val="18"/>
              </w:rPr>
            </w:pPr>
            <w:r>
              <w:rPr>
                <w:b/>
                <w:color w:val="000000"/>
              </w:rPr>
              <w:t>Wh (Wattstunde)</w:t>
            </w:r>
          </w:p>
        </w:tc>
        <w:tc>
          <w:tcPr>
            <w:tcW w:w="1841" w:type="dxa"/>
            <w:shd w:val="clear" w:color="auto" w:fill="auto"/>
            <w:noWrap/>
            <w:hideMark/>
          </w:tcPr>
          <w:p w14:paraId="505F75A5" w14:textId="77777777" w:rsidR="00906EAF" w:rsidRPr="00906EAF" w:rsidRDefault="00906EAF" w:rsidP="00AE4C00">
            <w:pPr>
              <w:rPr>
                <w:rFonts w:cs="Arial"/>
                <w:b/>
                <w:bCs/>
                <w:color w:val="000000"/>
                <w:szCs w:val="18"/>
              </w:rPr>
            </w:pPr>
            <w:r>
              <w:rPr>
                <w:b/>
                <w:color w:val="000000"/>
              </w:rPr>
              <w:t>Beschriftung</w:t>
            </w:r>
          </w:p>
        </w:tc>
        <w:tc>
          <w:tcPr>
            <w:tcW w:w="3103" w:type="dxa"/>
            <w:shd w:val="clear" w:color="auto" w:fill="auto"/>
            <w:noWrap/>
            <w:hideMark/>
          </w:tcPr>
          <w:p w14:paraId="7931159A" w14:textId="77777777" w:rsidR="00906EAF" w:rsidRPr="00906EAF" w:rsidRDefault="00906EAF" w:rsidP="00AE4C00">
            <w:pPr>
              <w:rPr>
                <w:rFonts w:cs="Arial"/>
                <w:b/>
                <w:color w:val="000000"/>
                <w:szCs w:val="18"/>
              </w:rPr>
            </w:pPr>
            <w:r>
              <w:rPr>
                <w:b/>
                <w:color w:val="000000"/>
              </w:rPr>
              <w:t>Grenzwert Batterie- bzw. Akkugewicht / Packstück</w:t>
            </w:r>
          </w:p>
        </w:tc>
      </w:tr>
      <w:tr w:rsidR="00AE4C00" w:rsidRPr="00906EAF" w14:paraId="6239F90C" w14:textId="77777777" w:rsidTr="00DE7838">
        <w:trPr>
          <w:trHeight w:val="575"/>
        </w:trPr>
        <w:tc>
          <w:tcPr>
            <w:tcW w:w="2658" w:type="dxa"/>
            <w:shd w:val="clear" w:color="auto" w:fill="auto"/>
            <w:noWrap/>
            <w:hideMark/>
          </w:tcPr>
          <w:p w14:paraId="5FF412C7" w14:textId="77777777" w:rsidR="00AE4C00" w:rsidRPr="004B037D" w:rsidRDefault="00AE4C00" w:rsidP="00AE4C00">
            <w:r>
              <w:t>Im Gerät enthalten (im Gerät eingebaut)</w:t>
            </w:r>
          </w:p>
        </w:tc>
        <w:tc>
          <w:tcPr>
            <w:tcW w:w="3134" w:type="dxa"/>
            <w:shd w:val="clear" w:color="auto" w:fill="auto"/>
            <w:noWrap/>
            <w:hideMark/>
          </w:tcPr>
          <w:p w14:paraId="318135AF" w14:textId="77777777" w:rsidR="00AE4C00" w:rsidRPr="00D172DD" w:rsidRDefault="00DE7838" w:rsidP="00AE4C00">
            <w:r>
              <w:t>Gleich oder kleiner als 100 Wh</w:t>
            </w:r>
          </w:p>
        </w:tc>
        <w:tc>
          <w:tcPr>
            <w:tcW w:w="1841" w:type="dxa"/>
            <w:shd w:val="clear" w:color="auto" w:fill="auto"/>
            <w:noWrap/>
            <w:hideMark/>
          </w:tcPr>
          <w:p w14:paraId="44F548CD" w14:textId="77777777" w:rsidR="00AE4C00" w:rsidRPr="005620DB" w:rsidRDefault="00DE7838" w:rsidP="00AE4C00">
            <w:r>
              <w:t>Abbildung 12 oder 13</w:t>
            </w:r>
          </w:p>
        </w:tc>
        <w:tc>
          <w:tcPr>
            <w:tcW w:w="3103" w:type="dxa"/>
            <w:shd w:val="clear" w:color="auto" w:fill="auto"/>
            <w:hideMark/>
          </w:tcPr>
          <w:p w14:paraId="10F6AC3A" w14:textId="77777777" w:rsidR="00AE4C00" w:rsidRPr="00906EAF" w:rsidRDefault="00816D3E" w:rsidP="00AE4C00">
            <w:pPr>
              <w:rPr>
                <w:rFonts w:cs="Arial"/>
                <w:color w:val="000000"/>
                <w:szCs w:val="18"/>
              </w:rPr>
            </w:pPr>
            <w:r>
              <w:rPr>
                <w:color w:val="000000"/>
              </w:rPr>
              <w:t>PAX = 5 kg</w:t>
            </w:r>
            <w:r>
              <w:rPr>
                <w:color w:val="000000"/>
              </w:rPr>
              <w:br/>
              <w:t>CAO = 5kg</w:t>
            </w:r>
          </w:p>
        </w:tc>
      </w:tr>
      <w:tr w:rsidR="00AE4C00" w:rsidRPr="00906EAF" w14:paraId="103BF945" w14:textId="77777777" w:rsidTr="003F20E8">
        <w:trPr>
          <w:trHeight w:val="1259"/>
        </w:trPr>
        <w:tc>
          <w:tcPr>
            <w:tcW w:w="2658" w:type="dxa"/>
            <w:shd w:val="clear" w:color="auto" w:fill="auto"/>
            <w:noWrap/>
            <w:hideMark/>
          </w:tcPr>
          <w:p w14:paraId="6514223D" w14:textId="77777777" w:rsidR="00AE4C00" w:rsidRPr="004B037D" w:rsidRDefault="00AE4C00" w:rsidP="00AE4C00">
            <w:r>
              <w:t>Eigenständig</w:t>
            </w:r>
          </w:p>
          <w:p w14:paraId="5072790B" w14:textId="77777777" w:rsidR="00AE4C00" w:rsidRPr="004B037D" w:rsidRDefault="00AE4C00" w:rsidP="00AE4C00"/>
        </w:tc>
        <w:tc>
          <w:tcPr>
            <w:tcW w:w="3134" w:type="dxa"/>
            <w:shd w:val="clear" w:color="auto" w:fill="auto"/>
            <w:noWrap/>
          </w:tcPr>
          <w:p w14:paraId="529A70A3" w14:textId="77777777" w:rsidR="00AE4C00" w:rsidRPr="00D172DD" w:rsidRDefault="00AE4C00" w:rsidP="00AE4C00">
            <w:r>
              <w:t>Gleich oder kleiner als 100 Wh</w:t>
            </w:r>
          </w:p>
          <w:p w14:paraId="09E00EA9" w14:textId="77777777" w:rsidR="00AE4C00" w:rsidRPr="00D172DD" w:rsidRDefault="00AE4C00" w:rsidP="00AE4C00"/>
        </w:tc>
        <w:tc>
          <w:tcPr>
            <w:tcW w:w="1841" w:type="dxa"/>
            <w:shd w:val="clear" w:color="auto" w:fill="auto"/>
            <w:noWrap/>
            <w:hideMark/>
          </w:tcPr>
          <w:p w14:paraId="739F1D04" w14:textId="77777777" w:rsidR="00AE4C00" w:rsidRPr="005620DB" w:rsidRDefault="00AE4C00" w:rsidP="00AE4C00">
            <w:r>
              <w:t>Abbildung 12 oder 13</w:t>
            </w:r>
          </w:p>
          <w:p w14:paraId="3A29286D" w14:textId="77777777" w:rsidR="00AE4C00" w:rsidRPr="005620DB" w:rsidRDefault="00AE4C00" w:rsidP="00AE4C00"/>
        </w:tc>
        <w:tc>
          <w:tcPr>
            <w:tcW w:w="3103" w:type="dxa"/>
            <w:shd w:val="clear" w:color="auto" w:fill="auto"/>
            <w:hideMark/>
          </w:tcPr>
          <w:p w14:paraId="5800AEBE" w14:textId="77777777" w:rsidR="00AE4C00" w:rsidRPr="00AE4C00" w:rsidRDefault="00AE4C00" w:rsidP="00AE4C00">
            <w:pPr>
              <w:rPr>
                <w:rFonts w:cs="Arial"/>
                <w:color w:val="000000"/>
                <w:szCs w:val="18"/>
              </w:rPr>
            </w:pPr>
            <w:r>
              <w:rPr>
                <w:color w:val="000000"/>
              </w:rPr>
              <w:t>Gleich oder kleiner als 2,7 Wh = 2,5 kg</w:t>
            </w:r>
          </w:p>
          <w:p w14:paraId="2D3CA45D" w14:textId="77777777" w:rsidR="00AE4C00" w:rsidRPr="00AE4C00" w:rsidRDefault="00AE4C00" w:rsidP="00AE4C00">
            <w:pPr>
              <w:rPr>
                <w:rFonts w:cs="Arial"/>
                <w:color w:val="000000"/>
                <w:szCs w:val="18"/>
              </w:rPr>
            </w:pPr>
            <w:r>
              <w:rPr>
                <w:color w:val="000000"/>
              </w:rPr>
              <w:t>ODER</w:t>
            </w:r>
          </w:p>
          <w:p w14:paraId="0A7A487F" w14:textId="77777777" w:rsidR="00AE4C00" w:rsidRPr="00906EAF" w:rsidRDefault="00AE4C00" w:rsidP="00AE4C00">
            <w:pPr>
              <w:rPr>
                <w:rFonts w:cs="Arial"/>
                <w:color w:val="000000"/>
                <w:szCs w:val="18"/>
              </w:rPr>
            </w:pPr>
            <w:r>
              <w:rPr>
                <w:color w:val="000000"/>
              </w:rPr>
              <w:lastRenderedPageBreak/>
              <w:t>Größer als 2,7 Wh, aber kleiner als 100 Wh = 2 Akkus/Batterien</w:t>
            </w:r>
          </w:p>
        </w:tc>
      </w:tr>
      <w:tr w:rsidR="00AE4C00" w:rsidRPr="00906EAF" w14:paraId="3999BF4B" w14:textId="77777777" w:rsidTr="003F20E8">
        <w:trPr>
          <w:trHeight w:val="800"/>
        </w:trPr>
        <w:tc>
          <w:tcPr>
            <w:tcW w:w="2658" w:type="dxa"/>
            <w:shd w:val="clear" w:color="auto" w:fill="auto"/>
            <w:noWrap/>
            <w:hideMark/>
          </w:tcPr>
          <w:p w14:paraId="67D68A54" w14:textId="77777777" w:rsidR="00AE4C00" w:rsidRPr="004B037D" w:rsidRDefault="00AE4C00" w:rsidP="00AE4C00">
            <w:r>
              <w:lastRenderedPageBreak/>
              <w:t>Separat mit dem Gerät verpackt (nicht im Gerät eingebaut)</w:t>
            </w:r>
          </w:p>
        </w:tc>
        <w:tc>
          <w:tcPr>
            <w:tcW w:w="3134" w:type="dxa"/>
            <w:shd w:val="clear" w:color="auto" w:fill="auto"/>
            <w:noWrap/>
            <w:hideMark/>
          </w:tcPr>
          <w:p w14:paraId="2C85B68C" w14:textId="77777777" w:rsidR="00AE4C00" w:rsidRPr="00D172DD" w:rsidRDefault="00AE4C00" w:rsidP="00AE4C00">
            <w:r>
              <w:t>Gleich oder kleiner als 100 Wh</w:t>
            </w:r>
          </w:p>
        </w:tc>
        <w:tc>
          <w:tcPr>
            <w:tcW w:w="1841" w:type="dxa"/>
            <w:shd w:val="clear" w:color="auto" w:fill="auto"/>
            <w:noWrap/>
            <w:hideMark/>
          </w:tcPr>
          <w:p w14:paraId="20B8E045" w14:textId="77777777" w:rsidR="00AE4C00" w:rsidRPr="005620DB" w:rsidRDefault="00AE4C00" w:rsidP="00AE4C00">
            <w:r>
              <w:t>Abbildung 12 oder 13</w:t>
            </w:r>
          </w:p>
          <w:p w14:paraId="6F806E83" w14:textId="77777777" w:rsidR="00AE4C00" w:rsidRPr="005620DB" w:rsidRDefault="00AE4C00" w:rsidP="00AE4C00"/>
        </w:tc>
        <w:tc>
          <w:tcPr>
            <w:tcW w:w="3103" w:type="dxa"/>
            <w:shd w:val="clear" w:color="auto" w:fill="auto"/>
            <w:hideMark/>
          </w:tcPr>
          <w:p w14:paraId="2D1C8151" w14:textId="77777777" w:rsidR="00AE4C00" w:rsidRPr="00906EAF" w:rsidRDefault="00816D3E" w:rsidP="00AE4C00">
            <w:pPr>
              <w:rPr>
                <w:rFonts w:cs="Arial"/>
                <w:color w:val="000000"/>
                <w:szCs w:val="18"/>
              </w:rPr>
            </w:pPr>
            <w:r>
              <w:rPr>
                <w:color w:val="000000"/>
              </w:rPr>
              <w:t>PAX = 5 kg</w:t>
            </w:r>
            <w:r>
              <w:rPr>
                <w:color w:val="000000"/>
              </w:rPr>
              <w:br/>
              <w:t>CAO = 5kg</w:t>
            </w:r>
          </w:p>
        </w:tc>
      </w:tr>
      <w:tr w:rsidR="00906EAF" w:rsidRPr="00DE7838" w14:paraId="3F7C37A0" w14:textId="77777777" w:rsidTr="003F20E8">
        <w:trPr>
          <w:trHeight w:val="296"/>
        </w:trPr>
        <w:tc>
          <w:tcPr>
            <w:tcW w:w="10736" w:type="dxa"/>
            <w:gridSpan w:val="4"/>
            <w:shd w:val="clear" w:color="auto" w:fill="auto"/>
            <w:noWrap/>
            <w:hideMark/>
          </w:tcPr>
          <w:p w14:paraId="5A4C62EE" w14:textId="77777777" w:rsidR="00906EAF" w:rsidRPr="00DE7838" w:rsidRDefault="00906EAF" w:rsidP="00906EAF">
            <w:pPr>
              <w:jc w:val="center"/>
              <w:rPr>
                <w:rFonts w:cs="Arial"/>
                <w:bCs/>
                <w:color w:val="000000"/>
                <w:szCs w:val="18"/>
              </w:rPr>
            </w:pPr>
            <w:r>
              <w:rPr>
                <w:color w:val="000000"/>
              </w:rPr>
              <w:t>Anforderungen an die Kennzeichnung von Li- Metall-Batterien</w:t>
            </w:r>
          </w:p>
        </w:tc>
      </w:tr>
      <w:tr w:rsidR="00906EAF" w:rsidRPr="00906EAF" w14:paraId="05DEE4BF" w14:textId="77777777" w:rsidTr="003F20E8">
        <w:trPr>
          <w:trHeight w:val="296"/>
        </w:trPr>
        <w:tc>
          <w:tcPr>
            <w:tcW w:w="2658" w:type="dxa"/>
            <w:shd w:val="clear" w:color="auto" w:fill="auto"/>
            <w:noWrap/>
            <w:hideMark/>
          </w:tcPr>
          <w:p w14:paraId="1B6ED5EF" w14:textId="77777777" w:rsidR="00906EAF" w:rsidRPr="00906EAF" w:rsidRDefault="00906EAF" w:rsidP="00816D3E">
            <w:pPr>
              <w:rPr>
                <w:rFonts w:cs="Arial"/>
                <w:b/>
                <w:bCs/>
                <w:color w:val="000000"/>
                <w:szCs w:val="18"/>
              </w:rPr>
            </w:pPr>
            <w:r>
              <w:rPr>
                <w:b/>
                <w:color w:val="000000"/>
              </w:rPr>
              <w:t>Versand der Batterie / des Akkus</w:t>
            </w:r>
          </w:p>
        </w:tc>
        <w:tc>
          <w:tcPr>
            <w:tcW w:w="3134" w:type="dxa"/>
            <w:shd w:val="clear" w:color="auto" w:fill="auto"/>
            <w:noWrap/>
            <w:hideMark/>
          </w:tcPr>
          <w:p w14:paraId="0611FF61" w14:textId="77777777" w:rsidR="00906EAF" w:rsidRPr="00906EAF" w:rsidRDefault="00816D3E" w:rsidP="00816D3E">
            <w:pPr>
              <w:rPr>
                <w:rFonts w:cs="Arial"/>
                <w:b/>
                <w:bCs/>
                <w:color w:val="000000"/>
                <w:szCs w:val="18"/>
              </w:rPr>
            </w:pPr>
            <w:r>
              <w:rPr>
                <w:b/>
                <w:color w:val="000000"/>
              </w:rPr>
              <w:t>Masse des Lithiummetalls der Batterie</w:t>
            </w:r>
          </w:p>
        </w:tc>
        <w:tc>
          <w:tcPr>
            <w:tcW w:w="1841" w:type="dxa"/>
            <w:shd w:val="clear" w:color="auto" w:fill="auto"/>
            <w:noWrap/>
            <w:hideMark/>
          </w:tcPr>
          <w:p w14:paraId="7B7EDFA3" w14:textId="77777777" w:rsidR="00906EAF" w:rsidRPr="00906EAF" w:rsidRDefault="00906EAF" w:rsidP="00816D3E">
            <w:pPr>
              <w:rPr>
                <w:rFonts w:cs="Arial"/>
                <w:b/>
                <w:bCs/>
                <w:color w:val="000000"/>
                <w:szCs w:val="18"/>
              </w:rPr>
            </w:pPr>
            <w:r>
              <w:rPr>
                <w:b/>
                <w:color w:val="000000"/>
              </w:rPr>
              <w:t>Beschriftung</w:t>
            </w:r>
          </w:p>
        </w:tc>
        <w:tc>
          <w:tcPr>
            <w:tcW w:w="3103" w:type="dxa"/>
            <w:shd w:val="clear" w:color="auto" w:fill="auto"/>
            <w:noWrap/>
            <w:hideMark/>
          </w:tcPr>
          <w:p w14:paraId="4D566148" w14:textId="77777777" w:rsidR="00906EAF" w:rsidRPr="00906EAF" w:rsidRDefault="00906EAF" w:rsidP="00816D3E">
            <w:pPr>
              <w:rPr>
                <w:rFonts w:cs="Arial"/>
                <w:color w:val="000000"/>
                <w:szCs w:val="18"/>
              </w:rPr>
            </w:pPr>
            <w:r>
              <w:rPr>
                <w:b/>
                <w:color w:val="000000"/>
              </w:rPr>
              <w:t>Grenzwert Batterie- bzw. Akkugewicht / Packstück</w:t>
            </w:r>
          </w:p>
        </w:tc>
      </w:tr>
      <w:tr w:rsidR="00816D3E" w:rsidRPr="00906EAF" w14:paraId="4A389667" w14:textId="77777777" w:rsidTr="003F20E8">
        <w:trPr>
          <w:trHeight w:val="557"/>
        </w:trPr>
        <w:tc>
          <w:tcPr>
            <w:tcW w:w="2658" w:type="dxa"/>
            <w:shd w:val="clear" w:color="auto" w:fill="auto"/>
            <w:noWrap/>
            <w:hideMark/>
          </w:tcPr>
          <w:p w14:paraId="52FA21D7" w14:textId="77777777" w:rsidR="00816D3E" w:rsidRPr="00906EAF" w:rsidRDefault="00816D3E" w:rsidP="00816D3E">
            <w:pPr>
              <w:rPr>
                <w:rFonts w:cs="Arial"/>
                <w:color w:val="000000"/>
                <w:szCs w:val="18"/>
              </w:rPr>
            </w:pPr>
            <w:r>
              <w:rPr>
                <w:color w:val="000000"/>
              </w:rPr>
              <w:t>Im Gerät enthalten (im Gerät eingebaut)</w:t>
            </w:r>
          </w:p>
        </w:tc>
        <w:tc>
          <w:tcPr>
            <w:tcW w:w="3134" w:type="dxa"/>
            <w:shd w:val="clear" w:color="auto" w:fill="auto"/>
            <w:noWrap/>
            <w:hideMark/>
          </w:tcPr>
          <w:p w14:paraId="60F1269F" w14:textId="77777777" w:rsidR="00816D3E" w:rsidRPr="00522633" w:rsidRDefault="00816D3E" w:rsidP="00816D3E">
            <w:r>
              <w:t>Gleich oder kleiner als 2 g</w:t>
            </w:r>
          </w:p>
        </w:tc>
        <w:tc>
          <w:tcPr>
            <w:tcW w:w="1841" w:type="dxa"/>
            <w:shd w:val="clear" w:color="auto" w:fill="auto"/>
            <w:noWrap/>
          </w:tcPr>
          <w:p w14:paraId="1E6382B9" w14:textId="77777777" w:rsidR="00816D3E" w:rsidRPr="00906EAF" w:rsidRDefault="00816D3E" w:rsidP="00816D3E">
            <w:pPr>
              <w:rPr>
                <w:rFonts w:cs="Arial"/>
                <w:color w:val="000000"/>
                <w:szCs w:val="18"/>
              </w:rPr>
            </w:pPr>
            <w:r>
              <w:rPr>
                <w:color w:val="000000"/>
              </w:rPr>
              <w:t>Abbildung 12 oder 13</w:t>
            </w:r>
          </w:p>
        </w:tc>
        <w:tc>
          <w:tcPr>
            <w:tcW w:w="3103" w:type="dxa"/>
            <w:shd w:val="clear" w:color="auto" w:fill="auto"/>
            <w:hideMark/>
          </w:tcPr>
          <w:p w14:paraId="6A9AA854" w14:textId="77777777" w:rsidR="00816D3E" w:rsidRPr="00906EAF" w:rsidRDefault="00816D3E" w:rsidP="00906EAF">
            <w:pPr>
              <w:jc w:val="center"/>
              <w:rPr>
                <w:rFonts w:cs="Arial"/>
                <w:color w:val="000000"/>
                <w:szCs w:val="18"/>
              </w:rPr>
            </w:pPr>
            <w:r>
              <w:rPr>
                <w:color w:val="000000"/>
              </w:rPr>
              <w:t>PAX = 5 kg</w:t>
            </w:r>
            <w:r>
              <w:rPr>
                <w:color w:val="000000"/>
              </w:rPr>
              <w:br/>
              <w:t>CAO = 5kg</w:t>
            </w:r>
          </w:p>
        </w:tc>
      </w:tr>
      <w:tr w:rsidR="00DE7838" w:rsidRPr="00906EAF" w14:paraId="399BD684" w14:textId="77777777" w:rsidTr="00D92B98">
        <w:trPr>
          <w:trHeight w:val="296"/>
        </w:trPr>
        <w:tc>
          <w:tcPr>
            <w:tcW w:w="2658" w:type="dxa"/>
            <w:shd w:val="clear" w:color="auto" w:fill="auto"/>
            <w:noWrap/>
            <w:hideMark/>
          </w:tcPr>
          <w:p w14:paraId="77EEB8DE" w14:textId="77777777" w:rsidR="00DE7838" w:rsidRPr="00906EAF" w:rsidRDefault="00DE7838" w:rsidP="00D92B98">
            <w:pPr>
              <w:rPr>
                <w:rFonts w:cs="Arial"/>
                <w:b/>
                <w:bCs/>
                <w:color w:val="000000"/>
                <w:szCs w:val="18"/>
              </w:rPr>
            </w:pPr>
            <w:r>
              <w:rPr>
                <w:b/>
                <w:color w:val="000000"/>
              </w:rPr>
              <w:t>Versand der Batterie / des Akkus</w:t>
            </w:r>
          </w:p>
        </w:tc>
        <w:tc>
          <w:tcPr>
            <w:tcW w:w="3134" w:type="dxa"/>
            <w:shd w:val="clear" w:color="auto" w:fill="auto"/>
            <w:noWrap/>
            <w:hideMark/>
          </w:tcPr>
          <w:p w14:paraId="1C37197B" w14:textId="77777777" w:rsidR="00DE7838" w:rsidRPr="00906EAF" w:rsidRDefault="00DE7838" w:rsidP="00D92B98">
            <w:pPr>
              <w:rPr>
                <w:rFonts w:cs="Arial"/>
                <w:b/>
                <w:bCs/>
                <w:color w:val="000000"/>
                <w:szCs w:val="18"/>
              </w:rPr>
            </w:pPr>
            <w:r>
              <w:rPr>
                <w:b/>
                <w:color w:val="000000"/>
              </w:rPr>
              <w:t>Masse des Lithiummetalls der Batterie</w:t>
            </w:r>
          </w:p>
        </w:tc>
        <w:tc>
          <w:tcPr>
            <w:tcW w:w="1841" w:type="dxa"/>
            <w:shd w:val="clear" w:color="auto" w:fill="auto"/>
            <w:noWrap/>
            <w:hideMark/>
          </w:tcPr>
          <w:p w14:paraId="08D94ED7" w14:textId="77777777" w:rsidR="00DE7838" w:rsidRPr="00906EAF" w:rsidRDefault="00DE7838" w:rsidP="00D92B98">
            <w:pPr>
              <w:rPr>
                <w:rFonts w:cs="Arial"/>
                <w:b/>
                <w:bCs/>
                <w:color w:val="000000"/>
                <w:szCs w:val="18"/>
              </w:rPr>
            </w:pPr>
            <w:r>
              <w:rPr>
                <w:b/>
                <w:color w:val="000000"/>
              </w:rPr>
              <w:t>Beschriftung</w:t>
            </w:r>
          </w:p>
        </w:tc>
        <w:tc>
          <w:tcPr>
            <w:tcW w:w="3103" w:type="dxa"/>
            <w:shd w:val="clear" w:color="auto" w:fill="auto"/>
            <w:noWrap/>
            <w:hideMark/>
          </w:tcPr>
          <w:p w14:paraId="13B248B4" w14:textId="77777777" w:rsidR="00DE7838" w:rsidRPr="00906EAF" w:rsidRDefault="00DE7838" w:rsidP="00D92B98">
            <w:pPr>
              <w:rPr>
                <w:rFonts w:cs="Arial"/>
                <w:color w:val="000000"/>
                <w:szCs w:val="18"/>
              </w:rPr>
            </w:pPr>
            <w:r>
              <w:rPr>
                <w:b/>
                <w:color w:val="000000"/>
              </w:rPr>
              <w:t>Grenzwert Batterie- bzw. Akkugewicht / Packstück</w:t>
            </w:r>
          </w:p>
        </w:tc>
      </w:tr>
      <w:tr w:rsidR="00816D3E" w:rsidRPr="00906EAF" w14:paraId="1AC201ED" w14:textId="77777777" w:rsidTr="003F20E8">
        <w:trPr>
          <w:trHeight w:val="1430"/>
        </w:trPr>
        <w:tc>
          <w:tcPr>
            <w:tcW w:w="2658" w:type="dxa"/>
            <w:shd w:val="clear" w:color="auto" w:fill="auto"/>
            <w:noWrap/>
            <w:hideMark/>
          </w:tcPr>
          <w:p w14:paraId="2A81577A" w14:textId="77777777" w:rsidR="00816D3E" w:rsidRPr="00906EAF" w:rsidRDefault="00816D3E" w:rsidP="00816D3E">
            <w:pPr>
              <w:rPr>
                <w:rFonts w:cs="Arial"/>
                <w:color w:val="000000"/>
                <w:szCs w:val="18"/>
              </w:rPr>
            </w:pPr>
            <w:r>
              <w:rPr>
                <w:color w:val="000000"/>
              </w:rPr>
              <w:t>Eigenständig</w:t>
            </w:r>
          </w:p>
        </w:tc>
        <w:tc>
          <w:tcPr>
            <w:tcW w:w="3134" w:type="dxa"/>
            <w:shd w:val="clear" w:color="auto" w:fill="auto"/>
            <w:noWrap/>
          </w:tcPr>
          <w:p w14:paraId="3F05AEC6" w14:textId="77777777" w:rsidR="00816D3E" w:rsidRPr="00522633" w:rsidRDefault="00816D3E" w:rsidP="00A5425C">
            <w:r>
              <w:t>Gleich oder kleiner als 2 g</w:t>
            </w:r>
          </w:p>
        </w:tc>
        <w:tc>
          <w:tcPr>
            <w:tcW w:w="1841" w:type="dxa"/>
            <w:shd w:val="clear" w:color="auto" w:fill="auto"/>
            <w:noWrap/>
          </w:tcPr>
          <w:p w14:paraId="580EB865" w14:textId="77777777" w:rsidR="00816D3E" w:rsidRPr="00906EAF" w:rsidRDefault="00816D3E" w:rsidP="00816D3E">
            <w:pPr>
              <w:rPr>
                <w:rFonts w:cs="Arial"/>
                <w:color w:val="000000"/>
                <w:szCs w:val="18"/>
              </w:rPr>
            </w:pPr>
            <w:r>
              <w:rPr>
                <w:color w:val="000000"/>
              </w:rPr>
              <w:t>Abbildung 12 oder 13</w:t>
            </w:r>
          </w:p>
        </w:tc>
        <w:tc>
          <w:tcPr>
            <w:tcW w:w="3103" w:type="dxa"/>
            <w:shd w:val="clear" w:color="auto" w:fill="auto"/>
          </w:tcPr>
          <w:p w14:paraId="47C4EC0F" w14:textId="77777777" w:rsidR="00816D3E" w:rsidRPr="00816D3E" w:rsidRDefault="00816D3E" w:rsidP="00816D3E">
            <w:pPr>
              <w:rPr>
                <w:rFonts w:cs="Arial"/>
                <w:color w:val="000000"/>
                <w:szCs w:val="18"/>
              </w:rPr>
            </w:pPr>
            <w:r>
              <w:rPr>
                <w:color w:val="000000"/>
              </w:rPr>
              <w:t>Gleich oder kleiner als 0,3 g = 2,5 kg</w:t>
            </w:r>
          </w:p>
          <w:p w14:paraId="68A0CE78" w14:textId="77777777" w:rsidR="00816D3E" w:rsidRPr="00816D3E" w:rsidRDefault="00816D3E" w:rsidP="00816D3E">
            <w:pPr>
              <w:rPr>
                <w:rFonts w:cs="Arial"/>
                <w:color w:val="000000"/>
                <w:szCs w:val="18"/>
              </w:rPr>
            </w:pPr>
            <w:r>
              <w:rPr>
                <w:color w:val="000000"/>
              </w:rPr>
              <w:t>ODER</w:t>
            </w:r>
          </w:p>
          <w:p w14:paraId="7C1DB552" w14:textId="77777777" w:rsidR="00816D3E" w:rsidRPr="00906EAF" w:rsidRDefault="00816D3E" w:rsidP="00816D3E">
            <w:pPr>
              <w:rPr>
                <w:rFonts w:cs="Arial"/>
                <w:color w:val="000000"/>
                <w:szCs w:val="18"/>
              </w:rPr>
            </w:pPr>
            <w:r>
              <w:rPr>
                <w:color w:val="000000"/>
              </w:rPr>
              <w:t>Größer als 0,3 g, aber kleiner als 2 g = 2 Akkus/Batterien</w:t>
            </w:r>
          </w:p>
        </w:tc>
      </w:tr>
      <w:tr w:rsidR="00816D3E" w:rsidRPr="00906EAF" w14:paraId="6EA2B936" w14:textId="77777777" w:rsidTr="003F20E8">
        <w:trPr>
          <w:trHeight w:val="710"/>
        </w:trPr>
        <w:tc>
          <w:tcPr>
            <w:tcW w:w="2658" w:type="dxa"/>
            <w:shd w:val="clear" w:color="auto" w:fill="auto"/>
            <w:noWrap/>
            <w:hideMark/>
          </w:tcPr>
          <w:p w14:paraId="1FD0B3BF" w14:textId="77777777" w:rsidR="00816D3E" w:rsidRPr="00906EAF" w:rsidRDefault="00816D3E" w:rsidP="00816D3E">
            <w:pPr>
              <w:rPr>
                <w:rFonts w:cs="Arial"/>
                <w:color w:val="000000"/>
                <w:szCs w:val="18"/>
              </w:rPr>
            </w:pPr>
            <w:bookmarkStart w:id="62" w:name="_Hlk54192298"/>
            <w:r>
              <w:rPr>
                <w:color w:val="000000"/>
              </w:rPr>
              <w:t>Separat mit dem Gerät verpackt (nicht im Gerät eingebaut)</w:t>
            </w:r>
          </w:p>
        </w:tc>
        <w:tc>
          <w:tcPr>
            <w:tcW w:w="3134" w:type="dxa"/>
            <w:shd w:val="clear" w:color="auto" w:fill="auto"/>
            <w:noWrap/>
          </w:tcPr>
          <w:p w14:paraId="248C6747" w14:textId="77777777" w:rsidR="00816D3E" w:rsidRPr="00522633" w:rsidRDefault="00816D3E" w:rsidP="00A5425C">
            <w:r>
              <w:t>Gleich oder kleiner als 2 g</w:t>
            </w:r>
          </w:p>
        </w:tc>
        <w:tc>
          <w:tcPr>
            <w:tcW w:w="1841" w:type="dxa"/>
            <w:shd w:val="clear" w:color="auto" w:fill="auto"/>
            <w:noWrap/>
          </w:tcPr>
          <w:p w14:paraId="3962CDCF" w14:textId="77777777" w:rsidR="00816D3E" w:rsidRPr="00906EAF" w:rsidRDefault="00816D3E" w:rsidP="00816D3E">
            <w:pPr>
              <w:rPr>
                <w:rFonts w:cs="Arial"/>
                <w:color w:val="000000"/>
                <w:szCs w:val="18"/>
              </w:rPr>
            </w:pPr>
            <w:r>
              <w:rPr>
                <w:color w:val="000000"/>
              </w:rPr>
              <w:t>Abbildung 12 oder 13</w:t>
            </w:r>
          </w:p>
        </w:tc>
        <w:tc>
          <w:tcPr>
            <w:tcW w:w="3103" w:type="dxa"/>
            <w:shd w:val="clear" w:color="auto" w:fill="auto"/>
          </w:tcPr>
          <w:p w14:paraId="1E7E4ED3" w14:textId="77777777" w:rsidR="00816D3E" w:rsidRPr="00906EAF" w:rsidRDefault="00816D3E" w:rsidP="00906EAF">
            <w:pPr>
              <w:jc w:val="center"/>
              <w:rPr>
                <w:rFonts w:cs="Arial"/>
                <w:color w:val="000000"/>
                <w:szCs w:val="18"/>
              </w:rPr>
            </w:pPr>
            <w:r>
              <w:rPr>
                <w:color w:val="000000"/>
              </w:rPr>
              <w:t>PAX = 5 kg</w:t>
            </w:r>
            <w:r>
              <w:rPr>
                <w:color w:val="000000"/>
              </w:rPr>
              <w:br/>
              <w:t>CAO = 5kg</w:t>
            </w:r>
          </w:p>
        </w:tc>
      </w:tr>
    </w:tbl>
    <w:p w14:paraId="73A82E2C" w14:textId="77777777" w:rsidR="00F750E6" w:rsidRDefault="00F750E6" w:rsidP="004A7BFA">
      <w:pPr>
        <w:rPr>
          <w:rFonts w:cs="Arial"/>
        </w:rPr>
      </w:pPr>
    </w:p>
    <w:p w14:paraId="16003B02" w14:textId="77777777" w:rsidR="00906EAF" w:rsidRDefault="00816D3E" w:rsidP="004A7BFA">
      <w:pPr>
        <w:rPr>
          <w:rFonts w:cs="Arial"/>
        </w:rPr>
      </w:pPr>
      <w:r>
        <w:t>Wenn die Leistung des Lithium-Ionen-Akkus mehr als 100 Wh beträgt und die Masse des Lithium-Metalls mehr als 2 g beträgt, wenden Sie sich bitte an den Umweltbeauftragten, um Informationen über die zu verwendende Kennzeichnung zu erhalten.</w:t>
      </w:r>
    </w:p>
    <w:p w14:paraId="21E47A4B" w14:textId="59904A9A" w:rsidR="00816D3E" w:rsidRDefault="005F5119" w:rsidP="004A7BFA">
      <w:pPr>
        <w:rPr>
          <w:rFonts w:cs="Arial"/>
        </w:rPr>
      </w:pPr>
      <w:r>
        <w:t xml:space="preserve">Abbildung 12: Anforderung an den Inhalt der Kennzeichnung für den Versand von Batterien/Akkus: </w:t>
      </w:r>
    </w:p>
    <w:p w14:paraId="55345C6C" w14:textId="77777777" w:rsidR="00906EAF" w:rsidRDefault="00906EAF" w:rsidP="00816D3E">
      <w:pPr>
        <w:jc w:val="center"/>
        <w:rPr>
          <w:rFonts w:cs="Arial"/>
        </w:rPr>
      </w:pPr>
      <w:r>
        <w:rPr>
          <w:noProof/>
        </w:rPr>
        <w:drawing>
          <wp:inline distT="0" distB="0" distL="0" distR="0" wp14:anchorId="32C11796" wp14:editId="34B29748">
            <wp:extent cx="2375095" cy="2073275"/>
            <wp:effectExtent l="0" t="0" r="635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2532" cy="2079767"/>
                    </a:xfrm>
                    <a:prstGeom prst="rect">
                      <a:avLst/>
                    </a:prstGeom>
                    <a:noFill/>
                    <a:ln>
                      <a:noFill/>
                    </a:ln>
                  </pic:spPr>
                </pic:pic>
              </a:graphicData>
            </a:graphic>
          </wp:inline>
        </w:drawing>
      </w:r>
    </w:p>
    <w:p w14:paraId="54CA7885" w14:textId="70A4BE65" w:rsidR="00816D3E" w:rsidRDefault="005F5119" w:rsidP="00716A11">
      <w:r>
        <w:t xml:space="preserve">Abbildung 13: Inhalt der Kennzeichnung beim Versand kleinerer Pakete mit Batterien/Akkus: </w:t>
      </w:r>
    </w:p>
    <w:p w14:paraId="767E659F" w14:textId="77777777" w:rsidR="00816D3E" w:rsidRDefault="00816D3E" w:rsidP="00816D3E">
      <w:pPr>
        <w:jc w:val="center"/>
      </w:pPr>
      <w:r>
        <w:rPr>
          <w:noProof/>
        </w:rPr>
        <w:lastRenderedPageBreak/>
        <w:drawing>
          <wp:inline distT="0" distB="0" distL="0" distR="0" wp14:anchorId="42626B11" wp14:editId="54B230B5">
            <wp:extent cx="2481103" cy="18863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09169" cy="1907700"/>
                    </a:xfrm>
                    <a:prstGeom prst="rect">
                      <a:avLst/>
                    </a:prstGeom>
                    <a:noFill/>
                    <a:ln>
                      <a:noFill/>
                    </a:ln>
                  </pic:spPr>
                </pic:pic>
              </a:graphicData>
            </a:graphic>
          </wp:inline>
        </w:drawing>
      </w:r>
    </w:p>
    <w:p w14:paraId="6A0D86C3" w14:textId="77777777" w:rsidR="005740B4" w:rsidRDefault="005740B4" w:rsidP="00481C42">
      <w:pPr>
        <w:pStyle w:val="Heading3"/>
        <w:rPr>
          <w:sz w:val="28"/>
        </w:rPr>
      </w:pPr>
      <w:bookmarkStart w:id="63" w:name="_Toc118968945"/>
      <w:r>
        <w:t>Ausnahmen von der Kennzeichnungspflicht</w:t>
      </w:r>
      <w:bookmarkEnd w:id="63"/>
    </w:p>
    <w:bookmarkEnd w:id="62"/>
    <w:p w14:paraId="23F7C660" w14:textId="77777777" w:rsidR="003B28A1" w:rsidRDefault="003B28A1" w:rsidP="003B28A1">
      <w:r>
        <w:t>Eine Kennzeichnung zum Umgang mit Lithium-Ionen-Akkus ist nicht erforderlich, wenn ein Versandstück nicht mehr als 2 Batterien enthält, die in dem Gerät verbaut sind. Für im Gerät verbaute Lithium-Metall-Batterien ist keine Kennzeichnung zum Umgang mit Lithium-Batterien erforderlich.</w:t>
      </w:r>
    </w:p>
    <w:p w14:paraId="73821B0D" w14:textId="77777777" w:rsidR="009E043D" w:rsidRDefault="009E043D" w:rsidP="00481C42">
      <w:pPr>
        <w:pStyle w:val="Heading3"/>
      </w:pPr>
      <w:bookmarkStart w:id="64" w:name="_Toc118968946"/>
      <w:r>
        <w:t>Hinweis zur Produktentsorgung</w:t>
      </w:r>
      <w:bookmarkEnd w:id="64"/>
    </w:p>
    <w:p w14:paraId="6154BB2E" w14:textId="77777777" w:rsidR="009E043D" w:rsidRDefault="009E043D" w:rsidP="00BE0FAC">
      <w:pPr>
        <w:spacing w:after="0"/>
      </w:pPr>
      <w:r>
        <w:t>NETGEAR Produkte dürfen nicht zusammen mit Hausmüll entsorgt werden. NETGEAR Produkte müssen an einem Ort entsorgt werden, der für das Recycling von elektrischen und elektronischen Geräten zugelassen ist. Durch das Sammeln und Recyceln von Abfällen tragen Sie zur Schonung der natürlichen Ressourcen bei und stellen sicher, dass das Produkt auf umweltfreundliche und gesunde Weise entsorgt wird.</w:t>
      </w:r>
    </w:p>
    <w:p w14:paraId="29E63D66" w14:textId="77777777" w:rsidR="00922A55" w:rsidRPr="009B16CB" w:rsidRDefault="00922A55" w:rsidP="00481C42">
      <w:pPr>
        <w:pStyle w:val="Heading1"/>
      </w:pPr>
      <w:bookmarkStart w:id="65" w:name="_Toc118968947"/>
      <w:r>
        <w:t>Informationen zur Sicherheit und EMV-Hinweis für Powerline Geräte und Pass-Through-Steckdose</w:t>
      </w:r>
      <w:bookmarkEnd w:id="65"/>
    </w:p>
    <w:p w14:paraId="00CE2DED" w14:textId="77777777" w:rsidR="00922A55" w:rsidRDefault="00922A55" w:rsidP="00922A55">
      <w:pPr>
        <w:rPr>
          <w:rFonts w:cs="Arial"/>
        </w:rPr>
      </w:pPr>
      <w:r>
        <w:t>Beachten Sie die folgenden Sicherheitsrichtlinien, um Ihre eigene persönliche Sicherheit zu gewährleisten und Ihr System vor möglichen Schäden zu schützen.</w:t>
      </w:r>
    </w:p>
    <w:p w14:paraId="00C49599" w14:textId="77777777" w:rsidR="00922A55" w:rsidRDefault="00922A55" w:rsidP="00922A55">
      <w:pPr>
        <w:pStyle w:val="ListParagraph"/>
        <w:numPr>
          <w:ilvl w:val="0"/>
          <w:numId w:val="15"/>
        </w:numPr>
        <w:rPr>
          <w:rFonts w:cs="Arial"/>
        </w:rPr>
      </w:pPr>
      <w:r>
        <w:t xml:space="preserve">Für nationale Zulassungen (andere Zulassungsmethoden als CB) müssen erforderliche nationale Standards für Stecker, Steckdosen und direkte Einschubeinheiten (z. B. US) auch während eines Tests und einer Zulassung solcher Produkte nach den nationalen Standards eingeholt werden. </w:t>
      </w:r>
    </w:p>
    <w:p w14:paraId="10ABC06A" w14:textId="77777777" w:rsidR="00922A55" w:rsidRDefault="00922A55" w:rsidP="00922A55">
      <w:pPr>
        <w:pStyle w:val="ListParagraph"/>
        <w:numPr>
          <w:ilvl w:val="0"/>
          <w:numId w:val="15"/>
        </w:numPr>
        <w:rPr>
          <w:rFonts w:cs="Arial"/>
        </w:rPr>
      </w:pPr>
      <w:r>
        <w:t>Überprüfen Sie die Stromstärke für jedes Gerät, das Sie an die gefilterte Steckdose anschließen. Stellen Sie sicher, dass Sie die Heim- und Produktdaten sowie die elektrischen Anforderungen nicht überschreiten.</w:t>
      </w:r>
    </w:p>
    <w:p w14:paraId="28015978" w14:textId="77777777" w:rsidR="00922A55" w:rsidRDefault="00922A55" w:rsidP="00922A55">
      <w:pPr>
        <w:pStyle w:val="ListParagraph"/>
        <w:numPr>
          <w:ilvl w:val="0"/>
          <w:numId w:val="15"/>
        </w:numPr>
        <w:rPr>
          <w:rFonts w:cs="Arial"/>
        </w:rPr>
      </w:pPr>
      <w:r>
        <w:t>Die Steckdose muss sich in der Nähe des Geräts befinden und leicht zugänglich sein.</w:t>
      </w:r>
    </w:p>
    <w:p w14:paraId="56D20933" w14:textId="62C70373" w:rsidR="00922A55" w:rsidRDefault="00922A55" w:rsidP="00922A55">
      <w:pPr>
        <w:pStyle w:val="ListParagraph"/>
        <w:numPr>
          <w:ilvl w:val="0"/>
          <w:numId w:val="15"/>
        </w:numPr>
        <w:rPr>
          <w:rFonts w:cs="Arial"/>
        </w:rPr>
      </w:pPr>
      <w:r>
        <w:t>Es dürfen ausschließlich Netzkabel in die gefilterte Steckdose eingesteckt werden. Das Gerät darf sich nicht mehr als 1 m von der Auflagefläche entfernt befinden und die verwendeten Stromkabel müssen mindestens 1 m lang sein und eine Querschnittfläche von maximal 1,5 mm² haben.</w:t>
      </w:r>
    </w:p>
    <w:p w14:paraId="52B7DF5A" w14:textId="77777777" w:rsidR="00922A55" w:rsidRDefault="00922A55" w:rsidP="00922A55">
      <w:pPr>
        <w:pStyle w:val="ListParagraph"/>
        <w:numPr>
          <w:ilvl w:val="0"/>
          <w:numId w:val="15"/>
        </w:numPr>
        <w:rPr>
          <w:rFonts w:cs="Arial"/>
        </w:rPr>
      </w:pPr>
      <w:r>
        <w:t>Schließen Sie keine Geräte an die über den Powerline Pass Thru-Adapter geschaltete Netzsteckdose an, die die Nennwerte des Produkts überschreiten.  Die Ausgangsspannung der geschalteten Steckdose ist dieselbe wie die der Steckdose, in welche der Powerline-Adapter eingesteckt wird. Um Beschädigungen Ihres Systems zu verhindern, sollten Sie sicherstellen, dass die elektrischen Daten der angeschlossenen Geräte der verfügbaren Netzspannung entsprechen.</w:t>
      </w:r>
    </w:p>
    <w:p w14:paraId="73005E8D" w14:textId="77777777" w:rsidR="00922A55" w:rsidRDefault="00922A55" w:rsidP="00922A55">
      <w:pPr>
        <w:pStyle w:val="ListParagraph"/>
        <w:numPr>
          <w:ilvl w:val="0"/>
          <w:numId w:val="15"/>
        </w:numPr>
        <w:rPr>
          <w:rFonts w:cs="Arial"/>
        </w:rPr>
      </w:pPr>
      <w:r>
        <w:t>Beträgt die Eingangsspannung der Steckdose weniger als 100 V, kann die Leistungsfähigkeit des Geräts, das an die gefilterte Steckdose des Powerline-Adapters angeschlossen ist, eingeschränkt sein.</w:t>
      </w:r>
    </w:p>
    <w:p w14:paraId="703845C6" w14:textId="77777777" w:rsidR="00922A55" w:rsidRDefault="00922A55" w:rsidP="00922A55">
      <w:pPr>
        <w:pStyle w:val="ListParagraph"/>
        <w:numPr>
          <w:ilvl w:val="0"/>
          <w:numId w:val="15"/>
        </w:numPr>
        <w:rPr>
          <w:rFonts w:cs="Arial"/>
        </w:rPr>
      </w:pPr>
      <w:r>
        <w:t xml:space="preserve">SCHLIESSEN SIE KEINE GRÖSSEREN HAUSHALTSGERÄTE an die gefilterte Steckdose oder an eine daran angeschlossene Steckdosenleiste an.  Das Gerät ist nicht für die Verwendung mit Haushaltsgeräten wie Klimaanlagen, Elektrowerkzeuge, Heizgeräte, Ventilatoren, Haartrockner, Öfen oder Kühlschränke konzipiert. </w:t>
      </w:r>
    </w:p>
    <w:p w14:paraId="7FFCE16A" w14:textId="77777777" w:rsidR="00B2351F" w:rsidRDefault="00B2351F" w:rsidP="00B2351F">
      <w:pPr>
        <w:pStyle w:val="ListParagraph"/>
        <w:numPr>
          <w:ilvl w:val="0"/>
          <w:numId w:val="15"/>
        </w:numPr>
        <w:rPr>
          <w:rFonts w:cs="Arial"/>
        </w:rPr>
      </w:pPr>
      <w:r>
        <w:lastRenderedPageBreak/>
        <w:t>Achten Sie auf die Nennwerte von Verlängerungskabeln und Steckerleisten.  Stellen Sie sicher, dass die Gesamtamperezahl aller an das Verlängerungskabel oder Steckerleiste angeschlossenen Produkte 80 % der Ampere-Wertbeschränkung für das Verlängerungskabel und die Steckdosenleiste nicht überschreitet.</w:t>
      </w:r>
    </w:p>
    <w:p w14:paraId="39D9B531" w14:textId="2360906D" w:rsidR="00922A55" w:rsidRDefault="00922A55" w:rsidP="00922A55">
      <w:pPr>
        <w:pStyle w:val="ListParagraph"/>
        <w:numPr>
          <w:ilvl w:val="0"/>
          <w:numId w:val="15"/>
        </w:numPr>
        <w:rPr>
          <w:rFonts w:cs="Arial"/>
        </w:rPr>
      </w:pPr>
      <w:r>
        <w:t xml:space="preserve">Der tatsächliche Datendurchsatz hängt von verschiedenen Faktoren ab. Netzwerkbedingungen und Umwelteinflüsse wie Umfang des Datenverkehrs, Baustoffe und Gebäudestruktur sowie Netzwerk-Overhead können die Durchsatzrate beeinträchtigen. </w:t>
      </w:r>
    </w:p>
    <w:p w14:paraId="0D951C94" w14:textId="77777777" w:rsidR="00B2351F" w:rsidRDefault="00B2351F" w:rsidP="00B2351F">
      <w:pPr>
        <w:rPr>
          <w:rFonts w:cs="Arial"/>
        </w:rPr>
      </w:pPr>
      <w:r>
        <w:t>NETGEAR Powerline Produkte bieten eine Alternative zur Erweiterung Ihres Netzwerks über die vorhandene Stromverkabelung. Im Falle von Funkstörungen beachten Sie bitte diese Hinweise:</w:t>
      </w:r>
    </w:p>
    <w:p w14:paraId="2C7614BC" w14:textId="77777777" w:rsidR="00B2351F" w:rsidRDefault="00B2351F" w:rsidP="00B2351F">
      <w:pPr>
        <w:pStyle w:val="ListParagraph"/>
        <w:numPr>
          <w:ilvl w:val="0"/>
          <w:numId w:val="35"/>
        </w:numPr>
        <w:rPr>
          <w:rFonts w:cs="Arial"/>
        </w:rPr>
      </w:pPr>
      <w:r>
        <w:t>Stecken Sie Powerline-Adapter in Steckdosen, die sich nicht in der Nähe von Ladegeräten für Mobiltelefone und Basisstationen für schnurlose Telefone befinden</w:t>
      </w:r>
    </w:p>
    <w:p w14:paraId="49064843" w14:textId="77777777" w:rsidR="00B2351F" w:rsidRDefault="00B2351F" w:rsidP="00B2351F">
      <w:pPr>
        <w:pStyle w:val="ListParagraph"/>
        <w:numPr>
          <w:ilvl w:val="0"/>
          <w:numId w:val="35"/>
        </w:numPr>
        <w:rPr>
          <w:rFonts w:cs="Arial"/>
        </w:rPr>
      </w:pPr>
      <w:r>
        <w:t>Stellen Sie sicher, dass Powerline-Adapter nicht in der Nähe von Geräten mit Motor (z. B. Ventilator, Staubsauger usw.) verwendet werden</w:t>
      </w:r>
    </w:p>
    <w:p w14:paraId="110F159F" w14:textId="77777777" w:rsidR="00B2351F" w:rsidRPr="00F205AA" w:rsidRDefault="00B2351F" w:rsidP="00B2351F">
      <w:pPr>
        <w:pStyle w:val="ListParagraph"/>
        <w:numPr>
          <w:ilvl w:val="0"/>
          <w:numId w:val="35"/>
        </w:numPr>
        <w:rPr>
          <w:rFonts w:cs="Arial"/>
        </w:rPr>
      </w:pPr>
      <w:r>
        <w:t>Achten Sie darauf, dass Powerline-Adapter nicht in der Nähe von Audiogeräten wie z. B. Radioempfängern platziert werden</w:t>
      </w:r>
    </w:p>
    <w:p w14:paraId="4A91753F" w14:textId="2FFBDC7A" w:rsidR="00B2351F" w:rsidRPr="00B2351F" w:rsidRDefault="00B2351F" w:rsidP="00B2351F">
      <w:pPr>
        <w:pStyle w:val="Heading2"/>
      </w:pPr>
      <w:bookmarkStart w:id="66" w:name="_Toc118968948"/>
      <w:r>
        <w:t>Allgemeine Hinweise</w:t>
      </w:r>
      <w:bookmarkEnd w:id="66"/>
    </w:p>
    <w:p w14:paraId="1EE3B1AA" w14:textId="77777777" w:rsidR="00922A55" w:rsidRDefault="00922A55" w:rsidP="00922A55">
      <w:pPr>
        <w:pStyle w:val="ListParagraph"/>
        <w:numPr>
          <w:ilvl w:val="0"/>
          <w:numId w:val="15"/>
        </w:numPr>
        <w:rPr>
          <w:rFonts w:cs="Arial"/>
        </w:rPr>
      </w:pPr>
      <w:r>
        <w:t>Verwenden Sie das Produkt nur mit zugelassenen Geräten.</w:t>
      </w:r>
    </w:p>
    <w:p w14:paraId="2023888C" w14:textId="77777777" w:rsidR="00922A55" w:rsidRDefault="00922A55" w:rsidP="00922A55">
      <w:pPr>
        <w:pStyle w:val="ListParagraph"/>
        <w:numPr>
          <w:ilvl w:val="0"/>
          <w:numId w:val="15"/>
        </w:numPr>
        <w:rPr>
          <w:rFonts w:cs="Arial"/>
        </w:rPr>
      </w:pPr>
      <w:r>
        <w:t>Lassen Sie die Produkte abkühlen, bevor Sie Abdeckungen entfernen oder interne Komponenten berühren.</w:t>
      </w:r>
    </w:p>
    <w:p w14:paraId="0E3A28C5" w14:textId="77777777" w:rsidR="00922A55" w:rsidRDefault="00922A55" w:rsidP="00922A55">
      <w:pPr>
        <w:pStyle w:val="ListParagraph"/>
        <w:numPr>
          <w:ilvl w:val="0"/>
          <w:numId w:val="15"/>
        </w:numPr>
        <w:rPr>
          <w:rFonts w:cs="Arial"/>
        </w:rPr>
      </w:pPr>
      <w:r>
        <w:t>Um eine Beschädigung Ihres Systems zu vermeiden, stellen Sie sicher, dass der Spannungswahlschalter (falls vorhanden) am Netzteil auf die verfügbare Leistung an Ihrem Standort eingestellt ist:</w:t>
      </w:r>
    </w:p>
    <w:p w14:paraId="683AD319" w14:textId="77777777" w:rsidR="00922A55" w:rsidRDefault="00922A55" w:rsidP="00922A55">
      <w:pPr>
        <w:pStyle w:val="ListParagraph"/>
        <w:numPr>
          <w:ilvl w:val="1"/>
          <w:numId w:val="15"/>
        </w:numPr>
        <w:rPr>
          <w:rFonts w:cs="Arial"/>
        </w:rPr>
      </w:pPr>
      <w:r>
        <w:t>110 Volt (V), 60 Hertz (Hz) in den meisten Regionen Nord- und Südamerikas sowie einigen fernöstlichen Ländern wie Südkorea und Taiwan</w:t>
      </w:r>
    </w:p>
    <w:p w14:paraId="33C15580" w14:textId="77777777" w:rsidR="00922A55" w:rsidRDefault="00922A55" w:rsidP="00922A55">
      <w:pPr>
        <w:pStyle w:val="ListParagraph"/>
        <w:numPr>
          <w:ilvl w:val="1"/>
          <w:numId w:val="15"/>
        </w:numPr>
        <w:rPr>
          <w:rFonts w:cs="Arial"/>
        </w:rPr>
      </w:pPr>
      <w:r>
        <w:t>100 V, 50 Hz im Osten Japans und 100 V, 60Hz im westlichen Japan</w:t>
      </w:r>
    </w:p>
    <w:p w14:paraId="1AF9ED2A" w14:textId="77777777" w:rsidR="00922A55" w:rsidRDefault="00922A55" w:rsidP="00922A55">
      <w:pPr>
        <w:pStyle w:val="ListParagraph"/>
        <w:numPr>
          <w:ilvl w:val="1"/>
          <w:numId w:val="15"/>
        </w:numPr>
        <w:rPr>
          <w:rFonts w:cs="Arial"/>
        </w:rPr>
      </w:pPr>
      <w:r>
        <w:t>230 V, 50 Hz in den meisten Ländern Europas, des Nahen Ostens und des Fernen Ostens</w:t>
      </w:r>
    </w:p>
    <w:p w14:paraId="2A43BCA5" w14:textId="2B8D643D" w:rsidR="00AA5A71" w:rsidRDefault="00922A55" w:rsidP="008A30EE">
      <w:pPr>
        <w:pStyle w:val="ListParagraph"/>
        <w:numPr>
          <w:ilvl w:val="0"/>
          <w:numId w:val="15"/>
        </w:numPr>
        <w:rPr>
          <w:rFonts w:cs="Arial"/>
        </w:rPr>
      </w:pPr>
      <w:r>
        <w:t>Verwenden Sie zum Schutz Ihres Systems vor plötzlichen, vorübergehenden Anstiegen und Abfällen in der Stromversorgung einen Überspannungsschutz, einen Leitungskonditionierer oder eine unterbrechungsfreie Stromversorgung (USV).</w:t>
      </w:r>
    </w:p>
    <w:p w14:paraId="13100612" w14:textId="77777777" w:rsidR="00B2351F" w:rsidRDefault="00B2351F" w:rsidP="00B2351F">
      <w:pPr>
        <w:pStyle w:val="ListParagraph"/>
        <w:numPr>
          <w:ilvl w:val="0"/>
          <w:numId w:val="15"/>
        </w:numPr>
        <w:rPr>
          <w:rFonts w:cs="Arial"/>
        </w:rPr>
      </w:pPr>
      <w:r>
        <w:t>Laststromkabel sind mit dreipoligen Steckern ausgestattet, um eine ordnungsgemäße Erdung sicherzustellen.  Verwenden Sie keine Adapterstecker, und entfernen Sie nicht den Erdungsstift von einem Kabel.</w:t>
      </w:r>
    </w:p>
    <w:p w14:paraId="084EADB5" w14:textId="77777777" w:rsidR="00B2351F" w:rsidRDefault="00B2351F" w:rsidP="00B2351F">
      <w:pPr>
        <w:pStyle w:val="ListParagraph"/>
        <w:numPr>
          <w:ilvl w:val="0"/>
          <w:numId w:val="15"/>
        </w:numPr>
        <w:rPr>
          <w:rFonts w:cs="Arial"/>
        </w:rPr>
      </w:pPr>
      <w:r>
        <w:t>Durch Öffnen oder Entfernen von Abdeckungen, die mit dem dreieckigen Blitzsymbol gekennzeichnet sind, setzen Sie sich dem Risiko eines Stromschlags aus.  Die Wartung der Komponenten in diesen Gehäusen sollte nur von einem geschulten Servicetechniker durchgeführt werden.</w:t>
      </w:r>
    </w:p>
    <w:p w14:paraId="6A4B3227" w14:textId="3766ED00" w:rsidR="000747E1" w:rsidRPr="000747E1" w:rsidRDefault="000747E1" w:rsidP="000747E1">
      <w:pPr>
        <w:pStyle w:val="ListParagraph"/>
        <w:numPr>
          <w:ilvl w:val="0"/>
          <w:numId w:val="15"/>
        </w:numPr>
        <w:rPr>
          <w:rFonts w:cs="Arial"/>
        </w:rPr>
      </w:pPr>
      <w:r>
        <w:t xml:space="preserve">Warten Sie Produkte nicht anders als gemäß den Erläuterungen in der Systemdokumentation. </w:t>
      </w:r>
    </w:p>
    <w:p w14:paraId="4AA3B7F9" w14:textId="52ECD6F6" w:rsidR="0082382E" w:rsidRPr="0082382E" w:rsidRDefault="0082382E" w:rsidP="00E63B27">
      <w:pPr>
        <w:pStyle w:val="Heading1"/>
        <w:rPr>
          <w:rStyle w:val="Hyperlink"/>
          <w:rFonts w:eastAsia="新細明體" w:cstheme="minorBidi"/>
          <w:b w:val="0"/>
          <w:bCs w:val="0"/>
          <w:color w:val="000000" w:themeColor="text1"/>
          <w:sz w:val="18"/>
          <w:szCs w:val="22"/>
          <w:u w:val="none"/>
        </w:rPr>
      </w:pPr>
      <w:bookmarkStart w:id="67" w:name="_Toc118968949"/>
      <w:r>
        <w:rPr>
          <w:rStyle w:val="Hyperlink"/>
          <w:color w:val="000000" w:themeColor="text1"/>
          <w:u w:val="none"/>
        </w:rPr>
        <w:t>Konformität mit der California Proposition 65 (Prop 65)</w:t>
      </w:r>
      <w:bookmarkEnd w:id="67"/>
      <w:r>
        <w:rPr>
          <w:rStyle w:val="Hyperlink"/>
          <w:color w:val="000000" w:themeColor="text1"/>
          <w:u w:val="none"/>
        </w:rPr>
        <w:t xml:space="preserve"> </w:t>
      </w:r>
    </w:p>
    <w:p w14:paraId="62FF7820" w14:textId="34FC1A48" w:rsidR="0082382E" w:rsidRPr="0082382E" w:rsidRDefault="0082382E" w:rsidP="00E63B27">
      <w:r>
        <w:t>Die Produkte von NETGEAR entsprechen der Prop 65. Wir erklären, dass unsere Produkte keine der neuesten OEHHA-gelisteten Substanzen enthalten oder innerhalb des kalifornischen OEHHA-Safe-Harbor-Grenzwerts liegen, sofern ein solcher Wert festgelegt wurde.</w:t>
      </w:r>
    </w:p>
    <w:p w14:paraId="3AFC4B28" w14:textId="305F4BD4" w:rsidR="0040534E" w:rsidRDefault="0006746B" w:rsidP="0082382E">
      <w:pPr>
        <w:pStyle w:val="Heading1"/>
      </w:pPr>
      <w:bookmarkStart w:id="68" w:name="_Toc118968950"/>
      <w:r>
        <w:t>Sicherheitshinweise für die Befestigung im Rack</w:t>
      </w:r>
      <w:bookmarkEnd w:id="68"/>
    </w:p>
    <w:p w14:paraId="7BDC0EFA" w14:textId="77777777" w:rsidR="0040534E" w:rsidRDefault="00D8195F" w:rsidP="0040534E">
      <w:pPr>
        <w:rPr>
          <w:rFonts w:cs="Arial"/>
        </w:rPr>
      </w:pPr>
      <w:r>
        <w:t>Diese Informationen gelten für die Installation von NETGEAR Produkten zur Befestigung im Rack</w:t>
      </w:r>
    </w:p>
    <w:p w14:paraId="443777AB" w14:textId="77777777" w:rsidR="0040534E" w:rsidRPr="0040534E" w:rsidRDefault="0040534E" w:rsidP="0040534E">
      <w:pPr>
        <w:pStyle w:val="ListParagraph"/>
        <w:numPr>
          <w:ilvl w:val="0"/>
          <w:numId w:val="15"/>
        </w:numPr>
        <w:rPr>
          <w:rFonts w:cs="Arial"/>
        </w:rPr>
      </w:pPr>
      <w:r>
        <w:rPr>
          <w:b/>
        </w:rPr>
        <w:t>Umgebungstemperatur</w:t>
      </w:r>
      <w:r>
        <w:t>. Wenn der Switch in einem geschlossenen Rack oder einem Rack mit mehreren Einheiten installiert wird, ist die Umgebungstemperatur innerhalb des Racks möglicherweise höher als die Raumtemperatur. Sorgen Sie dafür, dass das Gerät in einer Umgebung mit geeigneter Umgebungstemperatur installiert wird.</w:t>
      </w:r>
    </w:p>
    <w:p w14:paraId="1EF6B5DD" w14:textId="77777777" w:rsidR="0040534E" w:rsidRPr="0040534E" w:rsidRDefault="0040534E" w:rsidP="0040534E">
      <w:pPr>
        <w:pStyle w:val="ListParagraph"/>
        <w:numPr>
          <w:ilvl w:val="0"/>
          <w:numId w:val="15"/>
        </w:numPr>
        <w:rPr>
          <w:rFonts w:cs="Arial"/>
        </w:rPr>
      </w:pPr>
      <w:r>
        <w:rPr>
          <w:b/>
        </w:rPr>
        <w:lastRenderedPageBreak/>
        <w:t>Verminderter Luftfluss</w:t>
      </w:r>
      <w:r>
        <w:t>. Bringen Sie das Gerät so im Rack an, dass der für den sicheren Betrieb des Geräts erforderliche Luftfluss garantiert ist.</w:t>
      </w:r>
    </w:p>
    <w:p w14:paraId="79AB917C" w14:textId="77777777" w:rsidR="0040534E" w:rsidRPr="0040534E" w:rsidRDefault="0040534E" w:rsidP="0040534E">
      <w:pPr>
        <w:pStyle w:val="ListParagraph"/>
        <w:numPr>
          <w:ilvl w:val="0"/>
          <w:numId w:val="15"/>
        </w:numPr>
        <w:rPr>
          <w:rFonts w:cs="Arial"/>
        </w:rPr>
      </w:pPr>
      <w:r>
        <w:rPr>
          <w:b/>
        </w:rPr>
        <w:t>Mechanische Belastung</w:t>
      </w:r>
      <w:r>
        <w:t>. Stellen Sie bei der Rackmontage eine gleichmäßige mechanische Belastung her, um gefährliche Bedingungen auszuschließen.</w:t>
      </w:r>
    </w:p>
    <w:p w14:paraId="45F936B6" w14:textId="77777777" w:rsidR="0040534E" w:rsidRPr="0040534E" w:rsidRDefault="0040534E" w:rsidP="0040534E">
      <w:pPr>
        <w:pStyle w:val="ListParagraph"/>
        <w:numPr>
          <w:ilvl w:val="0"/>
          <w:numId w:val="15"/>
        </w:numPr>
        <w:rPr>
          <w:rFonts w:cs="Arial"/>
        </w:rPr>
      </w:pPr>
      <w:r>
        <w:rPr>
          <w:b/>
        </w:rPr>
        <w:t>Überlastung des Stromkreises</w:t>
      </w:r>
      <w:r>
        <w:t>. Bedenken Sie beim Anschließen des Geräts an die Stromversorgung die Auswirkungen, die eine mögliche Überlastung der Stromkreise nach sich ziehen kann, und richten Sie Überstromschutz und Spannungszuleitung entsprechend ein. Beachten Sie dabei die Typenschildangaben.</w:t>
      </w:r>
    </w:p>
    <w:p w14:paraId="04B4B6EB" w14:textId="77777777" w:rsidR="0040534E" w:rsidRPr="0040534E" w:rsidRDefault="0040534E" w:rsidP="0040534E">
      <w:pPr>
        <w:pStyle w:val="ListParagraph"/>
        <w:numPr>
          <w:ilvl w:val="0"/>
          <w:numId w:val="15"/>
        </w:numPr>
        <w:rPr>
          <w:rFonts w:cs="Arial"/>
        </w:rPr>
      </w:pPr>
      <w:r>
        <w:rPr>
          <w:b/>
        </w:rPr>
        <w:t>Sichere Erdung</w:t>
      </w:r>
      <w:r>
        <w:t>. Dieses Produkt muss stets zuverlässig geerdet sein. Sorgen Sie daher für eine Erdung des Racks. Achten Sie vor allem auf Stromverbindungen, die nicht direkt mit dem Stromkreis verbunden sind (z. B. Steckerleisten).</w:t>
      </w:r>
    </w:p>
    <w:p w14:paraId="23D9FDD6" w14:textId="77777777" w:rsidR="0026043D" w:rsidRDefault="0040534E" w:rsidP="008A30EE">
      <w:pPr>
        <w:pStyle w:val="ListParagraph"/>
        <w:numPr>
          <w:ilvl w:val="0"/>
          <w:numId w:val="15"/>
        </w:numPr>
        <w:rPr>
          <w:rFonts w:cs="Arial"/>
        </w:rPr>
      </w:pPr>
      <w:r>
        <w:rPr>
          <w:b/>
        </w:rPr>
        <w:t>Abstände</w:t>
      </w:r>
      <w:r>
        <w:t>. Lassen Sie vor dem Rack genügend Abstand (mindestens 60 cm), damit Sie die Frontklappe komplett öffnen können. Lassen Sie hinter dem Rack mindestens 70 cm Platz, um eine ausreichende Belüftung zu gewährleisten und die Wartung zu erleichtern.</w:t>
      </w:r>
    </w:p>
    <w:p w14:paraId="25E1FB58" w14:textId="77777777" w:rsidR="007747FD" w:rsidRDefault="00F946ED" w:rsidP="007747FD">
      <w:pPr>
        <w:rPr>
          <w:rFonts w:cs="Arial"/>
        </w:rPr>
      </w:pPr>
      <w:r>
        <w:pict w14:anchorId="2ABF7066">
          <v:rect id="_x0000_i1025" style="width:468pt;height:1pt" o:hralign="center" o:hrstd="t" o:hrnoshade="t" o:hr="t" fillcolor="#7030a0" stroked="f"/>
        </w:pict>
      </w:r>
    </w:p>
    <w:p w14:paraId="69742600" w14:textId="77777777" w:rsidR="007747FD" w:rsidRDefault="007747FD" w:rsidP="007747FD">
      <w:pPr>
        <w:jc w:val="center"/>
      </w:pPr>
      <w:r>
        <w:t>NETGEAR Deutschland GmbH, Konrad-Zuse-Platz 1, 81829 München</w:t>
      </w:r>
    </w:p>
    <w:p w14:paraId="38FDB602" w14:textId="77777777" w:rsidR="00D55649" w:rsidRDefault="00D55649" w:rsidP="00DE7838">
      <w:pPr>
        <w:jc w:val="center"/>
        <w:rPr>
          <w:noProof/>
        </w:rPr>
      </w:pPr>
    </w:p>
    <w:p w14:paraId="27E2AF55" w14:textId="1D861FE9" w:rsidR="00E62611" w:rsidRDefault="00E62611" w:rsidP="00D55649">
      <w:pPr>
        <w:jc w:val="center"/>
      </w:pPr>
    </w:p>
    <w:sectPr w:rsidR="00E62611" w:rsidSect="00AE4C00">
      <w:footerReference w:type="defaul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EB0C" w14:textId="77777777" w:rsidR="00887D9B" w:rsidRDefault="00887D9B" w:rsidP="007747FD">
      <w:pPr>
        <w:spacing w:after="0" w:line="240" w:lineRule="auto"/>
      </w:pPr>
      <w:r>
        <w:separator/>
      </w:r>
    </w:p>
  </w:endnote>
  <w:endnote w:type="continuationSeparator" w:id="0">
    <w:p w14:paraId="31F73FD8" w14:textId="77777777" w:rsidR="00887D9B" w:rsidRDefault="00887D9B" w:rsidP="0077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undry Sterling Bold">
    <w:altName w:val="Calibri"/>
    <w:panose1 w:val="00000000000000000000"/>
    <w:charset w:val="00"/>
    <w:family w:val="swiss"/>
    <w:notTrueType/>
    <w:pitch w:val="default"/>
    <w:sig w:usb0="00000003" w:usb1="00000000" w:usb2="00000000" w:usb3="00000000" w:csb0="00000001" w:csb1="00000000"/>
  </w:font>
  <w:font w:name="Foundry Sterling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4CD2" w14:textId="78C25760" w:rsidR="00887D9B" w:rsidRDefault="00887D9B" w:rsidP="000B1672">
    <w:pPr>
      <w:jc w:val="center"/>
    </w:pPr>
    <w:r>
      <w:t xml:space="preserve">NETGEAR </w:t>
    </w:r>
    <w:r>
      <w:t>Konformitätserklärungen v36</w:t>
    </w:r>
    <w:r>
      <w:ptab w:relativeTo="margin" w:alignment="center" w:leader="none"/>
    </w:r>
    <w:r>
      <w:t xml:space="preserve"> überarbeitet </w:t>
    </w:r>
    <w:r w:rsidR="00F946ED">
      <w:t>11</w:t>
    </w:r>
    <w:r>
      <w:t>.0</w:t>
    </w:r>
    <w:r w:rsidR="00F946ED">
      <w:t>9</w:t>
    </w:r>
    <w:r>
      <w:t>.2022</w:t>
    </w:r>
    <w:r>
      <w:ptab w:relativeTo="margin" w:alignment="right" w:leader="none"/>
    </w:r>
    <w:r>
      <w:t xml:space="preserve">Seite </w:t>
    </w:r>
    <w:r w:rsidRPr="00AD5A34">
      <w:fldChar w:fldCharType="begin"/>
    </w:r>
    <w:r w:rsidRPr="00AD5A34">
      <w:instrText xml:space="preserve"> PAGE   \* MERGEFORMAT </w:instrText>
    </w:r>
    <w:r w:rsidRPr="00AD5A34">
      <w:fldChar w:fldCharType="separate"/>
    </w:r>
    <w:r>
      <w:t>21</w:t>
    </w:r>
    <w:r w:rsidRPr="00AD5A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F26B" w14:textId="77777777" w:rsidR="00887D9B" w:rsidRDefault="00887D9B" w:rsidP="007747FD">
      <w:pPr>
        <w:spacing w:after="0" w:line="240" w:lineRule="auto"/>
      </w:pPr>
      <w:r>
        <w:separator/>
      </w:r>
    </w:p>
  </w:footnote>
  <w:footnote w:type="continuationSeparator" w:id="0">
    <w:p w14:paraId="49D3B117" w14:textId="77777777" w:rsidR="00887D9B" w:rsidRDefault="00887D9B" w:rsidP="00774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80B2CE"/>
    <w:multiLevelType w:val="hybridMultilevel"/>
    <w:tmpl w:val="660B67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9793AB"/>
    <w:multiLevelType w:val="hybridMultilevel"/>
    <w:tmpl w:val="F2306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770098"/>
    <w:multiLevelType w:val="hybridMultilevel"/>
    <w:tmpl w:val="065D6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40B07E"/>
    <w:multiLevelType w:val="hybridMultilevel"/>
    <w:tmpl w:val="0333FA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93127C38"/>
    <w:lvl w:ilvl="0">
      <w:start w:val="1"/>
      <w:numFmt w:val="decimal"/>
      <w:lvlText w:val="%1."/>
      <w:lvlJc w:val="left"/>
      <w:pPr>
        <w:tabs>
          <w:tab w:val="num" w:pos="1800"/>
        </w:tabs>
        <w:ind w:left="1800" w:hanging="360"/>
      </w:pPr>
    </w:lvl>
  </w:abstractNum>
  <w:abstractNum w:abstractNumId="5" w15:restartNumberingAfterBreak="0">
    <w:nsid w:val="FFFFFF7D"/>
    <w:multiLevelType w:val="singleLevel"/>
    <w:tmpl w:val="E14A8D50"/>
    <w:lvl w:ilvl="0">
      <w:start w:val="1"/>
      <w:numFmt w:val="decimal"/>
      <w:lvlText w:val="%1."/>
      <w:lvlJc w:val="left"/>
      <w:pPr>
        <w:tabs>
          <w:tab w:val="num" w:pos="1440"/>
        </w:tabs>
        <w:ind w:left="1440" w:hanging="360"/>
      </w:pPr>
    </w:lvl>
  </w:abstractNum>
  <w:abstractNum w:abstractNumId="6" w15:restartNumberingAfterBreak="0">
    <w:nsid w:val="FFFFFF7E"/>
    <w:multiLevelType w:val="singleLevel"/>
    <w:tmpl w:val="F0A4694E"/>
    <w:lvl w:ilvl="0">
      <w:start w:val="1"/>
      <w:numFmt w:val="decimal"/>
      <w:lvlText w:val="%1."/>
      <w:lvlJc w:val="left"/>
      <w:pPr>
        <w:tabs>
          <w:tab w:val="num" w:pos="1080"/>
        </w:tabs>
        <w:ind w:left="1080" w:hanging="360"/>
      </w:pPr>
    </w:lvl>
  </w:abstractNum>
  <w:abstractNum w:abstractNumId="7" w15:restartNumberingAfterBreak="0">
    <w:nsid w:val="FFFFFF7F"/>
    <w:multiLevelType w:val="singleLevel"/>
    <w:tmpl w:val="596A9952"/>
    <w:lvl w:ilvl="0">
      <w:start w:val="1"/>
      <w:numFmt w:val="decimal"/>
      <w:lvlText w:val="%1."/>
      <w:lvlJc w:val="left"/>
      <w:pPr>
        <w:tabs>
          <w:tab w:val="num" w:pos="720"/>
        </w:tabs>
        <w:ind w:left="720" w:hanging="360"/>
      </w:pPr>
    </w:lvl>
  </w:abstractNum>
  <w:abstractNum w:abstractNumId="8" w15:restartNumberingAfterBreak="0">
    <w:nsid w:val="FFFFFF80"/>
    <w:multiLevelType w:val="singleLevel"/>
    <w:tmpl w:val="264C8FDC"/>
    <w:lvl w:ilvl="0">
      <w:start w:val="1"/>
      <w:numFmt w:val="bullet"/>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D0C81EDA"/>
    <w:lvl w:ilvl="0">
      <w:start w:val="1"/>
      <w:numFmt w:val="bullet"/>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722435F2"/>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4B56AFA8"/>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F7B681AC"/>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387EC08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041816"/>
    <w:multiLevelType w:val="hybridMultilevel"/>
    <w:tmpl w:val="753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05009"/>
    <w:multiLevelType w:val="hybridMultilevel"/>
    <w:tmpl w:val="AFEEECE6"/>
    <w:lvl w:ilvl="0" w:tplc="7690F5C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4468FE"/>
    <w:multiLevelType w:val="hybridMultilevel"/>
    <w:tmpl w:val="2ECA4D8C"/>
    <w:lvl w:ilvl="0" w:tplc="9B8846F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A03E56"/>
    <w:multiLevelType w:val="hybridMultilevel"/>
    <w:tmpl w:val="AF4C8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C21918"/>
    <w:multiLevelType w:val="hybridMultilevel"/>
    <w:tmpl w:val="11F62B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31522B3"/>
    <w:multiLevelType w:val="hybridMultilevel"/>
    <w:tmpl w:val="B3B2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FE4F0A"/>
    <w:multiLevelType w:val="hybridMultilevel"/>
    <w:tmpl w:val="D3FC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25283"/>
    <w:multiLevelType w:val="hybridMultilevel"/>
    <w:tmpl w:val="FECC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B3858"/>
    <w:multiLevelType w:val="hybridMultilevel"/>
    <w:tmpl w:val="78D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6D5834"/>
    <w:multiLevelType w:val="hybridMultilevel"/>
    <w:tmpl w:val="2B3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B7A85"/>
    <w:multiLevelType w:val="hybridMultilevel"/>
    <w:tmpl w:val="99D2B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0C94D4D"/>
    <w:multiLevelType w:val="hybridMultilevel"/>
    <w:tmpl w:val="8A4E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0CAE1A"/>
    <w:multiLevelType w:val="hybridMultilevel"/>
    <w:tmpl w:val="DE63D9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49564AC"/>
    <w:multiLevelType w:val="hybridMultilevel"/>
    <w:tmpl w:val="BDE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0D5022"/>
    <w:multiLevelType w:val="hybridMultilevel"/>
    <w:tmpl w:val="BD60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896329"/>
    <w:multiLevelType w:val="multilevel"/>
    <w:tmpl w:val="E790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982E48"/>
    <w:multiLevelType w:val="hybridMultilevel"/>
    <w:tmpl w:val="5804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D3B08CC"/>
    <w:multiLevelType w:val="hybridMultilevel"/>
    <w:tmpl w:val="67F45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EE85880"/>
    <w:multiLevelType w:val="hybridMultilevel"/>
    <w:tmpl w:val="E31AFBB2"/>
    <w:lvl w:ilvl="0" w:tplc="71C295AA">
      <w:numFmt w:val="bullet"/>
      <w:lvlText w:val=""/>
      <w:lvlJc w:val="left"/>
      <w:pPr>
        <w:ind w:left="1800" w:hanging="360"/>
      </w:pPr>
      <w:rPr>
        <w:rFonts w:ascii="Wingdings" w:eastAsiaTheme="minorHAns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384269B"/>
    <w:multiLevelType w:val="hybridMultilevel"/>
    <w:tmpl w:val="799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919B5"/>
    <w:multiLevelType w:val="hybridMultilevel"/>
    <w:tmpl w:val="DDB2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235DC"/>
    <w:multiLevelType w:val="hybridMultilevel"/>
    <w:tmpl w:val="E47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768AC"/>
    <w:multiLevelType w:val="hybridMultilevel"/>
    <w:tmpl w:val="CC5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A440C"/>
    <w:multiLevelType w:val="hybridMultilevel"/>
    <w:tmpl w:val="AC2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F1114"/>
    <w:multiLevelType w:val="hybridMultilevel"/>
    <w:tmpl w:val="72AA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56129"/>
    <w:multiLevelType w:val="hybridMultilevel"/>
    <w:tmpl w:val="C50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82176"/>
    <w:multiLevelType w:val="hybridMultilevel"/>
    <w:tmpl w:val="A240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F25EA"/>
    <w:multiLevelType w:val="hybridMultilevel"/>
    <w:tmpl w:val="E7A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3103C"/>
    <w:multiLevelType w:val="hybridMultilevel"/>
    <w:tmpl w:val="816222AA"/>
    <w:lvl w:ilvl="0" w:tplc="229637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682659">
    <w:abstractNumId w:val="13"/>
  </w:num>
  <w:num w:numId="2" w16cid:durableId="2087532495">
    <w:abstractNumId w:val="11"/>
  </w:num>
  <w:num w:numId="3" w16cid:durableId="581183130">
    <w:abstractNumId w:val="10"/>
  </w:num>
  <w:num w:numId="4" w16cid:durableId="1014460139">
    <w:abstractNumId w:val="9"/>
  </w:num>
  <w:num w:numId="5" w16cid:durableId="1050031314">
    <w:abstractNumId w:val="8"/>
  </w:num>
  <w:num w:numId="6" w16cid:durableId="1245259427">
    <w:abstractNumId w:val="12"/>
  </w:num>
  <w:num w:numId="7" w16cid:durableId="1547571066">
    <w:abstractNumId w:val="7"/>
  </w:num>
  <w:num w:numId="8" w16cid:durableId="1502625334">
    <w:abstractNumId w:val="6"/>
  </w:num>
  <w:num w:numId="9" w16cid:durableId="1495995229">
    <w:abstractNumId w:val="5"/>
  </w:num>
  <w:num w:numId="10" w16cid:durableId="1178038896">
    <w:abstractNumId w:val="4"/>
  </w:num>
  <w:num w:numId="11" w16cid:durableId="706640680">
    <w:abstractNumId w:val="38"/>
  </w:num>
  <w:num w:numId="12" w16cid:durableId="1393458525">
    <w:abstractNumId w:val="39"/>
  </w:num>
  <w:num w:numId="13" w16cid:durableId="1403795062">
    <w:abstractNumId w:val="28"/>
  </w:num>
  <w:num w:numId="14" w16cid:durableId="871070712">
    <w:abstractNumId w:val="36"/>
  </w:num>
  <w:num w:numId="15" w16cid:durableId="1886210414">
    <w:abstractNumId w:val="17"/>
  </w:num>
  <w:num w:numId="16" w16cid:durableId="22174156">
    <w:abstractNumId w:val="32"/>
  </w:num>
  <w:num w:numId="17" w16cid:durableId="284627299">
    <w:abstractNumId w:val="31"/>
  </w:num>
  <w:num w:numId="18" w16cid:durableId="1806463460">
    <w:abstractNumId w:val="27"/>
  </w:num>
  <w:num w:numId="19" w16cid:durableId="1032729492">
    <w:abstractNumId w:val="30"/>
  </w:num>
  <w:num w:numId="20" w16cid:durableId="20770522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1718071">
    <w:abstractNumId w:val="24"/>
  </w:num>
  <w:num w:numId="22" w16cid:durableId="624042049">
    <w:abstractNumId w:val="19"/>
  </w:num>
  <w:num w:numId="23" w16cid:durableId="2056347578">
    <w:abstractNumId w:val="40"/>
  </w:num>
  <w:num w:numId="24" w16cid:durableId="2012563041">
    <w:abstractNumId w:val="33"/>
  </w:num>
  <w:num w:numId="25" w16cid:durableId="1841192404">
    <w:abstractNumId w:val="41"/>
  </w:num>
  <w:num w:numId="26" w16cid:durableId="1631202524">
    <w:abstractNumId w:val="42"/>
  </w:num>
  <w:num w:numId="27" w16cid:durableId="2009668504">
    <w:abstractNumId w:val="20"/>
  </w:num>
  <w:num w:numId="28" w16cid:durableId="1264538377">
    <w:abstractNumId w:val="14"/>
  </w:num>
  <w:num w:numId="29" w16cid:durableId="1235240006">
    <w:abstractNumId w:val="29"/>
  </w:num>
  <w:num w:numId="30" w16cid:durableId="2039507768">
    <w:abstractNumId w:val="37"/>
  </w:num>
  <w:num w:numId="31" w16cid:durableId="137311296">
    <w:abstractNumId w:val="34"/>
  </w:num>
  <w:num w:numId="32" w16cid:durableId="1550914332">
    <w:abstractNumId w:val="21"/>
  </w:num>
  <w:num w:numId="33" w16cid:durableId="1075736078">
    <w:abstractNumId w:val="22"/>
  </w:num>
  <w:num w:numId="34" w16cid:durableId="498152544">
    <w:abstractNumId w:val="15"/>
  </w:num>
  <w:num w:numId="35" w16cid:durableId="2019193219">
    <w:abstractNumId w:val="25"/>
  </w:num>
  <w:num w:numId="36" w16cid:durableId="2047756860">
    <w:abstractNumId w:val="23"/>
  </w:num>
  <w:num w:numId="37" w16cid:durableId="1288395324">
    <w:abstractNumId w:val="35"/>
  </w:num>
  <w:num w:numId="38" w16cid:durableId="1302271489">
    <w:abstractNumId w:val="16"/>
  </w:num>
  <w:num w:numId="39" w16cid:durableId="933901825">
    <w:abstractNumId w:val="2"/>
  </w:num>
  <w:num w:numId="40" w16cid:durableId="1182431286">
    <w:abstractNumId w:val="26"/>
  </w:num>
  <w:num w:numId="41" w16cid:durableId="938952793">
    <w:abstractNumId w:val="0"/>
  </w:num>
  <w:num w:numId="42" w16cid:durableId="208343604">
    <w:abstractNumId w:val="1"/>
  </w:num>
  <w:num w:numId="43" w16cid:durableId="698313538">
    <w:abstractNumId w:val="3"/>
  </w:num>
  <w:num w:numId="44" w16cid:durableId="11741074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0D"/>
    <w:rsid w:val="0000101F"/>
    <w:rsid w:val="0000477A"/>
    <w:rsid w:val="0000533D"/>
    <w:rsid w:val="00010328"/>
    <w:rsid w:val="00011236"/>
    <w:rsid w:val="00011C22"/>
    <w:rsid w:val="000127AA"/>
    <w:rsid w:val="000147B6"/>
    <w:rsid w:val="00014818"/>
    <w:rsid w:val="000212EE"/>
    <w:rsid w:val="000215AE"/>
    <w:rsid w:val="00022466"/>
    <w:rsid w:val="00027449"/>
    <w:rsid w:val="00031FFF"/>
    <w:rsid w:val="00037752"/>
    <w:rsid w:val="00042C67"/>
    <w:rsid w:val="000435D6"/>
    <w:rsid w:val="00045A55"/>
    <w:rsid w:val="000477B3"/>
    <w:rsid w:val="00047F4D"/>
    <w:rsid w:val="00054A73"/>
    <w:rsid w:val="00063563"/>
    <w:rsid w:val="0006445B"/>
    <w:rsid w:val="0006746B"/>
    <w:rsid w:val="00067D7F"/>
    <w:rsid w:val="000747E1"/>
    <w:rsid w:val="00075F96"/>
    <w:rsid w:val="00086ECA"/>
    <w:rsid w:val="000A40D1"/>
    <w:rsid w:val="000A4825"/>
    <w:rsid w:val="000A4B34"/>
    <w:rsid w:val="000A51B1"/>
    <w:rsid w:val="000B1672"/>
    <w:rsid w:val="000B36AE"/>
    <w:rsid w:val="000B6C98"/>
    <w:rsid w:val="000B6C9C"/>
    <w:rsid w:val="000C0C1B"/>
    <w:rsid w:val="000C20D9"/>
    <w:rsid w:val="000C411E"/>
    <w:rsid w:val="000C42DE"/>
    <w:rsid w:val="000D203C"/>
    <w:rsid w:val="000D6A99"/>
    <w:rsid w:val="000D7E4D"/>
    <w:rsid w:val="000E14ED"/>
    <w:rsid w:val="000E23B5"/>
    <w:rsid w:val="000E2515"/>
    <w:rsid w:val="000E301F"/>
    <w:rsid w:val="000E6B64"/>
    <w:rsid w:val="000E7882"/>
    <w:rsid w:val="000F03DC"/>
    <w:rsid w:val="000F251E"/>
    <w:rsid w:val="000F2CE9"/>
    <w:rsid w:val="000F304C"/>
    <w:rsid w:val="000F395D"/>
    <w:rsid w:val="000F4A86"/>
    <w:rsid w:val="001035C0"/>
    <w:rsid w:val="00104BC3"/>
    <w:rsid w:val="00124B98"/>
    <w:rsid w:val="00124BAD"/>
    <w:rsid w:val="0012607E"/>
    <w:rsid w:val="001263C7"/>
    <w:rsid w:val="0012644D"/>
    <w:rsid w:val="00130A80"/>
    <w:rsid w:val="00132062"/>
    <w:rsid w:val="0013300D"/>
    <w:rsid w:val="00142EC6"/>
    <w:rsid w:val="0014339D"/>
    <w:rsid w:val="00145201"/>
    <w:rsid w:val="00145868"/>
    <w:rsid w:val="0015149C"/>
    <w:rsid w:val="00151917"/>
    <w:rsid w:val="00152F10"/>
    <w:rsid w:val="00155080"/>
    <w:rsid w:val="00157F81"/>
    <w:rsid w:val="001619F2"/>
    <w:rsid w:val="00164A46"/>
    <w:rsid w:val="0017180B"/>
    <w:rsid w:val="001748E9"/>
    <w:rsid w:val="00174B99"/>
    <w:rsid w:val="00176244"/>
    <w:rsid w:val="00180FB9"/>
    <w:rsid w:val="00187888"/>
    <w:rsid w:val="00190050"/>
    <w:rsid w:val="001903FF"/>
    <w:rsid w:val="00194876"/>
    <w:rsid w:val="001A41EA"/>
    <w:rsid w:val="001A4C46"/>
    <w:rsid w:val="001A514C"/>
    <w:rsid w:val="001A59A6"/>
    <w:rsid w:val="001B46B7"/>
    <w:rsid w:val="001B5599"/>
    <w:rsid w:val="001B7ECA"/>
    <w:rsid w:val="001C4B14"/>
    <w:rsid w:val="001D77A4"/>
    <w:rsid w:val="001E0784"/>
    <w:rsid w:val="001E4EB5"/>
    <w:rsid w:val="001E54B9"/>
    <w:rsid w:val="001E6007"/>
    <w:rsid w:val="001E6DA5"/>
    <w:rsid w:val="001F2CF2"/>
    <w:rsid w:val="001F3313"/>
    <w:rsid w:val="001F3F1D"/>
    <w:rsid w:val="001F54C4"/>
    <w:rsid w:val="00201E44"/>
    <w:rsid w:val="00201F29"/>
    <w:rsid w:val="002044E6"/>
    <w:rsid w:val="00204A14"/>
    <w:rsid w:val="002064B6"/>
    <w:rsid w:val="002145BB"/>
    <w:rsid w:val="00217BC8"/>
    <w:rsid w:val="00217EFE"/>
    <w:rsid w:val="0023008B"/>
    <w:rsid w:val="002330C5"/>
    <w:rsid w:val="00233A1F"/>
    <w:rsid w:val="00234A05"/>
    <w:rsid w:val="002414BE"/>
    <w:rsid w:val="00250F36"/>
    <w:rsid w:val="00251B7C"/>
    <w:rsid w:val="0026043D"/>
    <w:rsid w:val="00260503"/>
    <w:rsid w:val="00260B0E"/>
    <w:rsid w:val="00260B39"/>
    <w:rsid w:val="00263213"/>
    <w:rsid w:val="00263361"/>
    <w:rsid w:val="00263DC2"/>
    <w:rsid w:val="00266E54"/>
    <w:rsid w:val="00276750"/>
    <w:rsid w:val="00276868"/>
    <w:rsid w:val="00277065"/>
    <w:rsid w:val="00277177"/>
    <w:rsid w:val="00281A17"/>
    <w:rsid w:val="00281B31"/>
    <w:rsid w:val="00284AF5"/>
    <w:rsid w:val="00290AEF"/>
    <w:rsid w:val="00293858"/>
    <w:rsid w:val="00294042"/>
    <w:rsid w:val="00294208"/>
    <w:rsid w:val="002A1D67"/>
    <w:rsid w:val="002A2D30"/>
    <w:rsid w:val="002A6434"/>
    <w:rsid w:val="002A7E78"/>
    <w:rsid w:val="002B2473"/>
    <w:rsid w:val="002B3585"/>
    <w:rsid w:val="002B58BB"/>
    <w:rsid w:val="002C4B56"/>
    <w:rsid w:val="002C73E9"/>
    <w:rsid w:val="002C7415"/>
    <w:rsid w:val="002D60EB"/>
    <w:rsid w:val="002D6D64"/>
    <w:rsid w:val="002E0621"/>
    <w:rsid w:val="002E361F"/>
    <w:rsid w:val="002E5510"/>
    <w:rsid w:val="002E6629"/>
    <w:rsid w:val="002F0CAE"/>
    <w:rsid w:val="002F1C2F"/>
    <w:rsid w:val="002F2D23"/>
    <w:rsid w:val="002F32A0"/>
    <w:rsid w:val="002F3CBE"/>
    <w:rsid w:val="00307134"/>
    <w:rsid w:val="00312797"/>
    <w:rsid w:val="00313BAD"/>
    <w:rsid w:val="00314CF3"/>
    <w:rsid w:val="00315028"/>
    <w:rsid w:val="00315237"/>
    <w:rsid w:val="00315929"/>
    <w:rsid w:val="0031607B"/>
    <w:rsid w:val="003177A8"/>
    <w:rsid w:val="003200B1"/>
    <w:rsid w:val="00320D63"/>
    <w:rsid w:val="003343D9"/>
    <w:rsid w:val="003413AE"/>
    <w:rsid w:val="00341846"/>
    <w:rsid w:val="00342297"/>
    <w:rsid w:val="0034553B"/>
    <w:rsid w:val="00346382"/>
    <w:rsid w:val="00346F97"/>
    <w:rsid w:val="00347E70"/>
    <w:rsid w:val="00351260"/>
    <w:rsid w:val="00354B5B"/>
    <w:rsid w:val="00354E7E"/>
    <w:rsid w:val="00354FF9"/>
    <w:rsid w:val="00356269"/>
    <w:rsid w:val="003572CF"/>
    <w:rsid w:val="00371A57"/>
    <w:rsid w:val="00375F22"/>
    <w:rsid w:val="00375FF8"/>
    <w:rsid w:val="0037608F"/>
    <w:rsid w:val="00382666"/>
    <w:rsid w:val="0038724B"/>
    <w:rsid w:val="00387A5A"/>
    <w:rsid w:val="00391C39"/>
    <w:rsid w:val="00394F1F"/>
    <w:rsid w:val="003A0DA1"/>
    <w:rsid w:val="003A6025"/>
    <w:rsid w:val="003B01F9"/>
    <w:rsid w:val="003B05E3"/>
    <w:rsid w:val="003B1754"/>
    <w:rsid w:val="003B28A1"/>
    <w:rsid w:val="003B293C"/>
    <w:rsid w:val="003B3DC6"/>
    <w:rsid w:val="003B3E0A"/>
    <w:rsid w:val="003B5C5E"/>
    <w:rsid w:val="003C35E7"/>
    <w:rsid w:val="003C44A0"/>
    <w:rsid w:val="003C6B77"/>
    <w:rsid w:val="003D2494"/>
    <w:rsid w:val="003D5457"/>
    <w:rsid w:val="003D7795"/>
    <w:rsid w:val="003E066C"/>
    <w:rsid w:val="003E0CCE"/>
    <w:rsid w:val="003E0E35"/>
    <w:rsid w:val="003E2EC0"/>
    <w:rsid w:val="003E5064"/>
    <w:rsid w:val="003F09B3"/>
    <w:rsid w:val="003F20E8"/>
    <w:rsid w:val="003F3A5A"/>
    <w:rsid w:val="003F4F06"/>
    <w:rsid w:val="003F7B59"/>
    <w:rsid w:val="00401B39"/>
    <w:rsid w:val="00404C25"/>
    <w:rsid w:val="0040534E"/>
    <w:rsid w:val="004053EC"/>
    <w:rsid w:val="00406A5B"/>
    <w:rsid w:val="00410A44"/>
    <w:rsid w:val="00413E95"/>
    <w:rsid w:val="00417F27"/>
    <w:rsid w:val="00420559"/>
    <w:rsid w:val="00421319"/>
    <w:rsid w:val="004217DC"/>
    <w:rsid w:val="00423270"/>
    <w:rsid w:val="00423F6A"/>
    <w:rsid w:val="00424412"/>
    <w:rsid w:val="00424989"/>
    <w:rsid w:val="00430601"/>
    <w:rsid w:val="00431D4F"/>
    <w:rsid w:val="00434EC6"/>
    <w:rsid w:val="00434FDD"/>
    <w:rsid w:val="004354C0"/>
    <w:rsid w:val="0044027B"/>
    <w:rsid w:val="00440354"/>
    <w:rsid w:val="00441C80"/>
    <w:rsid w:val="00442E7F"/>
    <w:rsid w:val="004437D2"/>
    <w:rsid w:val="0044582A"/>
    <w:rsid w:val="00445F96"/>
    <w:rsid w:val="00447B86"/>
    <w:rsid w:val="004570E2"/>
    <w:rsid w:val="0046104C"/>
    <w:rsid w:val="00463A8D"/>
    <w:rsid w:val="0048171C"/>
    <w:rsid w:val="0048177F"/>
    <w:rsid w:val="00481C42"/>
    <w:rsid w:val="00482369"/>
    <w:rsid w:val="00485B89"/>
    <w:rsid w:val="004874C5"/>
    <w:rsid w:val="0049001A"/>
    <w:rsid w:val="00491C10"/>
    <w:rsid w:val="00494D1A"/>
    <w:rsid w:val="00496277"/>
    <w:rsid w:val="004A7BFA"/>
    <w:rsid w:val="004A7D3F"/>
    <w:rsid w:val="004B1640"/>
    <w:rsid w:val="004B22D1"/>
    <w:rsid w:val="004B2951"/>
    <w:rsid w:val="004B319D"/>
    <w:rsid w:val="004B4F57"/>
    <w:rsid w:val="004C163F"/>
    <w:rsid w:val="004C3A6A"/>
    <w:rsid w:val="004C712D"/>
    <w:rsid w:val="004D2019"/>
    <w:rsid w:val="004D3CB2"/>
    <w:rsid w:val="004D74B1"/>
    <w:rsid w:val="004E30A8"/>
    <w:rsid w:val="004E534D"/>
    <w:rsid w:val="004E5CDC"/>
    <w:rsid w:val="004E6865"/>
    <w:rsid w:val="004F02A8"/>
    <w:rsid w:val="004F0B55"/>
    <w:rsid w:val="004F497D"/>
    <w:rsid w:val="004F5457"/>
    <w:rsid w:val="00502E0D"/>
    <w:rsid w:val="0050414C"/>
    <w:rsid w:val="00504C13"/>
    <w:rsid w:val="00507E03"/>
    <w:rsid w:val="00510C1B"/>
    <w:rsid w:val="00510FD6"/>
    <w:rsid w:val="00512C32"/>
    <w:rsid w:val="00516FEC"/>
    <w:rsid w:val="00523081"/>
    <w:rsid w:val="00523200"/>
    <w:rsid w:val="0052662C"/>
    <w:rsid w:val="0052671E"/>
    <w:rsid w:val="00527ADC"/>
    <w:rsid w:val="00530C71"/>
    <w:rsid w:val="00530F29"/>
    <w:rsid w:val="00531789"/>
    <w:rsid w:val="005322BD"/>
    <w:rsid w:val="00540578"/>
    <w:rsid w:val="005426C2"/>
    <w:rsid w:val="00542BAE"/>
    <w:rsid w:val="00544635"/>
    <w:rsid w:val="00546238"/>
    <w:rsid w:val="00553FB4"/>
    <w:rsid w:val="00554260"/>
    <w:rsid w:val="005546E5"/>
    <w:rsid w:val="0055539B"/>
    <w:rsid w:val="0055706F"/>
    <w:rsid w:val="0056586B"/>
    <w:rsid w:val="005740B4"/>
    <w:rsid w:val="005749B5"/>
    <w:rsid w:val="005756BD"/>
    <w:rsid w:val="005778CF"/>
    <w:rsid w:val="005806E0"/>
    <w:rsid w:val="00583B2A"/>
    <w:rsid w:val="005860FE"/>
    <w:rsid w:val="00590123"/>
    <w:rsid w:val="0059065D"/>
    <w:rsid w:val="00591F7C"/>
    <w:rsid w:val="00593BB7"/>
    <w:rsid w:val="00594E54"/>
    <w:rsid w:val="005A3EBA"/>
    <w:rsid w:val="005A5077"/>
    <w:rsid w:val="005B1993"/>
    <w:rsid w:val="005C121F"/>
    <w:rsid w:val="005C4A60"/>
    <w:rsid w:val="005C6860"/>
    <w:rsid w:val="005D17AE"/>
    <w:rsid w:val="005D389D"/>
    <w:rsid w:val="005E602B"/>
    <w:rsid w:val="005F1BE8"/>
    <w:rsid w:val="005F214C"/>
    <w:rsid w:val="005F3CE1"/>
    <w:rsid w:val="005F5119"/>
    <w:rsid w:val="00603489"/>
    <w:rsid w:val="00604F74"/>
    <w:rsid w:val="0060535B"/>
    <w:rsid w:val="0060625B"/>
    <w:rsid w:val="006067D1"/>
    <w:rsid w:val="006078D0"/>
    <w:rsid w:val="006110E2"/>
    <w:rsid w:val="006114AF"/>
    <w:rsid w:val="00611E9C"/>
    <w:rsid w:val="00612DC5"/>
    <w:rsid w:val="00615AFF"/>
    <w:rsid w:val="00620D32"/>
    <w:rsid w:val="00620E05"/>
    <w:rsid w:val="00621AAC"/>
    <w:rsid w:val="006239CE"/>
    <w:rsid w:val="00623EEA"/>
    <w:rsid w:val="0062527A"/>
    <w:rsid w:val="00627781"/>
    <w:rsid w:val="00631365"/>
    <w:rsid w:val="006314A6"/>
    <w:rsid w:val="00635055"/>
    <w:rsid w:val="00642DE3"/>
    <w:rsid w:val="00643CD4"/>
    <w:rsid w:val="006464D3"/>
    <w:rsid w:val="006465B0"/>
    <w:rsid w:val="006473A7"/>
    <w:rsid w:val="00650BE1"/>
    <w:rsid w:val="00653370"/>
    <w:rsid w:val="006611D6"/>
    <w:rsid w:val="00665F5B"/>
    <w:rsid w:val="00667738"/>
    <w:rsid w:val="00667B8A"/>
    <w:rsid w:val="00675A65"/>
    <w:rsid w:val="00676CC8"/>
    <w:rsid w:val="00682E9D"/>
    <w:rsid w:val="00683FD5"/>
    <w:rsid w:val="006840DB"/>
    <w:rsid w:val="0068435A"/>
    <w:rsid w:val="00684CF1"/>
    <w:rsid w:val="00686CE9"/>
    <w:rsid w:val="00695862"/>
    <w:rsid w:val="0069591F"/>
    <w:rsid w:val="00697549"/>
    <w:rsid w:val="0069788A"/>
    <w:rsid w:val="006A0246"/>
    <w:rsid w:val="006A070C"/>
    <w:rsid w:val="006A18D5"/>
    <w:rsid w:val="006A663D"/>
    <w:rsid w:val="006B01B8"/>
    <w:rsid w:val="006B124E"/>
    <w:rsid w:val="006B3862"/>
    <w:rsid w:val="006B4956"/>
    <w:rsid w:val="006B51C6"/>
    <w:rsid w:val="006C1A5E"/>
    <w:rsid w:val="006C3E49"/>
    <w:rsid w:val="006C7F36"/>
    <w:rsid w:val="006D0E42"/>
    <w:rsid w:val="006D1744"/>
    <w:rsid w:val="006D178B"/>
    <w:rsid w:val="006D5780"/>
    <w:rsid w:val="006D6E83"/>
    <w:rsid w:val="006E6F0E"/>
    <w:rsid w:val="006E714A"/>
    <w:rsid w:val="006F2801"/>
    <w:rsid w:val="006F292F"/>
    <w:rsid w:val="006F32B8"/>
    <w:rsid w:val="006F503A"/>
    <w:rsid w:val="006F52BA"/>
    <w:rsid w:val="006F6302"/>
    <w:rsid w:val="007000CC"/>
    <w:rsid w:val="00711C6D"/>
    <w:rsid w:val="00716A11"/>
    <w:rsid w:val="007230FA"/>
    <w:rsid w:val="00727A09"/>
    <w:rsid w:val="0073303E"/>
    <w:rsid w:val="00742C88"/>
    <w:rsid w:val="00742D36"/>
    <w:rsid w:val="00743DE1"/>
    <w:rsid w:val="007456AA"/>
    <w:rsid w:val="00745F46"/>
    <w:rsid w:val="007465B2"/>
    <w:rsid w:val="00751520"/>
    <w:rsid w:val="00756B28"/>
    <w:rsid w:val="007576CC"/>
    <w:rsid w:val="00763931"/>
    <w:rsid w:val="007647B0"/>
    <w:rsid w:val="00765625"/>
    <w:rsid w:val="007747FD"/>
    <w:rsid w:val="00775411"/>
    <w:rsid w:val="00775DC6"/>
    <w:rsid w:val="00782DCC"/>
    <w:rsid w:val="00782EDA"/>
    <w:rsid w:val="007836E8"/>
    <w:rsid w:val="00785CF6"/>
    <w:rsid w:val="00790898"/>
    <w:rsid w:val="007A2880"/>
    <w:rsid w:val="007A37BA"/>
    <w:rsid w:val="007A7DC9"/>
    <w:rsid w:val="007B2983"/>
    <w:rsid w:val="007B4860"/>
    <w:rsid w:val="007C0A5A"/>
    <w:rsid w:val="007C4FD1"/>
    <w:rsid w:val="007C5FA2"/>
    <w:rsid w:val="007C6C8A"/>
    <w:rsid w:val="007D04AC"/>
    <w:rsid w:val="007D0D27"/>
    <w:rsid w:val="007D1EBC"/>
    <w:rsid w:val="007D277E"/>
    <w:rsid w:val="007D5B99"/>
    <w:rsid w:val="007E040C"/>
    <w:rsid w:val="007E389D"/>
    <w:rsid w:val="007E573C"/>
    <w:rsid w:val="007E5B60"/>
    <w:rsid w:val="007F284C"/>
    <w:rsid w:val="007F359B"/>
    <w:rsid w:val="007F3816"/>
    <w:rsid w:val="007F5C80"/>
    <w:rsid w:val="0080229A"/>
    <w:rsid w:val="00807DED"/>
    <w:rsid w:val="008122A0"/>
    <w:rsid w:val="0081235B"/>
    <w:rsid w:val="008127FD"/>
    <w:rsid w:val="0081445F"/>
    <w:rsid w:val="00814F87"/>
    <w:rsid w:val="00816B70"/>
    <w:rsid w:val="00816D3E"/>
    <w:rsid w:val="008172B1"/>
    <w:rsid w:val="00820802"/>
    <w:rsid w:val="00820C84"/>
    <w:rsid w:val="00821506"/>
    <w:rsid w:val="0082382E"/>
    <w:rsid w:val="008244B2"/>
    <w:rsid w:val="00832DE1"/>
    <w:rsid w:val="00833B0F"/>
    <w:rsid w:val="008341C9"/>
    <w:rsid w:val="008345D0"/>
    <w:rsid w:val="00834D53"/>
    <w:rsid w:val="008350C8"/>
    <w:rsid w:val="008370E7"/>
    <w:rsid w:val="00844B44"/>
    <w:rsid w:val="008509C9"/>
    <w:rsid w:val="00856E11"/>
    <w:rsid w:val="008626B5"/>
    <w:rsid w:val="00863997"/>
    <w:rsid w:val="00864319"/>
    <w:rsid w:val="0086630F"/>
    <w:rsid w:val="00866A38"/>
    <w:rsid w:val="008707F9"/>
    <w:rsid w:val="00874AD2"/>
    <w:rsid w:val="00875031"/>
    <w:rsid w:val="00877E6D"/>
    <w:rsid w:val="00880428"/>
    <w:rsid w:val="00880523"/>
    <w:rsid w:val="008824E6"/>
    <w:rsid w:val="0088639A"/>
    <w:rsid w:val="00887D9B"/>
    <w:rsid w:val="00892279"/>
    <w:rsid w:val="008944C4"/>
    <w:rsid w:val="0089506E"/>
    <w:rsid w:val="008A1173"/>
    <w:rsid w:val="008A152F"/>
    <w:rsid w:val="008A30EE"/>
    <w:rsid w:val="008A3B83"/>
    <w:rsid w:val="008B4430"/>
    <w:rsid w:val="008C2049"/>
    <w:rsid w:val="008C2AC8"/>
    <w:rsid w:val="008C3C9C"/>
    <w:rsid w:val="008C4E60"/>
    <w:rsid w:val="008C6680"/>
    <w:rsid w:val="008C77FA"/>
    <w:rsid w:val="008D3F45"/>
    <w:rsid w:val="008D3F8E"/>
    <w:rsid w:val="008D49D2"/>
    <w:rsid w:val="008D4B1D"/>
    <w:rsid w:val="008E0AE0"/>
    <w:rsid w:val="008E1045"/>
    <w:rsid w:val="008F23C9"/>
    <w:rsid w:val="008F2752"/>
    <w:rsid w:val="009016A7"/>
    <w:rsid w:val="00906EAF"/>
    <w:rsid w:val="00921BE7"/>
    <w:rsid w:val="00922A55"/>
    <w:rsid w:val="0092333D"/>
    <w:rsid w:val="009246CD"/>
    <w:rsid w:val="00931EEB"/>
    <w:rsid w:val="00933F34"/>
    <w:rsid w:val="00935050"/>
    <w:rsid w:val="00936F79"/>
    <w:rsid w:val="009441F4"/>
    <w:rsid w:val="00944A3B"/>
    <w:rsid w:val="009450E0"/>
    <w:rsid w:val="00952395"/>
    <w:rsid w:val="00956AB1"/>
    <w:rsid w:val="00956C18"/>
    <w:rsid w:val="00957030"/>
    <w:rsid w:val="00957073"/>
    <w:rsid w:val="0096116C"/>
    <w:rsid w:val="00964B33"/>
    <w:rsid w:val="0097006B"/>
    <w:rsid w:val="00990AC1"/>
    <w:rsid w:val="009913BA"/>
    <w:rsid w:val="00991CB7"/>
    <w:rsid w:val="00995943"/>
    <w:rsid w:val="009A054E"/>
    <w:rsid w:val="009A1357"/>
    <w:rsid w:val="009A22C9"/>
    <w:rsid w:val="009A5C72"/>
    <w:rsid w:val="009A675F"/>
    <w:rsid w:val="009A769B"/>
    <w:rsid w:val="009B16CB"/>
    <w:rsid w:val="009B5DC2"/>
    <w:rsid w:val="009C105E"/>
    <w:rsid w:val="009C1BEF"/>
    <w:rsid w:val="009C202A"/>
    <w:rsid w:val="009C2166"/>
    <w:rsid w:val="009C27BE"/>
    <w:rsid w:val="009E043D"/>
    <w:rsid w:val="009E16C7"/>
    <w:rsid w:val="009E172B"/>
    <w:rsid w:val="009E1A24"/>
    <w:rsid w:val="009F10BF"/>
    <w:rsid w:val="009F1EF2"/>
    <w:rsid w:val="009F3130"/>
    <w:rsid w:val="009F4584"/>
    <w:rsid w:val="009F4DAB"/>
    <w:rsid w:val="00A00538"/>
    <w:rsid w:val="00A00D27"/>
    <w:rsid w:val="00A03195"/>
    <w:rsid w:val="00A12B63"/>
    <w:rsid w:val="00A23CD2"/>
    <w:rsid w:val="00A254E8"/>
    <w:rsid w:val="00A26F22"/>
    <w:rsid w:val="00A3605E"/>
    <w:rsid w:val="00A360FC"/>
    <w:rsid w:val="00A36BD1"/>
    <w:rsid w:val="00A40B93"/>
    <w:rsid w:val="00A413BA"/>
    <w:rsid w:val="00A42825"/>
    <w:rsid w:val="00A443D6"/>
    <w:rsid w:val="00A44B0E"/>
    <w:rsid w:val="00A44D85"/>
    <w:rsid w:val="00A44DF9"/>
    <w:rsid w:val="00A5425C"/>
    <w:rsid w:val="00A5567C"/>
    <w:rsid w:val="00A56306"/>
    <w:rsid w:val="00A57D4F"/>
    <w:rsid w:val="00A61106"/>
    <w:rsid w:val="00A622E2"/>
    <w:rsid w:val="00A670DE"/>
    <w:rsid w:val="00A70FE2"/>
    <w:rsid w:val="00A72112"/>
    <w:rsid w:val="00A77C50"/>
    <w:rsid w:val="00A81D71"/>
    <w:rsid w:val="00A83AC9"/>
    <w:rsid w:val="00A86E9B"/>
    <w:rsid w:val="00A87C82"/>
    <w:rsid w:val="00A87FFB"/>
    <w:rsid w:val="00A92061"/>
    <w:rsid w:val="00A95388"/>
    <w:rsid w:val="00AA0DDA"/>
    <w:rsid w:val="00AA1A53"/>
    <w:rsid w:val="00AA1C70"/>
    <w:rsid w:val="00AA30D0"/>
    <w:rsid w:val="00AA4EED"/>
    <w:rsid w:val="00AA5A71"/>
    <w:rsid w:val="00AA5B25"/>
    <w:rsid w:val="00AA7FAE"/>
    <w:rsid w:val="00AC1FC9"/>
    <w:rsid w:val="00AC23E2"/>
    <w:rsid w:val="00AC5A02"/>
    <w:rsid w:val="00AD1E97"/>
    <w:rsid w:val="00AD3F79"/>
    <w:rsid w:val="00AD5A34"/>
    <w:rsid w:val="00AD5F1E"/>
    <w:rsid w:val="00AE18DC"/>
    <w:rsid w:val="00AE299A"/>
    <w:rsid w:val="00AE2A18"/>
    <w:rsid w:val="00AE2CB6"/>
    <w:rsid w:val="00AE3A05"/>
    <w:rsid w:val="00AE49FB"/>
    <w:rsid w:val="00AE4C00"/>
    <w:rsid w:val="00AE72FE"/>
    <w:rsid w:val="00AE7BC2"/>
    <w:rsid w:val="00AF5D93"/>
    <w:rsid w:val="00AF5E7F"/>
    <w:rsid w:val="00AF6B26"/>
    <w:rsid w:val="00B04F75"/>
    <w:rsid w:val="00B07032"/>
    <w:rsid w:val="00B0726F"/>
    <w:rsid w:val="00B12215"/>
    <w:rsid w:val="00B15620"/>
    <w:rsid w:val="00B2351F"/>
    <w:rsid w:val="00B24349"/>
    <w:rsid w:val="00B26FC8"/>
    <w:rsid w:val="00B30C34"/>
    <w:rsid w:val="00B36BA1"/>
    <w:rsid w:val="00B37C78"/>
    <w:rsid w:val="00B402FA"/>
    <w:rsid w:val="00B41119"/>
    <w:rsid w:val="00B437EA"/>
    <w:rsid w:val="00B45971"/>
    <w:rsid w:val="00B45C4B"/>
    <w:rsid w:val="00B5301B"/>
    <w:rsid w:val="00B62030"/>
    <w:rsid w:val="00B62416"/>
    <w:rsid w:val="00B647AA"/>
    <w:rsid w:val="00B654CA"/>
    <w:rsid w:val="00B76660"/>
    <w:rsid w:val="00B76D27"/>
    <w:rsid w:val="00B83F48"/>
    <w:rsid w:val="00B85660"/>
    <w:rsid w:val="00B85AB4"/>
    <w:rsid w:val="00B86893"/>
    <w:rsid w:val="00B90FD7"/>
    <w:rsid w:val="00BA03CE"/>
    <w:rsid w:val="00BA1B27"/>
    <w:rsid w:val="00BA29B1"/>
    <w:rsid w:val="00BB1CE3"/>
    <w:rsid w:val="00BB2455"/>
    <w:rsid w:val="00BB2623"/>
    <w:rsid w:val="00BB2B5E"/>
    <w:rsid w:val="00BB3188"/>
    <w:rsid w:val="00BB37EA"/>
    <w:rsid w:val="00BB5581"/>
    <w:rsid w:val="00BB66B4"/>
    <w:rsid w:val="00BB6EF9"/>
    <w:rsid w:val="00BC631F"/>
    <w:rsid w:val="00BC7AC3"/>
    <w:rsid w:val="00BD564C"/>
    <w:rsid w:val="00BD5A7D"/>
    <w:rsid w:val="00BD613A"/>
    <w:rsid w:val="00BE0FAC"/>
    <w:rsid w:val="00BE4392"/>
    <w:rsid w:val="00BE4923"/>
    <w:rsid w:val="00BE55C8"/>
    <w:rsid w:val="00BE7D6F"/>
    <w:rsid w:val="00BF07F1"/>
    <w:rsid w:val="00BF4BEC"/>
    <w:rsid w:val="00BF6C07"/>
    <w:rsid w:val="00C01830"/>
    <w:rsid w:val="00C03A95"/>
    <w:rsid w:val="00C06C76"/>
    <w:rsid w:val="00C1193F"/>
    <w:rsid w:val="00C11FB5"/>
    <w:rsid w:val="00C12422"/>
    <w:rsid w:val="00C151FA"/>
    <w:rsid w:val="00C1670E"/>
    <w:rsid w:val="00C243AA"/>
    <w:rsid w:val="00C3268C"/>
    <w:rsid w:val="00C34109"/>
    <w:rsid w:val="00C3537F"/>
    <w:rsid w:val="00C37937"/>
    <w:rsid w:val="00C41C95"/>
    <w:rsid w:val="00C4207D"/>
    <w:rsid w:val="00C46159"/>
    <w:rsid w:val="00C509BF"/>
    <w:rsid w:val="00C5342C"/>
    <w:rsid w:val="00C610D9"/>
    <w:rsid w:val="00C63A0C"/>
    <w:rsid w:val="00C64D3E"/>
    <w:rsid w:val="00C759EA"/>
    <w:rsid w:val="00C77FC0"/>
    <w:rsid w:val="00C801F8"/>
    <w:rsid w:val="00C831B1"/>
    <w:rsid w:val="00C9195E"/>
    <w:rsid w:val="00C9341D"/>
    <w:rsid w:val="00C9766E"/>
    <w:rsid w:val="00CA049C"/>
    <w:rsid w:val="00CA4328"/>
    <w:rsid w:val="00CA4343"/>
    <w:rsid w:val="00CA5893"/>
    <w:rsid w:val="00CA5926"/>
    <w:rsid w:val="00CA613A"/>
    <w:rsid w:val="00CB192D"/>
    <w:rsid w:val="00CB6A33"/>
    <w:rsid w:val="00CD6361"/>
    <w:rsid w:val="00CE7E5B"/>
    <w:rsid w:val="00CF0E11"/>
    <w:rsid w:val="00CF1108"/>
    <w:rsid w:val="00CF561C"/>
    <w:rsid w:val="00CF6217"/>
    <w:rsid w:val="00D06CFB"/>
    <w:rsid w:val="00D07607"/>
    <w:rsid w:val="00D07CD7"/>
    <w:rsid w:val="00D10A71"/>
    <w:rsid w:val="00D11E03"/>
    <w:rsid w:val="00D1216D"/>
    <w:rsid w:val="00D144BF"/>
    <w:rsid w:val="00D14AE9"/>
    <w:rsid w:val="00D16C69"/>
    <w:rsid w:val="00D16F43"/>
    <w:rsid w:val="00D17572"/>
    <w:rsid w:val="00D23AB7"/>
    <w:rsid w:val="00D32267"/>
    <w:rsid w:val="00D33BCF"/>
    <w:rsid w:val="00D372FF"/>
    <w:rsid w:val="00D47193"/>
    <w:rsid w:val="00D477EB"/>
    <w:rsid w:val="00D54FF3"/>
    <w:rsid w:val="00D55649"/>
    <w:rsid w:val="00D55B2D"/>
    <w:rsid w:val="00D56971"/>
    <w:rsid w:val="00D57181"/>
    <w:rsid w:val="00D62739"/>
    <w:rsid w:val="00D709AB"/>
    <w:rsid w:val="00D72E30"/>
    <w:rsid w:val="00D76DE3"/>
    <w:rsid w:val="00D76E4A"/>
    <w:rsid w:val="00D80416"/>
    <w:rsid w:val="00D8195F"/>
    <w:rsid w:val="00D83744"/>
    <w:rsid w:val="00D92B98"/>
    <w:rsid w:val="00D93A87"/>
    <w:rsid w:val="00D94F27"/>
    <w:rsid w:val="00DA0C40"/>
    <w:rsid w:val="00DA2340"/>
    <w:rsid w:val="00DA2909"/>
    <w:rsid w:val="00DA35FB"/>
    <w:rsid w:val="00DA3F88"/>
    <w:rsid w:val="00DA4579"/>
    <w:rsid w:val="00DA7671"/>
    <w:rsid w:val="00DB1424"/>
    <w:rsid w:val="00DB1C21"/>
    <w:rsid w:val="00DB2383"/>
    <w:rsid w:val="00DC19C1"/>
    <w:rsid w:val="00DC4207"/>
    <w:rsid w:val="00DC500E"/>
    <w:rsid w:val="00DC5EAA"/>
    <w:rsid w:val="00DC7558"/>
    <w:rsid w:val="00DD32FC"/>
    <w:rsid w:val="00DD4A52"/>
    <w:rsid w:val="00DE7200"/>
    <w:rsid w:val="00DE7838"/>
    <w:rsid w:val="00DF0D4A"/>
    <w:rsid w:val="00DF1FE9"/>
    <w:rsid w:val="00DF3F22"/>
    <w:rsid w:val="00DF5D73"/>
    <w:rsid w:val="00E02734"/>
    <w:rsid w:val="00E105BF"/>
    <w:rsid w:val="00E109AA"/>
    <w:rsid w:val="00E1333B"/>
    <w:rsid w:val="00E13347"/>
    <w:rsid w:val="00E13934"/>
    <w:rsid w:val="00E15178"/>
    <w:rsid w:val="00E230E0"/>
    <w:rsid w:val="00E2422A"/>
    <w:rsid w:val="00E244D6"/>
    <w:rsid w:val="00E252AF"/>
    <w:rsid w:val="00E253EC"/>
    <w:rsid w:val="00E26579"/>
    <w:rsid w:val="00E320CF"/>
    <w:rsid w:val="00E36D9F"/>
    <w:rsid w:val="00E3743F"/>
    <w:rsid w:val="00E37662"/>
    <w:rsid w:val="00E545E9"/>
    <w:rsid w:val="00E555C8"/>
    <w:rsid w:val="00E57E48"/>
    <w:rsid w:val="00E62611"/>
    <w:rsid w:val="00E63B27"/>
    <w:rsid w:val="00E7107C"/>
    <w:rsid w:val="00E72EE4"/>
    <w:rsid w:val="00E82C94"/>
    <w:rsid w:val="00E85723"/>
    <w:rsid w:val="00E862C9"/>
    <w:rsid w:val="00E90731"/>
    <w:rsid w:val="00EA5DA3"/>
    <w:rsid w:val="00EB009A"/>
    <w:rsid w:val="00EB1502"/>
    <w:rsid w:val="00EB52B4"/>
    <w:rsid w:val="00EC019B"/>
    <w:rsid w:val="00EC0F3B"/>
    <w:rsid w:val="00EC14AE"/>
    <w:rsid w:val="00EC1D55"/>
    <w:rsid w:val="00EC52DA"/>
    <w:rsid w:val="00EC6BD6"/>
    <w:rsid w:val="00EC7353"/>
    <w:rsid w:val="00ED0A66"/>
    <w:rsid w:val="00ED150C"/>
    <w:rsid w:val="00ED31F0"/>
    <w:rsid w:val="00ED54D5"/>
    <w:rsid w:val="00ED6388"/>
    <w:rsid w:val="00ED6E9F"/>
    <w:rsid w:val="00EE08C6"/>
    <w:rsid w:val="00EE0CE4"/>
    <w:rsid w:val="00EE2620"/>
    <w:rsid w:val="00EE4C24"/>
    <w:rsid w:val="00EE5249"/>
    <w:rsid w:val="00EE552E"/>
    <w:rsid w:val="00EE61BC"/>
    <w:rsid w:val="00EE7148"/>
    <w:rsid w:val="00EF352A"/>
    <w:rsid w:val="00EF48A7"/>
    <w:rsid w:val="00EF535E"/>
    <w:rsid w:val="00EF5A92"/>
    <w:rsid w:val="00EF6A6C"/>
    <w:rsid w:val="00F02BB1"/>
    <w:rsid w:val="00F07353"/>
    <w:rsid w:val="00F1393D"/>
    <w:rsid w:val="00F17B8B"/>
    <w:rsid w:val="00F205AA"/>
    <w:rsid w:val="00F21D50"/>
    <w:rsid w:val="00F36D72"/>
    <w:rsid w:val="00F409B7"/>
    <w:rsid w:val="00F41C2F"/>
    <w:rsid w:val="00F4773E"/>
    <w:rsid w:val="00F52ECD"/>
    <w:rsid w:val="00F550FF"/>
    <w:rsid w:val="00F55878"/>
    <w:rsid w:val="00F60757"/>
    <w:rsid w:val="00F61886"/>
    <w:rsid w:val="00F61B01"/>
    <w:rsid w:val="00F7291E"/>
    <w:rsid w:val="00F74373"/>
    <w:rsid w:val="00F750E6"/>
    <w:rsid w:val="00F76120"/>
    <w:rsid w:val="00F77478"/>
    <w:rsid w:val="00F77DDD"/>
    <w:rsid w:val="00F80C52"/>
    <w:rsid w:val="00F8221B"/>
    <w:rsid w:val="00F946ED"/>
    <w:rsid w:val="00FA27C1"/>
    <w:rsid w:val="00FA3B94"/>
    <w:rsid w:val="00FA3EFF"/>
    <w:rsid w:val="00FA4693"/>
    <w:rsid w:val="00FA5DA3"/>
    <w:rsid w:val="00FB3140"/>
    <w:rsid w:val="00FB5B24"/>
    <w:rsid w:val="00FB72F4"/>
    <w:rsid w:val="00FC00C7"/>
    <w:rsid w:val="00FC5C60"/>
    <w:rsid w:val="00FC7A0D"/>
    <w:rsid w:val="00FC7E78"/>
    <w:rsid w:val="00FD236E"/>
    <w:rsid w:val="00FD37C7"/>
    <w:rsid w:val="00FD41BE"/>
    <w:rsid w:val="00FD43BB"/>
    <w:rsid w:val="00FD441D"/>
    <w:rsid w:val="00FD7329"/>
    <w:rsid w:val="00FD781F"/>
    <w:rsid w:val="00FE06D9"/>
    <w:rsid w:val="00FE7064"/>
    <w:rsid w:val="00FF1ADF"/>
    <w:rsid w:val="00FF1D6C"/>
    <w:rsid w:val="00FF4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D810F6"/>
  <w15:docId w15:val="{66AC59ED-D454-4938-B6A4-7AF4DC71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3E9"/>
    <w:rPr>
      <w:rFonts w:ascii="Arial" w:hAnsi="Arial"/>
      <w:sz w:val="18"/>
    </w:rPr>
  </w:style>
  <w:style w:type="paragraph" w:styleId="Heading1">
    <w:name w:val="heading 1"/>
    <w:basedOn w:val="Normal"/>
    <w:next w:val="Normal"/>
    <w:link w:val="Heading1Char"/>
    <w:uiPriority w:val="9"/>
    <w:qFormat/>
    <w:rsid w:val="00481C42"/>
    <w:pPr>
      <w:keepNext/>
      <w:keepLines/>
      <w:spacing w:before="480" w:after="6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81C42"/>
    <w:pPr>
      <w:keepNext/>
      <w:keepLines/>
      <w:spacing w:before="200" w:after="6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481C42"/>
    <w:pPr>
      <w:keepNext/>
      <w:keepLines/>
      <w:spacing w:before="200" w:after="6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8122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0D"/>
    <w:rPr>
      <w:rFonts w:ascii="Tahoma" w:hAnsi="Tahoma" w:cs="Tahoma"/>
      <w:sz w:val="16"/>
      <w:szCs w:val="16"/>
    </w:rPr>
  </w:style>
  <w:style w:type="paragraph" w:styleId="Title">
    <w:name w:val="Title"/>
    <w:basedOn w:val="Normal"/>
    <w:next w:val="Normal"/>
    <w:link w:val="TitleChar"/>
    <w:autoRedefine/>
    <w:uiPriority w:val="10"/>
    <w:qFormat/>
    <w:rsid w:val="009F10BF"/>
    <w:pPr>
      <w:pBdr>
        <w:bottom w:val="single" w:sz="8" w:space="1" w:color="7030A0"/>
      </w:pBdr>
      <w:spacing w:after="300" w:line="240" w:lineRule="auto"/>
      <w:contextualSpacing/>
    </w:pPr>
    <w:rPr>
      <w:rFonts w:eastAsiaTheme="majorEastAsia" w:cstheme="majorBidi"/>
      <w:color w:val="000000" w:themeColor="text1"/>
      <w:spacing w:val="5"/>
      <w:kern w:val="28"/>
      <w:sz w:val="40"/>
      <w:szCs w:val="52"/>
    </w:rPr>
  </w:style>
  <w:style w:type="character" w:customStyle="1" w:styleId="TitleChar">
    <w:name w:val="Title Char"/>
    <w:basedOn w:val="DefaultParagraphFont"/>
    <w:link w:val="Title"/>
    <w:uiPriority w:val="10"/>
    <w:rsid w:val="009F10BF"/>
    <w:rPr>
      <w:rFonts w:ascii="Arial" w:eastAsiaTheme="majorEastAsia" w:hAnsi="Arial" w:cstheme="majorBidi"/>
      <w:color w:val="000000" w:themeColor="text1"/>
      <w:spacing w:val="5"/>
      <w:kern w:val="28"/>
      <w:sz w:val="40"/>
      <w:szCs w:val="52"/>
    </w:rPr>
  </w:style>
  <w:style w:type="paragraph" w:styleId="PlainText">
    <w:name w:val="Plain Text"/>
    <w:basedOn w:val="Normal"/>
    <w:link w:val="PlainTextChar"/>
    <w:uiPriority w:val="99"/>
    <w:unhideWhenUsed/>
    <w:rsid w:val="00502E0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02E0D"/>
    <w:rPr>
      <w:rFonts w:ascii="Consolas" w:hAnsi="Consolas" w:cs="Consolas"/>
      <w:sz w:val="21"/>
      <w:szCs w:val="21"/>
    </w:rPr>
  </w:style>
  <w:style w:type="character" w:customStyle="1" w:styleId="Heading1Char">
    <w:name w:val="Heading 1 Char"/>
    <w:basedOn w:val="DefaultParagraphFont"/>
    <w:link w:val="Heading1"/>
    <w:uiPriority w:val="9"/>
    <w:rsid w:val="00481C42"/>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4E534D"/>
    <w:pPr>
      <w:ind w:left="720"/>
      <w:contextualSpacing/>
    </w:pPr>
  </w:style>
  <w:style w:type="character" w:customStyle="1" w:styleId="Heading2Char">
    <w:name w:val="Heading 2 Char"/>
    <w:basedOn w:val="DefaultParagraphFont"/>
    <w:link w:val="Heading2"/>
    <w:uiPriority w:val="9"/>
    <w:rsid w:val="00481C42"/>
    <w:rPr>
      <w:rFonts w:ascii="Arial" w:eastAsiaTheme="majorEastAsia" w:hAnsi="Arial" w:cstheme="majorBidi"/>
      <w:b/>
      <w:bCs/>
      <w:color w:val="000000" w:themeColor="text1"/>
      <w:sz w:val="26"/>
      <w:szCs w:val="26"/>
    </w:rPr>
  </w:style>
  <w:style w:type="table" w:styleId="TableGrid">
    <w:name w:val="Table Grid"/>
    <w:basedOn w:val="TableNormal"/>
    <w:rsid w:val="005F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F1B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5F1BE8"/>
    <w:rPr>
      <w:rFonts w:ascii="Arial" w:hAnsi="Arial"/>
      <w:b/>
      <w:bCs/>
      <w:sz w:val="18"/>
    </w:rPr>
  </w:style>
  <w:style w:type="character" w:customStyle="1" w:styleId="Heading3Char">
    <w:name w:val="Heading 3 Char"/>
    <w:basedOn w:val="DefaultParagraphFont"/>
    <w:link w:val="Heading3"/>
    <w:uiPriority w:val="9"/>
    <w:rsid w:val="00481C42"/>
    <w:rPr>
      <w:rFonts w:ascii="Arial" w:eastAsiaTheme="majorEastAsia" w:hAnsi="Arial" w:cstheme="majorBidi"/>
      <w:b/>
      <w:bCs/>
      <w:color w:val="000000" w:themeColor="text1"/>
      <w:sz w:val="18"/>
    </w:rPr>
  </w:style>
  <w:style w:type="paragraph" w:styleId="Header">
    <w:name w:val="header"/>
    <w:basedOn w:val="Normal"/>
    <w:link w:val="HeaderChar"/>
    <w:uiPriority w:val="99"/>
    <w:unhideWhenUsed/>
    <w:rsid w:val="00774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7FD"/>
    <w:rPr>
      <w:rFonts w:ascii="Arial" w:hAnsi="Arial"/>
      <w:sz w:val="18"/>
    </w:rPr>
  </w:style>
  <w:style w:type="paragraph" w:styleId="Footer">
    <w:name w:val="footer"/>
    <w:basedOn w:val="Normal"/>
    <w:link w:val="FooterChar"/>
    <w:uiPriority w:val="99"/>
    <w:unhideWhenUsed/>
    <w:rsid w:val="0077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7FD"/>
    <w:rPr>
      <w:rFonts w:ascii="Arial" w:hAnsi="Arial"/>
      <w:sz w:val="18"/>
    </w:rPr>
  </w:style>
  <w:style w:type="paragraph" w:customStyle="1" w:styleId="SP241826">
    <w:name w:val="SP241826"/>
    <w:basedOn w:val="Normal"/>
    <w:next w:val="Normal"/>
    <w:uiPriority w:val="99"/>
    <w:rsid w:val="00C243AA"/>
    <w:pPr>
      <w:autoSpaceDE w:val="0"/>
      <w:autoSpaceDN w:val="0"/>
      <w:adjustRightInd w:val="0"/>
      <w:spacing w:after="0" w:line="240" w:lineRule="auto"/>
    </w:pPr>
    <w:rPr>
      <w:rFonts w:ascii="Times New Roman" w:hAnsi="Times New Roman" w:cs="Times New Roman"/>
      <w:sz w:val="24"/>
      <w:szCs w:val="24"/>
    </w:rPr>
  </w:style>
  <w:style w:type="paragraph" w:customStyle="1" w:styleId="SP241705">
    <w:name w:val="SP241705"/>
    <w:basedOn w:val="Normal"/>
    <w:next w:val="Normal"/>
    <w:uiPriority w:val="99"/>
    <w:rsid w:val="00C243AA"/>
    <w:pPr>
      <w:autoSpaceDE w:val="0"/>
      <w:autoSpaceDN w:val="0"/>
      <w:adjustRightInd w:val="0"/>
      <w:spacing w:after="0" w:line="240" w:lineRule="auto"/>
    </w:pPr>
    <w:rPr>
      <w:rFonts w:ascii="Times New Roman" w:hAnsi="Times New Roman" w:cs="Times New Roman"/>
      <w:sz w:val="24"/>
      <w:szCs w:val="24"/>
    </w:rPr>
  </w:style>
  <w:style w:type="character" w:customStyle="1" w:styleId="SC1512">
    <w:name w:val="SC1512"/>
    <w:uiPriority w:val="99"/>
    <w:rsid w:val="00C243AA"/>
    <w:rPr>
      <w:color w:val="000000"/>
      <w:sz w:val="20"/>
      <w:szCs w:val="20"/>
    </w:rPr>
  </w:style>
  <w:style w:type="paragraph" w:customStyle="1" w:styleId="Default">
    <w:name w:val="Default"/>
    <w:rsid w:val="00AE2A18"/>
    <w:pPr>
      <w:autoSpaceDE w:val="0"/>
      <w:autoSpaceDN w:val="0"/>
      <w:adjustRightInd w:val="0"/>
      <w:spacing w:after="0" w:line="240" w:lineRule="auto"/>
    </w:pPr>
    <w:rPr>
      <w:rFonts w:ascii="Verdana" w:hAnsi="Verdana" w:cs="Verdana"/>
      <w:color w:val="000000"/>
      <w:sz w:val="24"/>
      <w:szCs w:val="24"/>
    </w:rPr>
  </w:style>
  <w:style w:type="character" w:customStyle="1" w:styleId="shorttext">
    <w:name w:val="short_text"/>
    <w:basedOn w:val="DefaultParagraphFont"/>
    <w:rsid w:val="007D5B99"/>
  </w:style>
  <w:style w:type="character" w:customStyle="1" w:styleId="hps">
    <w:name w:val="hps"/>
    <w:basedOn w:val="DefaultParagraphFont"/>
    <w:rsid w:val="007D5B99"/>
  </w:style>
  <w:style w:type="paragraph" w:customStyle="1" w:styleId="SP5282723">
    <w:name w:val="SP.5.282723"/>
    <w:basedOn w:val="Normal"/>
    <w:uiPriority w:val="99"/>
    <w:rsid w:val="0040534E"/>
    <w:pPr>
      <w:autoSpaceDE w:val="0"/>
      <w:autoSpaceDN w:val="0"/>
      <w:spacing w:after="0" w:line="240" w:lineRule="auto"/>
    </w:pPr>
    <w:rPr>
      <w:rFonts w:cs="Arial"/>
      <w:sz w:val="24"/>
      <w:szCs w:val="24"/>
    </w:rPr>
  </w:style>
  <w:style w:type="character" w:customStyle="1" w:styleId="SC5188495">
    <w:name w:val="SC.5.188495"/>
    <w:basedOn w:val="DefaultParagraphFont"/>
    <w:uiPriority w:val="99"/>
    <w:rsid w:val="0040534E"/>
    <w:rPr>
      <w:b/>
      <w:bCs/>
      <w:color w:val="211D1E"/>
    </w:rPr>
  </w:style>
  <w:style w:type="paragraph" w:customStyle="1" w:styleId="Special">
    <w:name w:val="Special"/>
    <w:basedOn w:val="Normal"/>
    <w:rsid w:val="004570E2"/>
    <w:pPr>
      <w:spacing w:after="0" w:line="240" w:lineRule="auto"/>
      <w:jc w:val="center"/>
    </w:pPr>
    <w:rPr>
      <w:rFonts w:eastAsia="SimSun" w:cs="Arial"/>
      <w:sz w:val="20"/>
      <w:szCs w:val="20"/>
      <w:lang w:eastAsia="zh-CN"/>
    </w:rPr>
  </w:style>
  <w:style w:type="paragraph" w:styleId="HTMLPreformatted">
    <w:name w:val="HTML Preformatted"/>
    <w:basedOn w:val="Normal"/>
    <w:link w:val="HTMLPreformattedChar"/>
    <w:uiPriority w:val="99"/>
    <w:semiHidden/>
    <w:unhideWhenUsed/>
    <w:rsid w:val="00FD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41BE"/>
    <w:rPr>
      <w:rFonts w:ascii="Courier New" w:eastAsia="Times New Roman" w:hAnsi="Courier New" w:cs="Courier New"/>
      <w:sz w:val="20"/>
      <w:szCs w:val="20"/>
    </w:rPr>
  </w:style>
  <w:style w:type="character" w:styleId="Hyperlink">
    <w:name w:val="Hyperlink"/>
    <w:basedOn w:val="DefaultParagraphFont"/>
    <w:uiPriority w:val="99"/>
    <w:unhideWhenUsed/>
    <w:rsid w:val="00B76660"/>
    <w:rPr>
      <w:color w:val="0000FF" w:themeColor="hyperlink"/>
      <w:u w:val="single"/>
    </w:rPr>
  </w:style>
  <w:style w:type="character" w:customStyle="1" w:styleId="Heading4Char">
    <w:name w:val="Heading 4 Char"/>
    <w:basedOn w:val="DefaultParagraphFont"/>
    <w:link w:val="Heading4"/>
    <w:uiPriority w:val="9"/>
    <w:rsid w:val="008122A0"/>
    <w:rPr>
      <w:rFonts w:asciiTheme="majorHAnsi" w:eastAsiaTheme="majorEastAsia" w:hAnsiTheme="majorHAnsi" w:cstheme="majorBidi"/>
      <w:i/>
      <w:iCs/>
      <w:color w:val="365F91" w:themeColor="accent1" w:themeShade="BF"/>
      <w:sz w:val="18"/>
    </w:rPr>
  </w:style>
  <w:style w:type="paragraph" w:styleId="Revision">
    <w:name w:val="Revision"/>
    <w:hidden/>
    <w:uiPriority w:val="99"/>
    <w:semiHidden/>
    <w:rsid w:val="00EE61BC"/>
    <w:pPr>
      <w:spacing w:after="0" w:line="240" w:lineRule="auto"/>
    </w:pPr>
    <w:rPr>
      <w:rFonts w:ascii="Arial" w:hAnsi="Arial"/>
      <w:sz w:val="18"/>
    </w:rPr>
  </w:style>
  <w:style w:type="character" w:customStyle="1" w:styleId="UnresolvedMention1">
    <w:name w:val="Unresolved Mention1"/>
    <w:basedOn w:val="DefaultParagraphFont"/>
    <w:uiPriority w:val="99"/>
    <w:semiHidden/>
    <w:unhideWhenUsed/>
    <w:rsid w:val="00B654CA"/>
    <w:rPr>
      <w:color w:val="605E5C"/>
      <w:shd w:val="clear" w:color="auto" w:fill="E1DFDD"/>
    </w:rPr>
  </w:style>
  <w:style w:type="character" w:styleId="CommentReference">
    <w:name w:val="annotation reference"/>
    <w:basedOn w:val="DefaultParagraphFont"/>
    <w:uiPriority w:val="99"/>
    <w:semiHidden/>
    <w:unhideWhenUsed/>
    <w:rsid w:val="007C5FA2"/>
    <w:rPr>
      <w:sz w:val="16"/>
      <w:szCs w:val="16"/>
    </w:rPr>
  </w:style>
  <w:style w:type="paragraph" w:styleId="CommentText">
    <w:name w:val="annotation text"/>
    <w:basedOn w:val="Normal"/>
    <w:link w:val="CommentTextChar"/>
    <w:uiPriority w:val="99"/>
    <w:semiHidden/>
    <w:unhideWhenUsed/>
    <w:rsid w:val="007C5FA2"/>
    <w:pPr>
      <w:spacing w:line="240" w:lineRule="auto"/>
    </w:pPr>
    <w:rPr>
      <w:sz w:val="20"/>
      <w:szCs w:val="20"/>
    </w:rPr>
  </w:style>
  <w:style w:type="character" w:customStyle="1" w:styleId="CommentTextChar">
    <w:name w:val="Comment Text Char"/>
    <w:basedOn w:val="DefaultParagraphFont"/>
    <w:link w:val="CommentText"/>
    <w:uiPriority w:val="99"/>
    <w:semiHidden/>
    <w:rsid w:val="007C5F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5FA2"/>
    <w:rPr>
      <w:b/>
      <w:bCs/>
    </w:rPr>
  </w:style>
  <w:style w:type="character" w:customStyle="1" w:styleId="CommentSubjectChar">
    <w:name w:val="Comment Subject Char"/>
    <w:basedOn w:val="CommentTextChar"/>
    <w:link w:val="CommentSubject"/>
    <w:uiPriority w:val="99"/>
    <w:semiHidden/>
    <w:rsid w:val="007C5FA2"/>
    <w:rPr>
      <w:rFonts w:ascii="Arial" w:hAnsi="Arial"/>
      <w:b/>
      <w:bCs/>
      <w:sz w:val="20"/>
      <w:szCs w:val="20"/>
    </w:rPr>
  </w:style>
  <w:style w:type="paragraph" w:styleId="TOCHeading">
    <w:name w:val="TOC Heading"/>
    <w:basedOn w:val="Heading1"/>
    <w:next w:val="Normal"/>
    <w:uiPriority w:val="39"/>
    <w:unhideWhenUsed/>
    <w:qFormat/>
    <w:rsid w:val="00B45971"/>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B45971"/>
    <w:pPr>
      <w:tabs>
        <w:tab w:val="right" w:leader="dot" w:pos="9350"/>
      </w:tabs>
      <w:spacing w:after="60"/>
    </w:pPr>
  </w:style>
  <w:style w:type="paragraph" w:styleId="TOC2">
    <w:name w:val="toc 2"/>
    <w:basedOn w:val="Normal"/>
    <w:next w:val="Normal"/>
    <w:autoRedefine/>
    <w:uiPriority w:val="39"/>
    <w:unhideWhenUsed/>
    <w:rsid w:val="00B45971"/>
    <w:pPr>
      <w:spacing w:after="100"/>
      <w:ind w:left="180"/>
    </w:pPr>
  </w:style>
  <w:style w:type="paragraph" w:styleId="TOC3">
    <w:name w:val="toc 3"/>
    <w:basedOn w:val="Normal"/>
    <w:next w:val="Normal"/>
    <w:autoRedefine/>
    <w:uiPriority w:val="39"/>
    <w:unhideWhenUsed/>
    <w:rsid w:val="00164A46"/>
    <w:pPr>
      <w:tabs>
        <w:tab w:val="right" w:leader="dot" w:pos="9350"/>
      </w:tabs>
      <w:spacing w:after="100"/>
      <w:ind w:left="360"/>
    </w:pPr>
  </w:style>
  <w:style w:type="character" w:customStyle="1" w:styleId="flagicon">
    <w:name w:val="flagicon"/>
    <w:basedOn w:val="DefaultParagraphFont"/>
    <w:rsid w:val="00313BAD"/>
  </w:style>
  <w:style w:type="character" w:styleId="UnresolvedMention">
    <w:name w:val="Unresolved Mention"/>
    <w:basedOn w:val="DefaultParagraphFont"/>
    <w:uiPriority w:val="99"/>
    <w:semiHidden/>
    <w:unhideWhenUsed/>
    <w:rsid w:val="00394F1F"/>
    <w:rPr>
      <w:color w:val="605E5C"/>
      <w:shd w:val="clear" w:color="auto" w:fill="E1DFDD"/>
    </w:rPr>
  </w:style>
  <w:style w:type="character" w:styleId="FollowedHyperlink">
    <w:name w:val="FollowedHyperlink"/>
    <w:basedOn w:val="DefaultParagraphFont"/>
    <w:uiPriority w:val="99"/>
    <w:semiHidden/>
    <w:unhideWhenUsed/>
    <w:rsid w:val="00394F1F"/>
    <w:rPr>
      <w:color w:val="800080" w:themeColor="followedHyperlink"/>
      <w:u w:val="single"/>
    </w:rPr>
  </w:style>
  <w:style w:type="character" w:customStyle="1" w:styleId="A0">
    <w:name w:val="A0"/>
    <w:uiPriority w:val="99"/>
    <w:rsid w:val="002C7415"/>
    <w:rPr>
      <w:rFonts w:cs="Foundry Sterling Bold"/>
      <w:b/>
      <w:bCs/>
      <w:color w:val="000000"/>
      <w:sz w:val="14"/>
      <w:szCs w:val="14"/>
    </w:rPr>
  </w:style>
  <w:style w:type="character" w:customStyle="1" w:styleId="sc-hjhjly">
    <w:name w:val="sc-hjhjly"/>
    <w:basedOn w:val="DefaultParagraphFont"/>
    <w:rsid w:val="001B5599"/>
  </w:style>
  <w:style w:type="character" w:customStyle="1" w:styleId="y2iqfc">
    <w:name w:val="y2iqfc"/>
    <w:basedOn w:val="DefaultParagraphFont"/>
    <w:rsid w:val="00AD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3818">
      <w:bodyDiv w:val="1"/>
      <w:marLeft w:val="0"/>
      <w:marRight w:val="0"/>
      <w:marTop w:val="0"/>
      <w:marBottom w:val="0"/>
      <w:divBdr>
        <w:top w:val="none" w:sz="0" w:space="0" w:color="auto"/>
        <w:left w:val="none" w:sz="0" w:space="0" w:color="auto"/>
        <w:bottom w:val="none" w:sz="0" w:space="0" w:color="auto"/>
        <w:right w:val="none" w:sz="0" w:space="0" w:color="auto"/>
      </w:divBdr>
    </w:div>
    <w:div w:id="145518545">
      <w:bodyDiv w:val="1"/>
      <w:marLeft w:val="0"/>
      <w:marRight w:val="0"/>
      <w:marTop w:val="0"/>
      <w:marBottom w:val="0"/>
      <w:divBdr>
        <w:top w:val="none" w:sz="0" w:space="0" w:color="auto"/>
        <w:left w:val="none" w:sz="0" w:space="0" w:color="auto"/>
        <w:bottom w:val="none" w:sz="0" w:space="0" w:color="auto"/>
        <w:right w:val="none" w:sz="0" w:space="0" w:color="auto"/>
      </w:divBdr>
    </w:div>
    <w:div w:id="164709810">
      <w:bodyDiv w:val="1"/>
      <w:marLeft w:val="0"/>
      <w:marRight w:val="0"/>
      <w:marTop w:val="0"/>
      <w:marBottom w:val="0"/>
      <w:divBdr>
        <w:top w:val="none" w:sz="0" w:space="0" w:color="auto"/>
        <w:left w:val="none" w:sz="0" w:space="0" w:color="auto"/>
        <w:bottom w:val="none" w:sz="0" w:space="0" w:color="auto"/>
        <w:right w:val="none" w:sz="0" w:space="0" w:color="auto"/>
      </w:divBdr>
    </w:div>
    <w:div w:id="180977510">
      <w:bodyDiv w:val="1"/>
      <w:marLeft w:val="0"/>
      <w:marRight w:val="0"/>
      <w:marTop w:val="0"/>
      <w:marBottom w:val="0"/>
      <w:divBdr>
        <w:top w:val="none" w:sz="0" w:space="0" w:color="auto"/>
        <w:left w:val="none" w:sz="0" w:space="0" w:color="auto"/>
        <w:bottom w:val="none" w:sz="0" w:space="0" w:color="auto"/>
        <w:right w:val="none" w:sz="0" w:space="0" w:color="auto"/>
      </w:divBdr>
    </w:div>
    <w:div w:id="219481985">
      <w:bodyDiv w:val="1"/>
      <w:marLeft w:val="0"/>
      <w:marRight w:val="0"/>
      <w:marTop w:val="0"/>
      <w:marBottom w:val="0"/>
      <w:divBdr>
        <w:top w:val="none" w:sz="0" w:space="0" w:color="auto"/>
        <w:left w:val="none" w:sz="0" w:space="0" w:color="auto"/>
        <w:bottom w:val="none" w:sz="0" w:space="0" w:color="auto"/>
        <w:right w:val="none" w:sz="0" w:space="0" w:color="auto"/>
      </w:divBdr>
    </w:div>
    <w:div w:id="263806124">
      <w:bodyDiv w:val="1"/>
      <w:marLeft w:val="0"/>
      <w:marRight w:val="0"/>
      <w:marTop w:val="0"/>
      <w:marBottom w:val="0"/>
      <w:divBdr>
        <w:top w:val="none" w:sz="0" w:space="0" w:color="auto"/>
        <w:left w:val="none" w:sz="0" w:space="0" w:color="auto"/>
        <w:bottom w:val="none" w:sz="0" w:space="0" w:color="auto"/>
        <w:right w:val="none" w:sz="0" w:space="0" w:color="auto"/>
      </w:divBdr>
    </w:div>
    <w:div w:id="283001754">
      <w:bodyDiv w:val="1"/>
      <w:marLeft w:val="0"/>
      <w:marRight w:val="0"/>
      <w:marTop w:val="0"/>
      <w:marBottom w:val="0"/>
      <w:divBdr>
        <w:top w:val="none" w:sz="0" w:space="0" w:color="auto"/>
        <w:left w:val="none" w:sz="0" w:space="0" w:color="auto"/>
        <w:bottom w:val="none" w:sz="0" w:space="0" w:color="auto"/>
        <w:right w:val="none" w:sz="0" w:space="0" w:color="auto"/>
      </w:divBdr>
    </w:div>
    <w:div w:id="438063538">
      <w:bodyDiv w:val="1"/>
      <w:marLeft w:val="0"/>
      <w:marRight w:val="0"/>
      <w:marTop w:val="0"/>
      <w:marBottom w:val="0"/>
      <w:divBdr>
        <w:top w:val="none" w:sz="0" w:space="0" w:color="auto"/>
        <w:left w:val="none" w:sz="0" w:space="0" w:color="auto"/>
        <w:bottom w:val="none" w:sz="0" w:space="0" w:color="auto"/>
        <w:right w:val="none" w:sz="0" w:space="0" w:color="auto"/>
      </w:divBdr>
    </w:div>
    <w:div w:id="480460606">
      <w:bodyDiv w:val="1"/>
      <w:marLeft w:val="0"/>
      <w:marRight w:val="0"/>
      <w:marTop w:val="0"/>
      <w:marBottom w:val="0"/>
      <w:divBdr>
        <w:top w:val="none" w:sz="0" w:space="0" w:color="auto"/>
        <w:left w:val="none" w:sz="0" w:space="0" w:color="auto"/>
        <w:bottom w:val="none" w:sz="0" w:space="0" w:color="auto"/>
        <w:right w:val="none" w:sz="0" w:space="0" w:color="auto"/>
      </w:divBdr>
    </w:div>
    <w:div w:id="489097072">
      <w:bodyDiv w:val="1"/>
      <w:marLeft w:val="0"/>
      <w:marRight w:val="0"/>
      <w:marTop w:val="0"/>
      <w:marBottom w:val="0"/>
      <w:divBdr>
        <w:top w:val="none" w:sz="0" w:space="0" w:color="auto"/>
        <w:left w:val="none" w:sz="0" w:space="0" w:color="auto"/>
        <w:bottom w:val="none" w:sz="0" w:space="0" w:color="auto"/>
        <w:right w:val="none" w:sz="0" w:space="0" w:color="auto"/>
      </w:divBdr>
    </w:div>
    <w:div w:id="515775712">
      <w:bodyDiv w:val="1"/>
      <w:marLeft w:val="0"/>
      <w:marRight w:val="0"/>
      <w:marTop w:val="0"/>
      <w:marBottom w:val="0"/>
      <w:divBdr>
        <w:top w:val="none" w:sz="0" w:space="0" w:color="auto"/>
        <w:left w:val="none" w:sz="0" w:space="0" w:color="auto"/>
        <w:bottom w:val="none" w:sz="0" w:space="0" w:color="auto"/>
        <w:right w:val="none" w:sz="0" w:space="0" w:color="auto"/>
      </w:divBdr>
    </w:div>
    <w:div w:id="575553824">
      <w:bodyDiv w:val="1"/>
      <w:marLeft w:val="0"/>
      <w:marRight w:val="0"/>
      <w:marTop w:val="0"/>
      <w:marBottom w:val="0"/>
      <w:divBdr>
        <w:top w:val="none" w:sz="0" w:space="0" w:color="auto"/>
        <w:left w:val="none" w:sz="0" w:space="0" w:color="auto"/>
        <w:bottom w:val="none" w:sz="0" w:space="0" w:color="auto"/>
        <w:right w:val="none" w:sz="0" w:space="0" w:color="auto"/>
      </w:divBdr>
    </w:div>
    <w:div w:id="607394447">
      <w:bodyDiv w:val="1"/>
      <w:marLeft w:val="0"/>
      <w:marRight w:val="0"/>
      <w:marTop w:val="0"/>
      <w:marBottom w:val="0"/>
      <w:divBdr>
        <w:top w:val="none" w:sz="0" w:space="0" w:color="auto"/>
        <w:left w:val="none" w:sz="0" w:space="0" w:color="auto"/>
        <w:bottom w:val="none" w:sz="0" w:space="0" w:color="auto"/>
        <w:right w:val="none" w:sz="0" w:space="0" w:color="auto"/>
      </w:divBdr>
    </w:div>
    <w:div w:id="623119421">
      <w:bodyDiv w:val="1"/>
      <w:marLeft w:val="0"/>
      <w:marRight w:val="0"/>
      <w:marTop w:val="0"/>
      <w:marBottom w:val="0"/>
      <w:divBdr>
        <w:top w:val="none" w:sz="0" w:space="0" w:color="auto"/>
        <w:left w:val="none" w:sz="0" w:space="0" w:color="auto"/>
        <w:bottom w:val="none" w:sz="0" w:space="0" w:color="auto"/>
        <w:right w:val="none" w:sz="0" w:space="0" w:color="auto"/>
      </w:divBdr>
    </w:div>
    <w:div w:id="623658188">
      <w:bodyDiv w:val="1"/>
      <w:marLeft w:val="0"/>
      <w:marRight w:val="0"/>
      <w:marTop w:val="0"/>
      <w:marBottom w:val="0"/>
      <w:divBdr>
        <w:top w:val="none" w:sz="0" w:space="0" w:color="auto"/>
        <w:left w:val="none" w:sz="0" w:space="0" w:color="auto"/>
        <w:bottom w:val="none" w:sz="0" w:space="0" w:color="auto"/>
        <w:right w:val="none" w:sz="0" w:space="0" w:color="auto"/>
      </w:divBdr>
    </w:div>
    <w:div w:id="659583222">
      <w:bodyDiv w:val="1"/>
      <w:marLeft w:val="0"/>
      <w:marRight w:val="0"/>
      <w:marTop w:val="0"/>
      <w:marBottom w:val="0"/>
      <w:divBdr>
        <w:top w:val="none" w:sz="0" w:space="0" w:color="auto"/>
        <w:left w:val="none" w:sz="0" w:space="0" w:color="auto"/>
        <w:bottom w:val="none" w:sz="0" w:space="0" w:color="auto"/>
        <w:right w:val="none" w:sz="0" w:space="0" w:color="auto"/>
      </w:divBdr>
    </w:div>
    <w:div w:id="758865888">
      <w:bodyDiv w:val="1"/>
      <w:marLeft w:val="0"/>
      <w:marRight w:val="0"/>
      <w:marTop w:val="0"/>
      <w:marBottom w:val="0"/>
      <w:divBdr>
        <w:top w:val="none" w:sz="0" w:space="0" w:color="auto"/>
        <w:left w:val="none" w:sz="0" w:space="0" w:color="auto"/>
        <w:bottom w:val="none" w:sz="0" w:space="0" w:color="auto"/>
        <w:right w:val="none" w:sz="0" w:space="0" w:color="auto"/>
      </w:divBdr>
    </w:div>
    <w:div w:id="1031765060">
      <w:bodyDiv w:val="1"/>
      <w:marLeft w:val="0"/>
      <w:marRight w:val="0"/>
      <w:marTop w:val="0"/>
      <w:marBottom w:val="0"/>
      <w:divBdr>
        <w:top w:val="none" w:sz="0" w:space="0" w:color="auto"/>
        <w:left w:val="none" w:sz="0" w:space="0" w:color="auto"/>
        <w:bottom w:val="none" w:sz="0" w:space="0" w:color="auto"/>
        <w:right w:val="none" w:sz="0" w:space="0" w:color="auto"/>
      </w:divBdr>
    </w:div>
    <w:div w:id="1064523845">
      <w:bodyDiv w:val="1"/>
      <w:marLeft w:val="0"/>
      <w:marRight w:val="0"/>
      <w:marTop w:val="0"/>
      <w:marBottom w:val="0"/>
      <w:divBdr>
        <w:top w:val="none" w:sz="0" w:space="0" w:color="auto"/>
        <w:left w:val="none" w:sz="0" w:space="0" w:color="auto"/>
        <w:bottom w:val="none" w:sz="0" w:space="0" w:color="auto"/>
        <w:right w:val="none" w:sz="0" w:space="0" w:color="auto"/>
      </w:divBdr>
    </w:div>
    <w:div w:id="1175803610">
      <w:bodyDiv w:val="1"/>
      <w:marLeft w:val="0"/>
      <w:marRight w:val="0"/>
      <w:marTop w:val="0"/>
      <w:marBottom w:val="0"/>
      <w:divBdr>
        <w:top w:val="none" w:sz="0" w:space="0" w:color="auto"/>
        <w:left w:val="none" w:sz="0" w:space="0" w:color="auto"/>
        <w:bottom w:val="none" w:sz="0" w:space="0" w:color="auto"/>
        <w:right w:val="none" w:sz="0" w:space="0" w:color="auto"/>
      </w:divBdr>
    </w:div>
    <w:div w:id="1257247352">
      <w:bodyDiv w:val="1"/>
      <w:marLeft w:val="0"/>
      <w:marRight w:val="0"/>
      <w:marTop w:val="0"/>
      <w:marBottom w:val="0"/>
      <w:divBdr>
        <w:top w:val="none" w:sz="0" w:space="0" w:color="auto"/>
        <w:left w:val="none" w:sz="0" w:space="0" w:color="auto"/>
        <w:bottom w:val="none" w:sz="0" w:space="0" w:color="auto"/>
        <w:right w:val="none" w:sz="0" w:space="0" w:color="auto"/>
      </w:divBdr>
    </w:div>
    <w:div w:id="1297370213">
      <w:bodyDiv w:val="1"/>
      <w:marLeft w:val="0"/>
      <w:marRight w:val="0"/>
      <w:marTop w:val="0"/>
      <w:marBottom w:val="0"/>
      <w:divBdr>
        <w:top w:val="none" w:sz="0" w:space="0" w:color="auto"/>
        <w:left w:val="none" w:sz="0" w:space="0" w:color="auto"/>
        <w:bottom w:val="none" w:sz="0" w:space="0" w:color="auto"/>
        <w:right w:val="none" w:sz="0" w:space="0" w:color="auto"/>
      </w:divBdr>
    </w:div>
    <w:div w:id="1333800805">
      <w:bodyDiv w:val="1"/>
      <w:marLeft w:val="0"/>
      <w:marRight w:val="0"/>
      <w:marTop w:val="0"/>
      <w:marBottom w:val="0"/>
      <w:divBdr>
        <w:top w:val="none" w:sz="0" w:space="0" w:color="auto"/>
        <w:left w:val="none" w:sz="0" w:space="0" w:color="auto"/>
        <w:bottom w:val="none" w:sz="0" w:space="0" w:color="auto"/>
        <w:right w:val="none" w:sz="0" w:space="0" w:color="auto"/>
      </w:divBdr>
    </w:div>
    <w:div w:id="1436438910">
      <w:bodyDiv w:val="1"/>
      <w:marLeft w:val="0"/>
      <w:marRight w:val="0"/>
      <w:marTop w:val="0"/>
      <w:marBottom w:val="0"/>
      <w:divBdr>
        <w:top w:val="none" w:sz="0" w:space="0" w:color="auto"/>
        <w:left w:val="none" w:sz="0" w:space="0" w:color="auto"/>
        <w:bottom w:val="none" w:sz="0" w:space="0" w:color="auto"/>
        <w:right w:val="none" w:sz="0" w:space="0" w:color="auto"/>
      </w:divBdr>
    </w:div>
    <w:div w:id="1496611380">
      <w:bodyDiv w:val="1"/>
      <w:marLeft w:val="0"/>
      <w:marRight w:val="0"/>
      <w:marTop w:val="0"/>
      <w:marBottom w:val="0"/>
      <w:divBdr>
        <w:top w:val="none" w:sz="0" w:space="0" w:color="auto"/>
        <w:left w:val="none" w:sz="0" w:space="0" w:color="auto"/>
        <w:bottom w:val="none" w:sz="0" w:space="0" w:color="auto"/>
        <w:right w:val="none" w:sz="0" w:space="0" w:color="auto"/>
      </w:divBdr>
    </w:div>
    <w:div w:id="1497770396">
      <w:bodyDiv w:val="1"/>
      <w:marLeft w:val="0"/>
      <w:marRight w:val="0"/>
      <w:marTop w:val="0"/>
      <w:marBottom w:val="0"/>
      <w:divBdr>
        <w:top w:val="none" w:sz="0" w:space="0" w:color="auto"/>
        <w:left w:val="none" w:sz="0" w:space="0" w:color="auto"/>
        <w:bottom w:val="none" w:sz="0" w:space="0" w:color="auto"/>
        <w:right w:val="none" w:sz="0" w:space="0" w:color="auto"/>
      </w:divBdr>
    </w:div>
    <w:div w:id="1534416934">
      <w:bodyDiv w:val="1"/>
      <w:marLeft w:val="0"/>
      <w:marRight w:val="0"/>
      <w:marTop w:val="0"/>
      <w:marBottom w:val="0"/>
      <w:divBdr>
        <w:top w:val="none" w:sz="0" w:space="0" w:color="auto"/>
        <w:left w:val="none" w:sz="0" w:space="0" w:color="auto"/>
        <w:bottom w:val="none" w:sz="0" w:space="0" w:color="auto"/>
        <w:right w:val="none" w:sz="0" w:space="0" w:color="auto"/>
      </w:divBdr>
    </w:div>
    <w:div w:id="1606302102">
      <w:bodyDiv w:val="1"/>
      <w:marLeft w:val="0"/>
      <w:marRight w:val="0"/>
      <w:marTop w:val="0"/>
      <w:marBottom w:val="0"/>
      <w:divBdr>
        <w:top w:val="none" w:sz="0" w:space="0" w:color="auto"/>
        <w:left w:val="none" w:sz="0" w:space="0" w:color="auto"/>
        <w:bottom w:val="none" w:sz="0" w:space="0" w:color="auto"/>
        <w:right w:val="none" w:sz="0" w:space="0" w:color="auto"/>
      </w:divBdr>
    </w:div>
    <w:div w:id="1615095388">
      <w:bodyDiv w:val="1"/>
      <w:marLeft w:val="0"/>
      <w:marRight w:val="0"/>
      <w:marTop w:val="0"/>
      <w:marBottom w:val="0"/>
      <w:divBdr>
        <w:top w:val="none" w:sz="0" w:space="0" w:color="auto"/>
        <w:left w:val="none" w:sz="0" w:space="0" w:color="auto"/>
        <w:bottom w:val="none" w:sz="0" w:space="0" w:color="auto"/>
        <w:right w:val="none" w:sz="0" w:space="0" w:color="auto"/>
      </w:divBdr>
      <w:divsChild>
        <w:div w:id="1241016623">
          <w:marLeft w:val="0"/>
          <w:marRight w:val="0"/>
          <w:marTop w:val="0"/>
          <w:marBottom w:val="0"/>
          <w:divBdr>
            <w:top w:val="none" w:sz="0" w:space="0" w:color="auto"/>
            <w:left w:val="none" w:sz="0" w:space="0" w:color="auto"/>
            <w:bottom w:val="none" w:sz="0" w:space="0" w:color="auto"/>
            <w:right w:val="none" w:sz="0" w:space="0" w:color="auto"/>
          </w:divBdr>
          <w:divsChild>
            <w:div w:id="53433418">
              <w:marLeft w:val="0"/>
              <w:marRight w:val="0"/>
              <w:marTop w:val="0"/>
              <w:marBottom w:val="0"/>
              <w:divBdr>
                <w:top w:val="none" w:sz="0" w:space="0" w:color="auto"/>
                <w:left w:val="none" w:sz="0" w:space="0" w:color="auto"/>
                <w:bottom w:val="none" w:sz="0" w:space="0" w:color="auto"/>
                <w:right w:val="none" w:sz="0" w:space="0" w:color="auto"/>
              </w:divBdr>
              <w:divsChild>
                <w:div w:id="476916732">
                  <w:marLeft w:val="0"/>
                  <w:marRight w:val="0"/>
                  <w:marTop w:val="0"/>
                  <w:marBottom w:val="0"/>
                  <w:divBdr>
                    <w:top w:val="none" w:sz="0" w:space="0" w:color="auto"/>
                    <w:left w:val="none" w:sz="0" w:space="0" w:color="auto"/>
                    <w:bottom w:val="none" w:sz="0" w:space="0" w:color="auto"/>
                    <w:right w:val="none" w:sz="0" w:space="0" w:color="auto"/>
                  </w:divBdr>
                  <w:divsChild>
                    <w:div w:id="254750060">
                      <w:marLeft w:val="0"/>
                      <w:marRight w:val="0"/>
                      <w:marTop w:val="0"/>
                      <w:marBottom w:val="0"/>
                      <w:divBdr>
                        <w:top w:val="none" w:sz="0" w:space="0" w:color="auto"/>
                        <w:left w:val="none" w:sz="0" w:space="0" w:color="auto"/>
                        <w:bottom w:val="none" w:sz="0" w:space="0" w:color="auto"/>
                        <w:right w:val="none" w:sz="0" w:space="0" w:color="auto"/>
                      </w:divBdr>
                      <w:divsChild>
                        <w:div w:id="1349454505">
                          <w:marLeft w:val="0"/>
                          <w:marRight w:val="0"/>
                          <w:marTop w:val="0"/>
                          <w:marBottom w:val="0"/>
                          <w:divBdr>
                            <w:top w:val="none" w:sz="0" w:space="0" w:color="auto"/>
                            <w:left w:val="none" w:sz="0" w:space="0" w:color="auto"/>
                            <w:bottom w:val="none" w:sz="0" w:space="0" w:color="auto"/>
                            <w:right w:val="none" w:sz="0" w:space="0" w:color="auto"/>
                          </w:divBdr>
                          <w:divsChild>
                            <w:div w:id="2056418237">
                              <w:marLeft w:val="0"/>
                              <w:marRight w:val="0"/>
                              <w:marTop w:val="0"/>
                              <w:marBottom w:val="0"/>
                              <w:divBdr>
                                <w:top w:val="none" w:sz="0" w:space="0" w:color="auto"/>
                                <w:left w:val="none" w:sz="0" w:space="0" w:color="auto"/>
                                <w:bottom w:val="none" w:sz="0" w:space="0" w:color="auto"/>
                                <w:right w:val="none" w:sz="0" w:space="0" w:color="auto"/>
                              </w:divBdr>
                              <w:divsChild>
                                <w:div w:id="1061639400">
                                  <w:marLeft w:val="0"/>
                                  <w:marRight w:val="0"/>
                                  <w:marTop w:val="0"/>
                                  <w:marBottom w:val="0"/>
                                  <w:divBdr>
                                    <w:top w:val="none" w:sz="0" w:space="0" w:color="auto"/>
                                    <w:left w:val="none" w:sz="0" w:space="0" w:color="auto"/>
                                    <w:bottom w:val="none" w:sz="0" w:space="0" w:color="auto"/>
                                    <w:right w:val="none" w:sz="0" w:space="0" w:color="auto"/>
                                  </w:divBdr>
                                  <w:divsChild>
                                    <w:div w:id="1928341245">
                                      <w:marLeft w:val="0"/>
                                      <w:marRight w:val="0"/>
                                      <w:marTop w:val="0"/>
                                      <w:marBottom w:val="0"/>
                                      <w:divBdr>
                                        <w:top w:val="none" w:sz="0" w:space="0" w:color="auto"/>
                                        <w:left w:val="none" w:sz="0" w:space="0" w:color="auto"/>
                                        <w:bottom w:val="none" w:sz="0" w:space="0" w:color="auto"/>
                                        <w:right w:val="none" w:sz="0" w:space="0" w:color="auto"/>
                                      </w:divBdr>
                                      <w:divsChild>
                                        <w:div w:id="1830443354">
                                          <w:marLeft w:val="0"/>
                                          <w:marRight w:val="0"/>
                                          <w:marTop w:val="0"/>
                                          <w:marBottom w:val="0"/>
                                          <w:divBdr>
                                            <w:top w:val="none" w:sz="0" w:space="0" w:color="auto"/>
                                            <w:left w:val="none" w:sz="0" w:space="0" w:color="auto"/>
                                            <w:bottom w:val="none" w:sz="0" w:space="0" w:color="auto"/>
                                            <w:right w:val="none" w:sz="0" w:space="0" w:color="auto"/>
                                          </w:divBdr>
                                          <w:divsChild>
                                            <w:div w:id="301541168">
                                              <w:marLeft w:val="0"/>
                                              <w:marRight w:val="0"/>
                                              <w:marTop w:val="0"/>
                                              <w:marBottom w:val="0"/>
                                              <w:divBdr>
                                                <w:top w:val="none" w:sz="0" w:space="0" w:color="auto"/>
                                                <w:left w:val="none" w:sz="0" w:space="0" w:color="auto"/>
                                                <w:bottom w:val="none" w:sz="0" w:space="0" w:color="auto"/>
                                                <w:right w:val="none" w:sz="0" w:space="0" w:color="auto"/>
                                              </w:divBdr>
                                              <w:divsChild>
                                                <w:div w:id="1377194067">
                                                  <w:marLeft w:val="0"/>
                                                  <w:marRight w:val="0"/>
                                                  <w:marTop w:val="0"/>
                                                  <w:marBottom w:val="0"/>
                                                  <w:divBdr>
                                                    <w:top w:val="none" w:sz="0" w:space="0" w:color="auto"/>
                                                    <w:left w:val="none" w:sz="0" w:space="0" w:color="auto"/>
                                                    <w:bottom w:val="none" w:sz="0" w:space="0" w:color="auto"/>
                                                    <w:right w:val="none" w:sz="0" w:space="0" w:color="auto"/>
                                                  </w:divBdr>
                                                  <w:divsChild>
                                                    <w:div w:id="1280453537">
                                                      <w:marLeft w:val="0"/>
                                                      <w:marRight w:val="0"/>
                                                      <w:marTop w:val="0"/>
                                                      <w:marBottom w:val="0"/>
                                                      <w:divBdr>
                                                        <w:top w:val="none" w:sz="0" w:space="0" w:color="auto"/>
                                                        <w:left w:val="none" w:sz="0" w:space="0" w:color="auto"/>
                                                        <w:bottom w:val="none" w:sz="0" w:space="0" w:color="auto"/>
                                                        <w:right w:val="none" w:sz="0" w:space="0" w:color="auto"/>
                                                      </w:divBdr>
                                                      <w:divsChild>
                                                        <w:div w:id="100882810">
                                                          <w:marLeft w:val="0"/>
                                                          <w:marRight w:val="0"/>
                                                          <w:marTop w:val="0"/>
                                                          <w:marBottom w:val="0"/>
                                                          <w:divBdr>
                                                            <w:top w:val="none" w:sz="0" w:space="0" w:color="auto"/>
                                                            <w:left w:val="none" w:sz="0" w:space="0" w:color="auto"/>
                                                            <w:bottom w:val="none" w:sz="0" w:space="0" w:color="auto"/>
                                                            <w:right w:val="none" w:sz="0" w:space="0" w:color="auto"/>
                                                          </w:divBdr>
                                                          <w:divsChild>
                                                            <w:div w:id="1210654842">
                                                              <w:marLeft w:val="0"/>
                                                              <w:marRight w:val="0"/>
                                                              <w:marTop w:val="0"/>
                                                              <w:marBottom w:val="0"/>
                                                              <w:divBdr>
                                                                <w:top w:val="none" w:sz="0" w:space="0" w:color="auto"/>
                                                                <w:left w:val="none" w:sz="0" w:space="0" w:color="auto"/>
                                                                <w:bottom w:val="none" w:sz="0" w:space="0" w:color="auto"/>
                                                                <w:right w:val="none" w:sz="0" w:space="0" w:color="auto"/>
                                                              </w:divBdr>
                                                              <w:divsChild>
                                                                <w:div w:id="1212617080">
                                                                  <w:marLeft w:val="0"/>
                                                                  <w:marRight w:val="0"/>
                                                                  <w:marTop w:val="0"/>
                                                                  <w:marBottom w:val="0"/>
                                                                  <w:divBdr>
                                                                    <w:top w:val="none" w:sz="0" w:space="0" w:color="auto"/>
                                                                    <w:left w:val="none" w:sz="0" w:space="0" w:color="auto"/>
                                                                    <w:bottom w:val="none" w:sz="0" w:space="0" w:color="auto"/>
                                                                    <w:right w:val="none" w:sz="0" w:space="0" w:color="auto"/>
                                                                  </w:divBdr>
                                                                  <w:divsChild>
                                                                    <w:div w:id="792596913">
                                                                      <w:marLeft w:val="0"/>
                                                                      <w:marRight w:val="0"/>
                                                                      <w:marTop w:val="0"/>
                                                                      <w:marBottom w:val="0"/>
                                                                      <w:divBdr>
                                                                        <w:top w:val="none" w:sz="0" w:space="0" w:color="auto"/>
                                                                        <w:left w:val="none" w:sz="0" w:space="0" w:color="auto"/>
                                                                        <w:bottom w:val="none" w:sz="0" w:space="0" w:color="auto"/>
                                                                        <w:right w:val="none" w:sz="0" w:space="0" w:color="auto"/>
                                                                      </w:divBdr>
                                                                      <w:divsChild>
                                                                        <w:div w:id="1651594410">
                                                                          <w:marLeft w:val="0"/>
                                                                          <w:marRight w:val="0"/>
                                                                          <w:marTop w:val="0"/>
                                                                          <w:marBottom w:val="0"/>
                                                                          <w:divBdr>
                                                                            <w:top w:val="none" w:sz="0" w:space="0" w:color="auto"/>
                                                                            <w:left w:val="none" w:sz="0" w:space="0" w:color="auto"/>
                                                                            <w:bottom w:val="none" w:sz="0" w:space="0" w:color="auto"/>
                                                                            <w:right w:val="none" w:sz="0" w:space="0" w:color="auto"/>
                                                                          </w:divBdr>
                                                                          <w:divsChild>
                                                                            <w:div w:id="20223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007387">
      <w:bodyDiv w:val="1"/>
      <w:marLeft w:val="0"/>
      <w:marRight w:val="0"/>
      <w:marTop w:val="0"/>
      <w:marBottom w:val="0"/>
      <w:divBdr>
        <w:top w:val="none" w:sz="0" w:space="0" w:color="auto"/>
        <w:left w:val="none" w:sz="0" w:space="0" w:color="auto"/>
        <w:bottom w:val="none" w:sz="0" w:space="0" w:color="auto"/>
        <w:right w:val="none" w:sz="0" w:space="0" w:color="auto"/>
      </w:divBdr>
    </w:div>
    <w:div w:id="1701659547">
      <w:bodyDiv w:val="1"/>
      <w:marLeft w:val="0"/>
      <w:marRight w:val="0"/>
      <w:marTop w:val="0"/>
      <w:marBottom w:val="0"/>
      <w:divBdr>
        <w:top w:val="none" w:sz="0" w:space="0" w:color="auto"/>
        <w:left w:val="none" w:sz="0" w:space="0" w:color="auto"/>
        <w:bottom w:val="none" w:sz="0" w:space="0" w:color="auto"/>
        <w:right w:val="none" w:sz="0" w:space="0" w:color="auto"/>
      </w:divBdr>
    </w:div>
    <w:div w:id="1717587182">
      <w:bodyDiv w:val="1"/>
      <w:marLeft w:val="0"/>
      <w:marRight w:val="0"/>
      <w:marTop w:val="0"/>
      <w:marBottom w:val="0"/>
      <w:divBdr>
        <w:top w:val="none" w:sz="0" w:space="0" w:color="auto"/>
        <w:left w:val="none" w:sz="0" w:space="0" w:color="auto"/>
        <w:bottom w:val="none" w:sz="0" w:space="0" w:color="auto"/>
        <w:right w:val="none" w:sz="0" w:space="0" w:color="auto"/>
      </w:divBdr>
    </w:div>
    <w:div w:id="1787114225">
      <w:bodyDiv w:val="1"/>
      <w:marLeft w:val="0"/>
      <w:marRight w:val="0"/>
      <w:marTop w:val="0"/>
      <w:marBottom w:val="0"/>
      <w:divBdr>
        <w:top w:val="none" w:sz="0" w:space="0" w:color="auto"/>
        <w:left w:val="none" w:sz="0" w:space="0" w:color="auto"/>
        <w:bottom w:val="none" w:sz="0" w:space="0" w:color="auto"/>
        <w:right w:val="none" w:sz="0" w:space="0" w:color="auto"/>
      </w:divBdr>
    </w:div>
    <w:div w:id="1839419620">
      <w:bodyDiv w:val="1"/>
      <w:marLeft w:val="0"/>
      <w:marRight w:val="0"/>
      <w:marTop w:val="0"/>
      <w:marBottom w:val="0"/>
      <w:divBdr>
        <w:top w:val="none" w:sz="0" w:space="0" w:color="auto"/>
        <w:left w:val="none" w:sz="0" w:space="0" w:color="auto"/>
        <w:bottom w:val="none" w:sz="0" w:space="0" w:color="auto"/>
        <w:right w:val="none" w:sz="0" w:space="0" w:color="auto"/>
      </w:divBdr>
    </w:div>
    <w:div w:id="1884170325">
      <w:bodyDiv w:val="1"/>
      <w:marLeft w:val="0"/>
      <w:marRight w:val="0"/>
      <w:marTop w:val="0"/>
      <w:marBottom w:val="0"/>
      <w:divBdr>
        <w:top w:val="none" w:sz="0" w:space="0" w:color="auto"/>
        <w:left w:val="none" w:sz="0" w:space="0" w:color="auto"/>
        <w:bottom w:val="none" w:sz="0" w:space="0" w:color="auto"/>
        <w:right w:val="none" w:sz="0" w:space="0" w:color="auto"/>
      </w:divBdr>
    </w:div>
    <w:div w:id="1906798043">
      <w:bodyDiv w:val="1"/>
      <w:marLeft w:val="0"/>
      <w:marRight w:val="0"/>
      <w:marTop w:val="0"/>
      <w:marBottom w:val="0"/>
      <w:divBdr>
        <w:top w:val="none" w:sz="0" w:space="0" w:color="auto"/>
        <w:left w:val="none" w:sz="0" w:space="0" w:color="auto"/>
        <w:bottom w:val="none" w:sz="0" w:space="0" w:color="auto"/>
        <w:right w:val="none" w:sz="0" w:space="0" w:color="auto"/>
      </w:divBdr>
    </w:div>
    <w:div w:id="1908297787">
      <w:bodyDiv w:val="1"/>
      <w:marLeft w:val="0"/>
      <w:marRight w:val="0"/>
      <w:marTop w:val="0"/>
      <w:marBottom w:val="0"/>
      <w:divBdr>
        <w:top w:val="none" w:sz="0" w:space="0" w:color="auto"/>
        <w:left w:val="none" w:sz="0" w:space="0" w:color="auto"/>
        <w:bottom w:val="none" w:sz="0" w:space="0" w:color="auto"/>
        <w:right w:val="none" w:sz="0" w:space="0" w:color="auto"/>
      </w:divBdr>
    </w:div>
    <w:div w:id="1934432079">
      <w:bodyDiv w:val="1"/>
      <w:marLeft w:val="0"/>
      <w:marRight w:val="0"/>
      <w:marTop w:val="0"/>
      <w:marBottom w:val="0"/>
      <w:divBdr>
        <w:top w:val="none" w:sz="0" w:space="0" w:color="auto"/>
        <w:left w:val="none" w:sz="0" w:space="0" w:color="auto"/>
        <w:bottom w:val="none" w:sz="0" w:space="0" w:color="auto"/>
        <w:right w:val="none" w:sz="0" w:space="0" w:color="auto"/>
      </w:divBdr>
    </w:div>
    <w:div w:id="2008701439">
      <w:bodyDiv w:val="1"/>
      <w:marLeft w:val="0"/>
      <w:marRight w:val="0"/>
      <w:marTop w:val="0"/>
      <w:marBottom w:val="0"/>
      <w:divBdr>
        <w:top w:val="none" w:sz="0" w:space="0" w:color="auto"/>
        <w:left w:val="none" w:sz="0" w:space="0" w:color="auto"/>
        <w:bottom w:val="none" w:sz="0" w:space="0" w:color="auto"/>
        <w:right w:val="none" w:sz="0" w:space="0" w:color="auto"/>
      </w:divBdr>
    </w:div>
    <w:div w:id="2027364057">
      <w:bodyDiv w:val="1"/>
      <w:marLeft w:val="0"/>
      <w:marRight w:val="0"/>
      <w:marTop w:val="0"/>
      <w:marBottom w:val="0"/>
      <w:divBdr>
        <w:top w:val="none" w:sz="0" w:space="0" w:color="auto"/>
        <w:left w:val="none" w:sz="0" w:space="0" w:color="auto"/>
        <w:bottom w:val="none" w:sz="0" w:space="0" w:color="auto"/>
        <w:right w:val="none" w:sz="0" w:space="0" w:color="auto"/>
      </w:divBdr>
    </w:div>
    <w:div w:id="2046787355">
      <w:bodyDiv w:val="1"/>
      <w:marLeft w:val="0"/>
      <w:marRight w:val="0"/>
      <w:marTop w:val="0"/>
      <w:marBottom w:val="0"/>
      <w:divBdr>
        <w:top w:val="none" w:sz="0" w:space="0" w:color="auto"/>
        <w:left w:val="none" w:sz="0" w:space="0" w:color="auto"/>
        <w:bottom w:val="none" w:sz="0" w:space="0" w:color="auto"/>
        <w:right w:val="none" w:sz="0" w:space="0" w:color="auto"/>
      </w:divBdr>
    </w:div>
    <w:div w:id="2067027635">
      <w:bodyDiv w:val="1"/>
      <w:marLeft w:val="0"/>
      <w:marRight w:val="0"/>
      <w:marTop w:val="0"/>
      <w:marBottom w:val="0"/>
      <w:divBdr>
        <w:top w:val="none" w:sz="0" w:space="0" w:color="auto"/>
        <w:left w:val="none" w:sz="0" w:space="0" w:color="auto"/>
        <w:bottom w:val="none" w:sz="0" w:space="0" w:color="auto"/>
        <w:right w:val="none" w:sz="0" w:space="0" w:color="auto"/>
      </w:divBdr>
    </w:div>
    <w:div w:id="20786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tgear.com/about/regulatory/" TargetMode="External"/><Relationship Id="rId18" Type="http://schemas.openxmlformats.org/officeDocument/2006/relationships/hyperlink" Target="https://kb.netgear.com/000062897/UKCA-Declarations-of-Conformity" TargetMode="External"/><Relationship Id="rId26" Type="http://schemas.openxmlformats.org/officeDocument/2006/relationships/hyperlink" Target="https://www.netgear.com/about/regulatory/" TargetMode="External"/><Relationship Id="rId3" Type="http://schemas.openxmlformats.org/officeDocument/2006/relationships/customXml" Target="../customXml/item3.xml"/><Relationship Id="rId21" Type="http://schemas.openxmlformats.org/officeDocument/2006/relationships/hyperlink" Target="https://www.bipt.be/operators/general-holders-licence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etgear.com/about/regulatory/" TargetMode="External"/><Relationship Id="rId17" Type="http://schemas.openxmlformats.org/officeDocument/2006/relationships/hyperlink" Target="http://support.netgear.com/app/answers/detail/a_id/11621/." TargetMode="External"/><Relationship Id="rId25" Type="http://schemas.openxmlformats.org/officeDocument/2006/relationships/hyperlink" Target="https://www.netgear.com/about/regulatory/"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https://www.bipt.be/consumers/free-use-of-radio" TargetMode="External"/><Relationship Id="rId29" Type="http://schemas.openxmlformats.org/officeDocument/2006/relationships/hyperlink" Target="https://www.netgear.com/fr/about/regula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tgear.com/about/regulatory/" TargetMode="External"/><Relationship Id="rId32"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5.gif"/><Relationship Id="rId28" Type="http://schemas.openxmlformats.org/officeDocument/2006/relationships/hyperlink" Target="https://recyclemyelectronics.ca/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EPRA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stang.netgear.com:7002/Agile/PCMServlet" TargetMode="External"/><Relationship Id="rId22" Type="http://schemas.openxmlformats.org/officeDocument/2006/relationships/hyperlink" Target="https://www.netgear.com/about/regulatory/" TargetMode="External"/><Relationship Id="rId27" Type="http://schemas.openxmlformats.org/officeDocument/2006/relationships/hyperlink" Target="https://www.netgear.com/about/regulatory/" TargetMode="External"/><Relationship Id="rId30" Type="http://schemas.openxmlformats.org/officeDocument/2006/relationships/hyperlink" Target="https://www.netgear.com/fr/about/regulator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E891C96935744F88197A8A27503256" ma:contentTypeVersion="13" ma:contentTypeDescription="Create a new document." ma:contentTypeScope="" ma:versionID="29edcef112954c6f0bc22fabcf97c735">
  <xsd:schema xmlns:xsd="http://www.w3.org/2001/XMLSchema" xmlns:xs="http://www.w3.org/2001/XMLSchema" xmlns:p="http://schemas.microsoft.com/office/2006/metadata/properties" xmlns:ns3="94e07db7-62c7-4a01-a557-389a5e36f29a" xmlns:ns4="01e74a2c-5aa7-4161-bd04-e7b47985a814" targetNamespace="http://schemas.microsoft.com/office/2006/metadata/properties" ma:root="true" ma:fieldsID="129cb3d195e7b9507554d03efa1d5743" ns3:_="" ns4:_="">
    <xsd:import namespace="94e07db7-62c7-4a01-a557-389a5e36f29a"/>
    <xsd:import namespace="01e74a2c-5aa7-4161-bd04-e7b47985a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7db7-62c7-4a01-a557-389a5e36f2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74a2c-5aa7-4161-bd04-e7b47985a8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50496-CAD4-474D-A37A-C1F36FB6000D}">
  <ds:schemaRefs>
    <ds:schemaRef ds:uri="http://schemas.openxmlformats.org/officeDocument/2006/bibliography"/>
  </ds:schemaRefs>
</ds:datastoreItem>
</file>

<file path=customXml/itemProps2.xml><?xml version="1.0" encoding="utf-8"?>
<ds:datastoreItem xmlns:ds="http://schemas.openxmlformats.org/officeDocument/2006/customXml" ds:itemID="{5B276F34-5125-49B2-9C5A-4C7024865914}">
  <ds:schemaRefs>
    <ds:schemaRef ds:uri="http://schemas.microsoft.com/sharepoint/v3/contenttype/forms"/>
  </ds:schemaRefs>
</ds:datastoreItem>
</file>

<file path=customXml/itemProps3.xml><?xml version="1.0" encoding="utf-8"?>
<ds:datastoreItem xmlns:ds="http://schemas.openxmlformats.org/officeDocument/2006/customXml" ds:itemID="{8720F1D3-5D09-46D4-8C46-E3AD86A2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7db7-62c7-4a01-a557-389a5e36f29a"/>
    <ds:schemaRef ds:uri="01e74a2c-5aa7-4161-bd04-e7b47985a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B5E7B-D252-43BF-A543-6AD8C02C8AD4}">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01e74a2c-5aa7-4161-bd04-e7b47985a814"/>
    <ds:schemaRef ds:uri="http://schemas.openxmlformats.org/package/2006/metadata/core-properties"/>
    <ds:schemaRef ds:uri="http://schemas.microsoft.com/office/infopath/2007/PartnerControls"/>
    <ds:schemaRef ds:uri="94e07db7-62c7-4a01-a557-389a5e36f29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7546</Words>
  <Characters>43013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Netgear, Inc.</Company>
  <LinksUpToDate>false</LinksUpToDate>
  <CharactersWithSpaces>50459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Pampuch</dc:creator>
  <cp:keywords/>
  <dc:description/>
  <cp:lastModifiedBy>Sarah Kuan</cp:lastModifiedBy>
  <cp:revision>4</cp:revision>
  <cp:lastPrinted>2020-05-11T20:54:00Z</cp:lastPrinted>
  <dcterms:created xsi:type="dcterms:W3CDTF">2022-11-04T02:40:00Z</dcterms:created>
  <dcterms:modified xsi:type="dcterms:W3CDTF">2022-11-10T02:40:00Z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0x010100C9E891C96935744F88197A8A27503256</vt:lpwstr>
  </property>
</Properties>
</file>